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844CA" w:rsidRPr="00A64D2D" w:rsidP="005844CA">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A77E75" w:rsidRPr="00A64D2D" w:rsidP="005844CA">
      <w:pPr>
        <w:widowControl/>
        <w:bidi w:val="0"/>
        <w:jc w:val="both"/>
        <w:rPr>
          <w:rFonts w:ascii="Times New Roman" w:hAnsi="Times New Roman"/>
          <w:color w:val="000000"/>
        </w:rPr>
      </w:pPr>
    </w:p>
    <w:p w:rsidR="005844CA" w:rsidRPr="00F75375" w:rsidP="005844CA">
      <w:pPr>
        <w:widowControl/>
        <w:bidi w:val="0"/>
        <w:jc w:val="both"/>
        <w:rPr>
          <w:rFonts w:ascii="Times New Roman" w:hAnsi="Times New Roman"/>
          <w:b/>
          <w:color w:val="000000"/>
        </w:rPr>
      </w:pPr>
      <w:r w:rsidRPr="00F75375">
        <w:rPr>
          <w:rFonts w:ascii="Times New Roman" w:hAnsi="Times New Roman"/>
          <w:b/>
          <w:color w:val="000000"/>
        </w:rPr>
        <w:t>Všeobecná časť</w:t>
      </w:r>
    </w:p>
    <w:p w:rsidR="005844CA" w:rsidRPr="00F75375" w:rsidP="005844CA">
      <w:pPr>
        <w:pStyle w:val="ListParagraph"/>
        <w:widowControl/>
        <w:bidi w:val="0"/>
        <w:jc w:val="both"/>
        <w:rPr>
          <w:rFonts w:ascii="Times New Roman" w:hAnsi="Times New Roman"/>
          <w:b/>
          <w:color w:val="000000"/>
        </w:rPr>
      </w:pPr>
    </w:p>
    <w:p w:rsidR="004E085E" w:rsidP="004E085E">
      <w:pPr>
        <w:autoSpaceDE w:val="0"/>
        <w:autoSpaceDN w:val="0"/>
        <w:bidi w:val="0"/>
        <w:jc w:val="both"/>
        <w:rPr>
          <w:rFonts w:ascii="Times New Roman" w:hAnsi="Times New Roman"/>
        </w:rPr>
      </w:pPr>
      <w:r>
        <w:rPr>
          <w:rFonts w:ascii="Times New Roman" w:hAnsi="Times New Roman"/>
          <w:noProof/>
        </w:rPr>
        <w:t>Vláda</w:t>
      </w:r>
      <w:r w:rsidRPr="005844CA">
        <w:rPr>
          <w:rFonts w:ascii="Times New Roman" w:hAnsi="Times New Roman"/>
          <w:noProof/>
        </w:rPr>
        <w:t xml:space="preserve"> Slovenskej republiky predkladá </w:t>
      </w:r>
      <w:r>
        <w:rPr>
          <w:rFonts w:ascii="Times New Roman" w:hAnsi="Times New Roman"/>
          <w:bCs/>
          <w:color w:val="000000"/>
        </w:rPr>
        <w:t xml:space="preserve">na rokovanie Národnej rady Slovenskej republiky </w:t>
      </w:r>
      <w:r w:rsidRPr="005844CA">
        <w:rPr>
          <w:rFonts w:ascii="Times New Roman" w:hAnsi="Times New Roman"/>
          <w:noProof/>
        </w:rPr>
        <w:t xml:space="preserve">návrh zákona, </w:t>
      </w:r>
      <w:r w:rsidRPr="005844CA">
        <w:rPr>
          <w:rFonts w:ascii="Times New Roman" w:hAnsi="Times New Roman"/>
          <w:bCs/>
        </w:rPr>
        <w:t xml:space="preserve">ktorým sa mení </w:t>
      </w:r>
      <w:r>
        <w:rPr>
          <w:rFonts w:ascii="Times New Roman" w:hAnsi="Times New Roman"/>
          <w:bCs/>
        </w:rPr>
        <w:t xml:space="preserve">a dopĺňa </w:t>
      </w:r>
      <w:r w:rsidRPr="005844CA">
        <w:rPr>
          <w:rFonts w:ascii="Times New Roman" w:hAnsi="Times New Roman"/>
          <w:bCs/>
        </w:rPr>
        <w:t>zákon č. 516/2008</w:t>
      </w:r>
      <w:r>
        <w:rPr>
          <w:rFonts w:ascii="Times New Roman" w:hAnsi="Times New Roman"/>
          <w:bCs/>
        </w:rPr>
        <w:t xml:space="preserve"> Z. z.</w:t>
      </w:r>
      <w:r w:rsidRPr="005844CA">
        <w:rPr>
          <w:rFonts w:ascii="Times New Roman" w:hAnsi="Times New Roman"/>
          <w:bCs/>
        </w:rPr>
        <w:t xml:space="preserve"> </w:t>
      </w:r>
      <w:r w:rsidRPr="005844CA">
        <w:rPr>
          <w:rFonts w:ascii="Times New Roman" w:hAnsi="Times New Roman"/>
        </w:rPr>
        <w:t>o Audiovizuálnom fonde a</w:t>
      </w:r>
      <w:r>
        <w:rPr>
          <w:rFonts w:ascii="Times New Roman" w:hAnsi="Times New Roman"/>
        </w:rPr>
        <w:t xml:space="preserve"> </w:t>
      </w:r>
      <w:r w:rsidRPr="005844CA">
        <w:rPr>
          <w:rFonts w:ascii="Times New Roman" w:hAnsi="Times New Roman"/>
        </w:rPr>
        <w:t>o zmene a doplnení niektorých zákonov v znení neskorších</w:t>
      </w:r>
      <w:r>
        <w:rPr>
          <w:rFonts w:ascii="Times New Roman" w:hAnsi="Times New Roman"/>
        </w:rPr>
        <w:t xml:space="preserve"> predpisov</w:t>
      </w:r>
      <w:r w:rsidRPr="005844CA">
        <w:rPr>
          <w:rFonts w:ascii="Times New Roman" w:hAnsi="Times New Roman"/>
        </w:rPr>
        <w:t xml:space="preserve"> a</w:t>
      </w:r>
      <w:r w:rsidRPr="00EE4B18">
        <w:rPr>
          <w:rFonts w:ascii="Times New Roman" w:hAnsi="Times New Roman"/>
        </w:rPr>
        <w:t xml:space="preserve"> ktorým sa menia a dopĺňajú niektoré zákony</w:t>
      </w:r>
      <w:r>
        <w:rPr>
          <w:rFonts w:ascii="Times New Roman" w:hAnsi="Times New Roman"/>
        </w:rPr>
        <w:t>.</w:t>
      </w:r>
    </w:p>
    <w:p w:rsidR="005844CA" w:rsidP="005844CA">
      <w:pPr>
        <w:autoSpaceDE w:val="0"/>
        <w:autoSpaceDN w:val="0"/>
        <w:bidi w:val="0"/>
        <w:jc w:val="both"/>
        <w:rPr>
          <w:rFonts w:ascii="Times New Roman" w:hAnsi="Times New Roman"/>
          <w:noProof/>
        </w:rPr>
      </w:pPr>
    </w:p>
    <w:p w:rsidR="005844CA" w:rsidP="005844CA">
      <w:pPr>
        <w:autoSpaceDE w:val="0"/>
        <w:autoSpaceDN w:val="0"/>
        <w:bidi w:val="0"/>
        <w:jc w:val="both"/>
        <w:rPr>
          <w:rFonts w:ascii="Times New Roman" w:hAnsi="Times New Roman"/>
          <w:noProof/>
        </w:rPr>
      </w:pPr>
      <w:r w:rsidR="003C4967">
        <w:rPr>
          <w:rFonts w:ascii="Times New Roman" w:hAnsi="Times New Roman"/>
          <w:noProof/>
        </w:rPr>
        <w:t xml:space="preserve">Uvedený návrh zákona </w:t>
      </w:r>
      <w:r w:rsidR="00645976">
        <w:rPr>
          <w:rFonts w:ascii="Times New Roman" w:hAnsi="Times New Roman"/>
          <w:noProof/>
        </w:rPr>
        <w:t xml:space="preserve">sa predkladá v </w:t>
      </w:r>
      <w:r w:rsidR="003C4967">
        <w:rPr>
          <w:rFonts w:ascii="Times New Roman" w:hAnsi="Times New Roman"/>
          <w:noProof/>
        </w:rPr>
        <w:t>nadväz</w:t>
      </w:r>
      <w:r w:rsidR="00645976">
        <w:rPr>
          <w:rFonts w:ascii="Times New Roman" w:hAnsi="Times New Roman"/>
          <w:noProof/>
        </w:rPr>
        <w:t>nosti</w:t>
      </w:r>
      <w:r w:rsidR="003C4967">
        <w:rPr>
          <w:rFonts w:ascii="Times New Roman" w:hAnsi="Times New Roman"/>
          <w:noProof/>
        </w:rPr>
        <w:t xml:space="preserve"> na prijatie Doho</w:t>
      </w:r>
      <w:r w:rsidR="004C238F">
        <w:rPr>
          <w:rFonts w:ascii="Times New Roman" w:hAnsi="Times New Roman"/>
          <w:noProof/>
        </w:rPr>
        <w:t>vo</w:t>
      </w:r>
      <w:r w:rsidR="003C4967">
        <w:rPr>
          <w:rFonts w:ascii="Times New Roman" w:hAnsi="Times New Roman"/>
          <w:noProof/>
        </w:rPr>
        <w:t>ru Rady Európy o filmovej koprodukcii (revidovaný) (</w:t>
      </w:r>
      <w:r w:rsidR="00D708F9">
        <w:rPr>
          <w:rFonts w:ascii="Times New Roman" w:hAnsi="Times New Roman"/>
          <w:noProof/>
        </w:rPr>
        <w:t>ďalej len</w:t>
      </w:r>
      <w:r w:rsidR="003C4967">
        <w:rPr>
          <w:rFonts w:ascii="Times New Roman" w:hAnsi="Times New Roman"/>
          <w:noProof/>
        </w:rPr>
        <w:t xml:space="preserve"> „revidovaný dohovor“), ktorý nadobudol platnosť 1. októbra </w:t>
      </w:r>
      <w:r w:rsidR="00D708F9">
        <w:rPr>
          <w:rFonts w:ascii="Times New Roman" w:hAnsi="Times New Roman"/>
          <w:noProof/>
        </w:rPr>
        <w:t>2017.</w:t>
      </w:r>
      <w:r w:rsidR="003C4967">
        <w:rPr>
          <w:rFonts w:ascii="Times New Roman" w:hAnsi="Times New Roman"/>
          <w:noProof/>
        </w:rPr>
        <w:t xml:space="preserve"> </w:t>
      </w:r>
      <w:r w:rsidR="00D708F9">
        <w:rPr>
          <w:rFonts w:ascii="Times New Roman" w:hAnsi="Times New Roman"/>
          <w:noProof/>
        </w:rPr>
        <w:t>V</w:t>
      </w:r>
      <w:r w:rsidR="003C4967">
        <w:rPr>
          <w:rFonts w:ascii="Times New Roman" w:hAnsi="Times New Roman"/>
          <w:noProof/>
        </w:rPr>
        <w:t xml:space="preserve"> tento deň nadobudol </w:t>
      </w:r>
      <w:r w:rsidR="00D708F9">
        <w:rPr>
          <w:rFonts w:ascii="Times New Roman" w:hAnsi="Times New Roman"/>
          <w:noProof/>
        </w:rPr>
        <w:t xml:space="preserve">revidovaný dohovor </w:t>
      </w:r>
      <w:r w:rsidR="003C4967">
        <w:rPr>
          <w:rFonts w:ascii="Times New Roman" w:hAnsi="Times New Roman"/>
          <w:noProof/>
        </w:rPr>
        <w:t>platnosť aj pre Slovenskú republiku.</w:t>
      </w:r>
      <w:r w:rsidR="00626F5B">
        <w:rPr>
          <w:rFonts w:ascii="Times New Roman" w:hAnsi="Times New Roman"/>
          <w:noProof/>
        </w:rPr>
        <w:t xml:space="preserve"> Zároveň predložený návrh zákona upravuje viaceré oblasti týkajúce sa činnosti Audiovizuálneho fondu, Fondu na podporu umenia a Fondu na podporu kultúry národnostných menšín (ďalej spolu aj ako „podporné fondy“), ktorých úpravu si vyžiadla aplikačná prax.   </w:t>
      </w:r>
      <w:r w:rsidR="003C4967">
        <w:rPr>
          <w:rFonts w:ascii="Times New Roman" w:hAnsi="Times New Roman"/>
          <w:noProof/>
        </w:rPr>
        <w:t xml:space="preserve">  </w:t>
      </w:r>
    </w:p>
    <w:p w:rsidR="003C4967" w:rsidRPr="000C77CE" w:rsidP="005844CA">
      <w:pPr>
        <w:autoSpaceDE w:val="0"/>
        <w:autoSpaceDN w:val="0"/>
        <w:bidi w:val="0"/>
        <w:jc w:val="both"/>
        <w:rPr>
          <w:rFonts w:ascii="Times New Roman" w:hAnsi="Times New Roman"/>
          <w:noProof/>
        </w:rPr>
      </w:pPr>
    </w:p>
    <w:p w:rsidR="003C4967" w:rsidP="003C4967">
      <w:pPr>
        <w:autoSpaceDE w:val="0"/>
        <w:autoSpaceDN w:val="0"/>
        <w:bidi w:val="0"/>
        <w:jc w:val="both"/>
        <w:rPr>
          <w:rFonts w:ascii="Times New Roman" w:hAnsi="Times New Roman"/>
          <w:noProof/>
        </w:rPr>
      </w:pPr>
      <w:r w:rsidRPr="003C4967">
        <w:rPr>
          <w:rFonts w:ascii="Times New Roman" w:hAnsi="Times New Roman"/>
          <w:noProof/>
        </w:rPr>
        <w:t>Revidovaný dohovor predstavuje revidovanú verziu Európskeho dohovoru o filmovej koprodukcii</w:t>
      </w:r>
      <w:r>
        <w:rPr>
          <w:rFonts w:ascii="Times New Roman" w:hAnsi="Times New Roman"/>
          <w:noProof/>
        </w:rPr>
        <w:t xml:space="preserve"> (ďalej len „dohovor“)</w:t>
      </w:r>
      <w:r w:rsidRPr="003C4967">
        <w:rPr>
          <w:rFonts w:ascii="Times New Roman" w:hAnsi="Times New Roman"/>
          <w:noProof/>
        </w:rPr>
        <w:t>, ktorý bol prijatý 2. októbra 1</w:t>
      </w:r>
      <w:r>
        <w:rPr>
          <w:rFonts w:ascii="Times New Roman" w:hAnsi="Times New Roman"/>
          <w:noProof/>
        </w:rPr>
        <w:t>992</w:t>
      </w:r>
      <w:r w:rsidRPr="003C4967">
        <w:rPr>
          <w:rFonts w:ascii="Times New Roman" w:hAnsi="Times New Roman"/>
          <w:noProof/>
        </w:rPr>
        <w:t xml:space="preserve"> </w:t>
      </w:r>
      <w:r>
        <w:rPr>
          <w:rFonts w:ascii="Times New Roman" w:hAnsi="Times New Roman"/>
          <w:noProof/>
        </w:rPr>
        <w:t xml:space="preserve">a </w:t>
      </w:r>
      <w:r w:rsidRPr="003C4967">
        <w:rPr>
          <w:rFonts w:ascii="Times New Roman" w:hAnsi="Times New Roman"/>
          <w:noProof/>
        </w:rPr>
        <w:t xml:space="preserve">platnosť pre Slovenskú republiku nadobudol 1. mája 1995. </w:t>
      </w:r>
    </w:p>
    <w:p w:rsidR="003C4967" w:rsidRPr="003C4967" w:rsidP="003C4967">
      <w:pPr>
        <w:autoSpaceDE w:val="0"/>
        <w:autoSpaceDN w:val="0"/>
        <w:bidi w:val="0"/>
        <w:jc w:val="both"/>
        <w:rPr>
          <w:rFonts w:ascii="Times New Roman" w:hAnsi="Times New Roman"/>
          <w:noProof/>
        </w:rPr>
      </w:pPr>
    </w:p>
    <w:p w:rsidR="003C4967" w:rsidP="003C4967">
      <w:pPr>
        <w:autoSpaceDE w:val="0"/>
        <w:autoSpaceDN w:val="0"/>
        <w:bidi w:val="0"/>
        <w:jc w:val="both"/>
        <w:rPr>
          <w:rFonts w:ascii="Times New Roman" w:hAnsi="Times New Roman"/>
          <w:noProof/>
        </w:rPr>
      </w:pPr>
      <w:r w:rsidRPr="003C4967">
        <w:rPr>
          <w:rFonts w:ascii="Times New Roman" w:hAnsi="Times New Roman"/>
          <w:noProof/>
        </w:rPr>
        <w:t>Po viac ako dvadsiatich rokoch od prijatia dohovoru sa podoba európskej filmovej produkcie výrazne zmenila. Nové technológie zmenili spôsoby výroby, distribúcie a uvádzania filmových diel, k výraznému vývoju došlo v oblasti finančnej podpory audiovízie na národnej a regionálnej úrovni, znásobili sa finančné stimuly a mnohé menšie európske krajiny sa snažia posilniť svoje medzinárodné aktivity v oblasti fil</w:t>
      </w:r>
      <w:r>
        <w:rPr>
          <w:rFonts w:ascii="Times New Roman" w:hAnsi="Times New Roman"/>
          <w:noProof/>
        </w:rPr>
        <w:t xml:space="preserve">mu. </w:t>
      </w:r>
      <w:r w:rsidRPr="003C4967">
        <w:rPr>
          <w:rFonts w:ascii="Times New Roman" w:hAnsi="Times New Roman"/>
          <w:noProof/>
        </w:rPr>
        <w:t>Z týchto skutočností vyplynula požiadavka revízie dohovoru, ktorej účelom je vyrovnať sa so spoločenskými, finančnými a technickými zmenami a zabezpeč</w:t>
      </w:r>
      <w:r w:rsidR="00AD43E7">
        <w:rPr>
          <w:rFonts w:ascii="Times New Roman" w:hAnsi="Times New Roman"/>
          <w:noProof/>
        </w:rPr>
        <w:t>iť</w:t>
      </w:r>
      <w:r w:rsidRPr="003C4967">
        <w:rPr>
          <w:rFonts w:ascii="Times New Roman" w:hAnsi="Times New Roman"/>
          <w:noProof/>
        </w:rPr>
        <w:t xml:space="preserve"> jeho kontinuáln</w:t>
      </w:r>
      <w:r w:rsidR="00AD43E7">
        <w:rPr>
          <w:rFonts w:ascii="Times New Roman" w:hAnsi="Times New Roman"/>
          <w:noProof/>
        </w:rPr>
        <w:t>u</w:t>
      </w:r>
      <w:r w:rsidRPr="003C4967">
        <w:rPr>
          <w:rFonts w:ascii="Times New Roman" w:hAnsi="Times New Roman"/>
          <w:noProof/>
        </w:rPr>
        <w:t xml:space="preserve"> relevanci</w:t>
      </w:r>
      <w:r w:rsidR="00AD43E7">
        <w:rPr>
          <w:rFonts w:ascii="Times New Roman" w:hAnsi="Times New Roman"/>
          <w:noProof/>
        </w:rPr>
        <w:t>u</w:t>
      </w:r>
      <w:r>
        <w:rPr>
          <w:rFonts w:ascii="Times New Roman" w:hAnsi="Times New Roman"/>
          <w:noProof/>
        </w:rPr>
        <w:t xml:space="preserve">. </w:t>
      </w:r>
      <w:r w:rsidRPr="003C4967">
        <w:rPr>
          <w:rFonts w:ascii="Times New Roman" w:hAnsi="Times New Roman"/>
          <w:noProof/>
        </w:rPr>
        <w:t>Základným cieľom revidovaného dohovoru je podpora rozvoja medzinárodnej filmovej koprodukcie.</w:t>
      </w:r>
    </w:p>
    <w:p w:rsidR="003C4967" w:rsidP="003C4967">
      <w:pPr>
        <w:autoSpaceDE w:val="0"/>
        <w:autoSpaceDN w:val="0"/>
        <w:bidi w:val="0"/>
        <w:jc w:val="both"/>
        <w:rPr>
          <w:rFonts w:ascii="Times New Roman" w:hAnsi="Times New Roman"/>
          <w:noProof/>
        </w:rPr>
      </w:pPr>
    </w:p>
    <w:p w:rsidR="003C4967" w:rsidP="003C4967">
      <w:pPr>
        <w:autoSpaceDE w:val="0"/>
        <w:autoSpaceDN w:val="0"/>
        <w:bidi w:val="0"/>
        <w:jc w:val="both"/>
        <w:rPr>
          <w:rFonts w:ascii="Times New Roman" w:hAnsi="Times New Roman"/>
          <w:noProof/>
        </w:rPr>
      </w:pPr>
      <w:r w:rsidRPr="003C4967">
        <w:rPr>
          <w:rFonts w:ascii="Times New Roman" w:hAnsi="Times New Roman"/>
          <w:noProof/>
        </w:rPr>
        <w:t>Dohovor upravuje zmluvné vzťahy v oblasti mnohostranných koprodukcií vzniknutých na území zmluvných strán. Ustanovuje predovšetkým podmienky na priznanie koprodukčného štatútu, vzájomné pomery vkladov koproducentov, práva koproducentov na filmové dielo a ďalšie práva súvisiace s použitím filmového diela. Významnou je aj zmena vzájomného pomeru vkladov koproducentov, ktorá je pre menšie krajiny, akou je aj Slovensko, zmenou priaznivou, umožňujúcou vstupovať do koprodukcií aj s menším vkladom, keďže najmenší vklad koproducenta pri mnohostrannej koprodukcii sa znižuje z 10 % na 5 % a pri dvojstrannej koprodukcii z 20 % na 10 %. Dohovor taktiež upravuje proces udeľovania koprodukčného štatútu národnými orgánmi a ustanovuje, ktoré dokumenty je potre</w:t>
      </w:r>
      <w:r w:rsidR="00866E83">
        <w:rPr>
          <w:rFonts w:ascii="Times New Roman" w:hAnsi="Times New Roman"/>
          <w:noProof/>
        </w:rPr>
        <w:t>b</w:t>
      </w:r>
      <w:r w:rsidRPr="003C4967">
        <w:rPr>
          <w:rFonts w:ascii="Times New Roman" w:hAnsi="Times New Roman"/>
          <w:noProof/>
        </w:rPr>
        <w:t xml:space="preserve">né predložiť v jednotlivých fázach tohto procesu.         </w:t>
      </w:r>
    </w:p>
    <w:p w:rsidR="00EF1FBB" w:rsidP="003C4967">
      <w:pPr>
        <w:autoSpaceDE w:val="0"/>
        <w:autoSpaceDN w:val="0"/>
        <w:bidi w:val="0"/>
        <w:jc w:val="both"/>
        <w:rPr>
          <w:rFonts w:ascii="Times New Roman" w:hAnsi="Times New Roman"/>
          <w:noProof/>
        </w:rPr>
      </w:pPr>
    </w:p>
    <w:p w:rsidR="003C4967" w:rsidP="003C4967">
      <w:pPr>
        <w:autoSpaceDE w:val="0"/>
        <w:autoSpaceDN w:val="0"/>
        <w:bidi w:val="0"/>
        <w:jc w:val="both"/>
        <w:rPr>
          <w:rFonts w:ascii="Times New Roman" w:hAnsi="Times New Roman"/>
          <w:noProof/>
        </w:rPr>
      </w:pPr>
      <w:r w:rsidRPr="003C4967">
        <w:rPr>
          <w:rFonts w:ascii="Times New Roman" w:hAnsi="Times New Roman"/>
          <w:noProof/>
        </w:rPr>
        <w:t xml:space="preserve">V zmysle čl. 7 ods. 4 Ústavy Slovenskej republiky je revidovaný dohovor medzinárodnou zmluvou, ktorá priamo zakladá práva alebo povinnosti fyzickým </w:t>
      </w:r>
      <w:r>
        <w:rPr>
          <w:rFonts w:ascii="Times New Roman" w:hAnsi="Times New Roman"/>
          <w:noProof/>
        </w:rPr>
        <w:t>osobám alebo právnickým osobám, má teda charakter prezidentskej zmluvy a v</w:t>
      </w:r>
      <w:r w:rsidRPr="003C4967">
        <w:rPr>
          <w:rFonts w:ascii="Times New Roman" w:hAnsi="Times New Roman"/>
          <w:noProof/>
        </w:rPr>
        <w:t> zmysle čl. 7 ods. 5 Ústavy Slovenskej</w:t>
      </w:r>
      <w:r>
        <w:rPr>
          <w:rFonts w:ascii="Times New Roman" w:hAnsi="Times New Roman"/>
          <w:noProof/>
        </w:rPr>
        <w:t xml:space="preserve"> republiky má</w:t>
      </w:r>
      <w:r w:rsidRPr="003C4967">
        <w:rPr>
          <w:rFonts w:ascii="Times New Roman" w:hAnsi="Times New Roman"/>
          <w:noProof/>
        </w:rPr>
        <w:t xml:space="preserve"> prednosť pred zákonmi.</w:t>
      </w:r>
    </w:p>
    <w:p w:rsidR="003C4967" w:rsidP="003C4967">
      <w:pPr>
        <w:autoSpaceDE w:val="0"/>
        <w:autoSpaceDN w:val="0"/>
        <w:bidi w:val="0"/>
        <w:jc w:val="both"/>
        <w:rPr>
          <w:rFonts w:ascii="Times New Roman" w:hAnsi="Times New Roman"/>
          <w:noProof/>
        </w:rPr>
      </w:pPr>
    </w:p>
    <w:p w:rsidR="003C4967" w:rsidP="003C4967">
      <w:pPr>
        <w:autoSpaceDE w:val="0"/>
        <w:autoSpaceDN w:val="0"/>
        <w:bidi w:val="0"/>
        <w:jc w:val="both"/>
        <w:rPr>
          <w:rFonts w:ascii="Times New Roman" w:hAnsi="Times New Roman"/>
          <w:noProof/>
        </w:rPr>
      </w:pPr>
      <w:r>
        <w:rPr>
          <w:rFonts w:ascii="Times New Roman" w:hAnsi="Times New Roman"/>
          <w:noProof/>
        </w:rPr>
        <w:t xml:space="preserve">Napriek tomu, že revidovaný dohovor má prednosť pred zákonmi a na jeho vykonanie nie je potrebný zákon, predsa si jeho prijatie vyžaduje zmenu </w:t>
      </w:r>
      <w:r w:rsidR="00D708F9">
        <w:rPr>
          <w:rFonts w:ascii="Times New Roman" w:hAnsi="Times New Roman"/>
          <w:noProof/>
        </w:rPr>
        <w:t>zákonnej úpravy. Táto potreba vyplynula zo skutočnosti</w:t>
      </w:r>
      <w:r>
        <w:rPr>
          <w:rFonts w:ascii="Times New Roman" w:hAnsi="Times New Roman"/>
          <w:noProof/>
        </w:rPr>
        <w:t>, že v zmysle čl. 16 ods. 2 revidovaného dohovoru vo vzťahoch medzi zmluvnou st</w:t>
      </w:r>
      <w:r w:rsidR="002F64C8">
        <w:rPr>
          <w:rFonts w:ascii="Times New Roman" w:hAnsi="Times New Roman"/>
          <w:noProof/>
        </w:rPr>
        <w:t>r</w:t>
      </w:r>
      <w:r>
        <w:rPr>
          <w:rFonts w:ascii="Times New Roman" w:hAnsi="Times New Roman"/>
          <w:noProof/>
        </w:rPr>
        <w:t xml:space="preserve">anou tohto dohovoru a zmluvnou stranou dohovoru z roku 1992, ktorá neratifikovala tento dohovor, bude naďalej platiť dohovor z roku 1992. </w:t>
      </w:r>
      <w:r w:rsidR="00D708F9">
        <w:rPr>
          <w:rFonts w:ascii="Times New Roman" w:hAnsi="Times New Roman"/>
          <w:noProof/>
        </w:rPr>
        <w:t xml:space="preserve">Dohovor z roku 1992 ratifikovalo 43 štátov. </w:t>
      </w:r>
      <w:r>
        <w:rPr>
          <w:rFonts w:ascii="Times New Roman" w:hAnsi="Times New Roman"/>
          <w:noProof/>
        </w:rPr>
        <w:t>V čase predkladania tohto návrhu zákona podpísalo revidovaný dohovor 1</w:t>
      </w:r>
      <w:r w:rsidR="00EE4B18">
        <w:rPr>
          <w:rFonts w:ascii="Times New Roman" w:hAnsi="Times New Roman"/>
          <w:noProof/>
        </w:rPr>
        <w:t>8</w:t>
      </w:r>
      <w:r>
        <w:rPr>
          <w:rFonts w:ascii="Times New Roman" w:hAnsi="Times New Roman"/>
          <w:noProof/>
        </w:rPr>
        <w:t xml:space="preserve"> krajín, ratifikoval</w:t>
      </w:r>
      <w:r w:rsidR="00626F5B">
        <w:rPr>
          <w:rFonts w:ascii="Times New Roman" w:hAnsi="Times New Roman"/>
          <w:noProof/>
        </w:rPr>
        <w:t>o</w:t>
      </w:r>
      <w:r>
        <w:rPr>
          <w:rFonts w:ascii="Times New Roman" w:hAnsi="Times New Roman"/>
          <w:noProof/>
        </w:rPr>
        <w:t xml:space="preserve"> ho </w:t>
      </w:r>
      <w:r w:rsidR="00626F5B">
        <w:rPr>
          <w:rFonts w:ascii="Times New Roman" w:hAnsi="Times New Roman"/>
          <w:noProof/>
        </w:rPr>
        <w:t>päť</w:t>
      </w:r>
      <w:r>
        <w:rPr>
          <w:rFonts w:ascii="Times New Roman" w:hAnsi="Times New Roman"/>
          <w:noProof/>
        </w:rPr>
        <w:t xml:space="preserve"> kraj</w:t>
      </w:r>
      <w:r w:rsidR="00626F5B">
        <w:rPr>
          <w:rFonts w:ascii="Times New Roman" w:hAnsi="Times New Roman"/>
          <w:noProof/>
        </w:rPr>
        <w:t>ín</w:t>
      </w:r>
      <w:r>
        <w:rPr>
          <w:rFonts w:ascii="Times New Roman" w:hAnsi="Times New Roman"/>
          <w:noProof/>
        </w:rPr>
        <w:t xml:space="preserve"> a platnosť nadobudol voči </w:t>
      </w:r>
      <w:r w:rsidR="00626F5B">
        <w:rPr>
          <w:rFonts w:ascii="Times New Roman" w:hAnsi="Times New Roman"/>
          <w:noProof/>
        </w:rPr>
        <w:t>šty</w:t>
      </w:r>
      <w:r>
        <w:rPr>
          <w:rFonts w:ascii="Times New Roman" w:hAnsi="Times New Roman"/>
          <w:noProof/>
        </w:rPr>
        <w:t>rom krajinám (Slovensko, Nórsko, Švédsko</w:t>
      </w:r>
      <w:r w:rsidR="00626F5B">
        <w:rPr>
          <w:rFonts w:ascii="Times New Roman" w:hAnsi="Times New Roman"/>
          <w:noProof/>
        </w:rPr>
        <w:t>, Holandsko</w:t>
      </w:r>
      <w:r>
        <w:rPr>
          <w:rFonts w:ascii="Times New Roman" w:hAnsi="Times New Roman"/>
          <w:noProof/>
        </w:rPr>
        <w:t>). Hlavný koprodukčný partner Slovenska</w:t>
      </w:r>
      <w:r w:rsidR="00D708F9">
        <w:rPr>
          <w:rFonts w:ascii="Times New Roman" w:hAnsi="Times New Roman"/>
          <w:noProof/>
        </w:rPr>
        <w:t xml:space="preserve">, </w:t>
      </w:r>
      <w:r>
        <w:rPr>
          <w:rFonts w:ascii="Times New Roman" w:hAnsi="Times New Roman"/>
          <w:noProof/>
        </w:rPr>
        <w:t>Česká republika</w:t>
      </w:r>
      <w:r w:rsidR="00D708F9">
        <w:rPr>
          <w:rFonts w:ascii="Times New Roman" w:hAnsi="Times New Roman"/>
          <w:noProof/>
        </w:rPr>
        <w:t>,</w:t>
      </w:r>
      <w:r>
        <w:rPr>
          <w:rFonts w:ascii="Times New Roman" w:hAnsi="Times New Roman"/>
          <w:noProof/>
        </w:rPr>
        <w:t xml:space="preserve"> revidovaný dohovor zatiaľ nepodpísal. </w:t>
      </w:r>
      <w:r w:rsidR="00307B16">
        <w:rPr>
          <w:rFonts w:ascii="Times New Roman" w:hAnsi="Times New Roman"/>
          <w:noProof/>
        </w:rPr>
        <w:t xml:space="preserve">Jednotlivé štáty majú rôzne zložité procesy viažuce sa k podpisu a ratifikácii medzinárodných zmlúv, preto aj keď zmluvné strany revidovaného dohovoru budú postupne pribúdať, je v momentálnej situácii ťažké predpokladať v akom časovom horizonte. Vo vzťahu k určitým </w:t>
      </w:r>
      <w:r w:rsidR="00D708F9">
        <w:rPr>
          <w:rFonts w:ascii="Times New Roman" w:hAnsi="Times New Roman"/>
          <w:noProof/>
        </w:rPr>
        <w:t>štátom tak bu</w:t>
      </w:r>
      <w:r w:rsidR="00307B16">
        <w:rPr>
          <w:rFonts w:ascii="Times New Roman" w:hAnsi="Times New Roman"/>
          <w:noProof/>
        </w:rPr>
        <w:t>de platiť pôvodný dohovor z roku 1992</w:t>
      </w:r>
      <w:r w:rsidR="00D708F9">
        <w:rPr>
          <w:rFonts w:ascii="Times New Roman" w:hAnsi="Times New Roman"/>
          <w:noProof/>
        </w:rPr>
        <w:t>,</w:t>
      </w:r>
      <w:r w:rsidR="00307B16">
        <w:rPr>
          <w:rFonts w:ascii="Times New Roman" w:hAnsi="Times New Roman"/>
          <w:noProof/>
        </w:rPr>
        <w:t xml:space="preserve"> vo vzťahu k iným revidovaný dohovor. </w:t>
      </w:r>
      <w:r>
        <w:rPr>
          <w:rFonts w:ascii="Times New Roman" w:hAnsi="Times New Roman"/>
          <w:noProof/>
        </w:rPr>
        <w:t>Táto „dvojkoľajnosť“ vzťahov v</w:t>
      </w:r>
      <w:r w:rsidR="00307B16">
        <w:rPr>
          <w:rFonts w:ascii="Times New Roman" w:hAnsi="Times New Roman"/>
          <w:noProof/>
        </w:rPr>
        <w:t> </w:t>
      </w:r>
      <w:r>
        <w:rPr>
          <w:rFonts w:ascii="Times New Roman" w:hAnsi="Times New Roman"/>
          <w:noProof/>
        </w:rPr>
        <w:t>o</w:t>
      </w:r>
      <w:r w:rsidR="00307B16">
        <w:rPr>
          <w:rFonts w:ascii="Times New Roman" w:hAnsi="Times New Roman"/>
          <w:noProof/>
        </w:rPr>
        <w:t xml:space="preserve">blasti filmovej koprodukcie je dôvodom, prečo považujeme za potrebné vzniknutú situáciu riešiť na úrovni národnej legislatívy. </w:t>
      </w:r>
    </w:p>
    <w:p w:rsidR="003C4967" w:rsidP="003C4967">
      <w:pPr>
        <w:autoSpaceDE w:val="0"/>
        <w:autoSpaceDN w:val="0"/>
        <w:bidi w:val="0"/>
        <w:jc w:val="both"/>
        <w:rPr>
          <w:rFonts w:ascii="Times New Roman" w:hAnsi="Times New Roman"/>
          <w:noProof/>
        </w:rPr>
      </w:pPr>
    </w:p>
    <w:p w:rsidR="00307B16" w:rsidP="003C4967">
      <w:pPr>
        <w:autoSpaceDE w:val="0"/>
        <w:autoSpaceDN w:val="0"/>
        <w:bidi w:val="0"/>
        <w:jc w:val="both"/>
        <w:rPr>
          <w:rFonts w:ascii="Times New Roman" w:hAnsi="Times New Roman"/>
        </w:rPr>
      </w:pPr>
      <w:r w:rsidR="003C4967">
        <w:rPr>
          <w:rFonts w:ascii="Times New Roman" w:hAnsi="Times New Roman"/>
          <w:noProof/>
        </w:rPr>
        <w:t xml:space="preserve">Orgánom oprávneným </w:t>
      </w:r>
      <w:r w:rsidR="009B41F0">
        <w:rPr>
          <w:rFonts w:ascii="Times New Roman" w:hAnsi="Times New Roman"/>
          <w:noProof/>
        </w:rPr>
        <w:t>priznávať</w:t>
      </w:r>
      <w:r w:rsidR="003C4967">
        <w:rPr>
          <w:rFonts w:ascii="Times New Roman" w:hAnsi="Times New Roman"/>
          <w:noProof/>
        </w:rPr>
        <w:t xml:space="preserve"> </w:t>
      </w:r>
      <w:r w:rsidRPr="00EC5D1E" w:rsidR="003C4967">
        <w:rPr>
          <w:rFonts w:ascii="Times New Roman" w:hAnsi="Times New Roman"/>
          <w:noProof/>
        </w:rPr>
        <w:t>koprodukčné štatúty</w:t>
      </w:r>
      <w:r w:rsidR="003C4967">
        <w:rPr>
          <w:rFonts w:ascii="Times New Roman" w:hAnsi="Times New Roman"/>
          <w:noProof/>
        </w:rPr>
        <w:t xml:space="preserve"> v zmysle dohovoru</w:t>
      </w:r>
      <w:r w:rsidR="00865C0B">
        <w:rPr>
          <w:rFonts w:ascii="Times New Roman" w:hAnsi="Times New Roman"/>
          <w:noProof/>
        </w:rPr>
        <w:t>,</w:t>
      </w:r>
      <w:r w:rsidR="003C4967">
        <w:rPr>
          <w:rFonts w:ascii="Times New Roman" w:hAnsi="Times New Roman"/>
          <w:noProof/>
        </w:rPr>
        <w:t xml:space="preserve"> ako aj v zmysle jeho revidovanej verzie</w:t>
      </w:r>
      <w:r w:rsidR="00865C0B">
        <w:rPr>
          <w:rFonts w:ascii="Times New Roman" w:hAnsi="Times New Roman"/>
          <w:noProof/>
        </w:rPr>
        <w:t>,</w:t>
      </w:r>
      <w:r w:rsidR="003C4967">
        <w:rPr>
          <w:rFonts w:ascii="Times New Roman" w:hAnsi="Times New Roman"/>
          <w:noProof/>
        </w:rPr>
        <w:t xml:space="preserve"> je v podmienkach Slovenskej republiky Audiovizuálny fond. </w:t>
      </w:r>
      <w:r>
        <w:rPr>
          <w:rFonts w:ascii="Times New Roman" w:hAnsi="Times New Roman"/>
          <w:noProof/>
        </w:rPr>
        <w:t xml:space="preserve">Z dôvodu </w:t>
      </w:r>
      <w:r w:rsidR="00865C0B">
        <w:rPr>
          <w:rFonts w:ascii="Times New Roman" w:hAnsi="Times New Roman"/>
          <w:noProof/>
        </w:rPr>
        <w:t>zjed</w:t>
      </w:r>
      <w:r>
        <w:rPr>
          <w:rFonts w:ascii="Times New Roman" w:hAnsi="Times New Roman"/>
          <w:noProof/>
        </w:rPr>
        <w:t>nodušenia situácie navrhujeme zo zákona</w:t>
      </w:r>
      <w:r w:rsidR="003C4967">
        <w:rPr>
          <w:rFonts w:ascii="Times New Roman" w:hAnsi="Times New Roman"/>
          <w:noProof/>
        </w:rPr>
        <w:t xml:space="preserve"> </w:t>
      </w:r>
      <w:r w:rsidRPr="005844CA">
        <w:rPr>
          <w:rFonts w:ascii="Times New Roman" w:hAnsi="Times New Roman"/>
          <w:bCs/>
        </w:rPr>
        <w:t>č. 516/2008</w:t>
      </w:r>
      <w:r>
        <w:rPr>
          <w:rFonts w:ascii="Times New Roman" w:hAnsi="Times New Roman"/>
          <w:bCs/>
        </w:rPr>
        <w:t xml:space="preserve"> Z. z.</w:t>
      </w:r>
      <w:r w:rsidRPr="005844CA">
        <w:rPr>
          <w:rFonts w:ascii="Times New Roman" w:hAnsi="Times New Roman"/>
          <w:bCs/>
        </w:rPr>
        <w:t xml:space="preserve"> </w:t>
      </w:r>
      <w:r w:rsidRPr="005844CA">
        <w:rPr>
          <w:rFonts w:ascii="Times New Roman" w:hAnsi="Times New Roman"/>
        </w:rPr>
        <w:t>o Audiovizuálnom fonde a o zmene a doplnení niektorých zákonov v znení neskorších predpisov</w:t>
      </w:r>
      <w:r w:rsidR="009B41F0">
        <w:rPr>
          <w:rFonts w:ascii="Times New Roman" w:hAnsi="Times New Roman"/>
        </w:rPr>
        <w:t xml:space="preserve"> </w:t>
      </w:r>
      <w:r>
        <w:rPr>
          <w:rFonts w:ascii="Times New Roman" w:hAnsi="Times New Roman"/>
        </w:rPr>
        <w:t>vypustiť podrobný mechanizmus udeľovania koprodukčného štatútu a prenecha</w:t>
      </w:r>
      <w:r w:rsidR="002F64C8">
        <w:rPr>
          <w:rFonts w:ascii="Times New Roman" w:hAnsi="Times New Roman"/>
        </w:rPr>
        <w:t>ť</w:t>
      </w:r>
      <w:r>
        <w:rPr>
          <w:rFonts w:ascii="Times New Roman" w:hAnsi="Times New Roman"/>
        </w:rPr>
        <w:t xml:space="preserve"> jeho úprav</w:t>
      </w:r>
      <w:r w:rsidR="002F64C8">
        <w:rPr>
          <w:rFonts w:ascii="Times New Roman" w:hAnsi="Times New Roman"/>
        </w:rPr>
        <w:t>u</w:t>
      </w:r>
      <w:r>
        <w:rPr>
          <w:rFonts w:ascii="Times New Roman" w:hAnsi="Times New Roman"/>
        </w:rPr>
        <w:t xml:space="preserve"> na interný predpis Audiovizuálneho fondu, ktorý bude schvaľovať rada Audiovizuálneho fondu. Navrhovaná úprava zabezpečí väčšiu flexibilitu pri </w:t>
      </w:r>
      <w:r w:rsidR="009B41F0">
        <w:rPr>
          <w:rFonts w:ascii="Times New Roman" w:hAnsi="Times New Roman"/>
        </w:rPr>
        <w:t>priznávaní štatútu oficiálnej koprodukcie</w:t>
      </w:r>
      <w:r>
        <w:rPr>
          <w:rFonts w:ascii="Times New Roman" w:hAnsi="Times New Roman"/>
        </w:rPr>
        <w:t xml:space="preserve"> a nevyžiada si v budúcnosti zmenu legislatívy v tomto ohľade. </w:t>
      </w:r>
    </w:p>
    <w:p w:rsidR="00626F5B" w:rsidP="003C4967">
      <w:pPr>
        <w:autoSpaceDE w:val="0"/>
        <w:autoSpaceDN w:val="0"/>
        <w:bidi w:val="0"/>
        <w:jc w:val="both"/>
        <w:rPr>
          <w:rFonts w:ascii="Times New Roman" w:hAnsi="Times New Roman"/>
        </w:rPr>
      </w:pPr>
    </w:p>
    <w:p w:rsidR="00E63235" w:rsidP="007C0D58">
      <w:pPr>
        <w:bidi w:val="0"/>
        <w:jc w:val="both"/>
        <w:rPr>
          <w:rFonts w:ascii="Times New Roman" w:hAnsi="Times New Roman"/>
        </w:rPr>
      </w:pPr>
      <w:r w:rsidR="00626F5B">
        <w:rPr>
          <w:rFonts w:ascii="Times New Roman" w:hAnsi="Times New Roman"/>
        </w:rPr>
        <w:t>Predložený návrh zákona reaguje aj na aplikačné problémy, ktoré so sebou priniesla</w:t>
      </w:r>
      <w:r w:rsidRPr="00B265A5" w:rsidR="00626F5B">
        <w:rPr>
          <w:rFonts w:ascii="Times New Roman" w:hAnsi="Times New Roman"/>
        </w:rPr>
        <w:t xml:space="preserve"> </w:t>
      </w:r>
      <w:r w:rsidR="00626F5B">
        <w:rPr>
          <w:rFonts w:ascii="Times New Roman" w:hAnsi="Times New Roman"/>
        </w:rPr>
        <w:t>praktická činnosť podporných fondov. V zákonoch upravujúcich činnosť jednotlivých podporných fondov sa navrhuje úprava ustanovenia o ich financovaní a hospodárení.</w:t>
      </w:r>
      <w:r>
        <w:rPr>
          <w:rFonts w:ascii="Times New Roman" w:hAnsi="Times New Roman"/>
        </w:rPr>
        <w:t xml:space="preserve"> </w:t>
      </w:r>
      <w:r w:rsidRPr="008F2B86" w:rsidR="00EC5D1E">
        <w:rPr>
          <w:rFonts w:ascii="Times New Roman" w:hAnsi="Times New Roman"/>
        </w:rPr>
        <w:t xml:space="preserve">Ako samostatné príjmy </w:t>
      </w:r>
      <w:r w:rsidRPr="008F2B86">
        <w:rPr>
          <w:rFonts w:ascii="Times New Roman" w:hAnsi="Times New Roman"/>
        </w:rPr>
        <w:t>podporných fondov</w:t>
      </w:r>
      <w:r w:rsidRPr="008F2B86" w:rsidR="00EC5D1E">
        <w:rPr>
          <w:rFonts w:ascii="Times New Roman" w:hAnsi="Times New Roman"/>
        </w:rPr>
        <w:t xml:space="preserve"> sa uvádzajú niektoré príjmy</w:t>
      </w:r>
      <w:r w:rsidRPr="008F2B86">
        <w:rPr>
          <w:rFonts w:ascii="Times New Roman" w:hAnsi="Times New Roman"/>
        </w:rPr>
        <w:t xml:space="preserve">, ktoré boli doteraz zahrnuté pod tzv. iné príjmy. Zároveň sa spresňuje vymedzenie jednotlivých príjmov fondov z hľadiska ich použitia na podpornú činnosť, resp. na vlastnú prevádzku. </w:t>
      </w:r>
      <w:r w:rsidRPr="008F2B86" w:rsidR="002F35D9">
        <w:rPr>
          <w:rFonts w:ascii="Times New Roman" w:hAnsi="Times New Roman"/>
        </w:rPr>
        <w:t xml:space="preserve">Podporné fondy </w:t>
      </w:r>
      <w:r w:rsidRPr="008F2B86">
        <w:rPr>
          <w:rFonts w:ascii="Times New Roman" w:hAnsi="Times New Roman"/>
        </w:rPr>
        <w:t>rozpočtujú svoje finančné prostriedky na</w:t>
      </w:r>
      <w:r w:rsidR="00EE4B18">
        <w:rPr>
          <w:rFonts w:ascii="Times New Roman" w:hAnsi="Times New Roman"/>
        </w:rPr>
        <w:t>jmenej na tri rozpočtové</w:t>
      </w:r>
      <w:r w:rsidRPr="008F2B86">
        <w:rPr>
          <w:rFonts w:ascii="Times New Roman" w:hAnsi="Times New Roman"/>
        </w:rPr>
        <w:t xml:space="preserve"> rok</w:t>
      </w:r>
      <w:r w:rsidR="00EE4B18">
        <w:rPr>
          <w:rFonts w:ascii="Times New Roman" w:hAnsi="Times New Roman"/>
        </w:rPr>
        <w:t>y</w:t>
      </w:r>
      <w:r w:rsidRPr="008F2B86">
        <w:rPr>
          <w:rFonts w:ascii="Times New Roman" w:hAnsi="Times New Roman"/>
        </w:rPr>
        <w:t>,</w:t>
      </w:r>
      <w:r w:rsidR="00EE4B18">
        <w:rPr>
          <w:rFonts w:ascii="Times New Roman" w:hAnsi="Times New Roman"/>
        </w:rPr>
        <w:t xml:space="preserve"> pričom príslušný kalendárny rok</w:t>
      </w:r>
      <w:r w:rsidRPr="008F2B86">
        <w:rPr>
          <w:rFonts w:ascii="Times New Roman" w:hAnsi="Times New Roman"/>
        </w:rPr>
        <w:t xml:space="preserve"> je rozpočtovým rokom fondu</w:t>
      </w:r>
      <w:r w:rsidR="00122C4F">
        <w:rPr>
          <w:rFonts w:ascii="Times New Roman" w:hAnsi="Times New Roman"/>
        </w:rPr>
        <w:t>.</w:t>
      </w:r>
      <w:r w:rsidRPr="008F2B86">
        <w:rPr>
          <w:rFonts w:ascii="Times New Roman" w:hAnsi="Times New Roman"/>
        </w:rPr>
        <w:t xml:space="preserve"> </w:t>
      </w:r>
      <w:r w:rsidR="00122C4F">
        <w:rPr>
          <w:rFonts w:ascii="Times New Roman" w:hAnsi="Times New Roman"/>
        </w:rPr>
        <w:t>A</w:t>
      </w:r>
      <w:r w:rsidRPr="00E50E86" w:rsidR="00122C4F">
        <w:rPr>
          <w:rFonts w:ascii="Times New Roman" w:hAnsi="Times New Roman"/>
        </w:rPr>
        <w:t xml:space="preserve">k </w:t>
      </w:r>
      <w:r w:rsidR="00122C4F">
        <w:rPr>
          <w:rFonts w:ascii="Times New Roman" w:hAnsi="Times New Roman"/>
        </w:rPr>
        <w:t xml:space="preserve">fond </w:t>
      </w:r>
      <w:r w:rsidRPr="00E50E86" w:rsidR="00122C4F">
        <w:rPr>
          <w:rFonts w:ascii="Times New Roman" w:hAnsi="Times New Roman"/>
        </w:rPr>
        <w:t xml:space="preserve">v príslušnom rozpočtovom roku nepoužije všetky rozpočtované finančné prostriedky, môže nevyčerpaný zostatok finančných prostriedkov použiť </w:t>
      </w:r>
      <w:r w:rsidR="00122C4F">
        <w:rPr>
          <w:rFonts w:ascii="Times New Roman" w:hAnsi="Times New Roman"/>
        </w:rPr>
        <w:t>v</w:t>
      </w:r>
      <w:r w:rsidRPr="00E50E86" w:rsidR="00122C4F">
        <w:rPr>
          <w:rFonts w:ascii="Times New Roman" w:hAnsi="Times New Roman"/>
        </w:rPr>
        <w:t xml:space="preserve"> nasledujúc</w:t>
      </w:r>
      <w:r w:rsidR="00122C4F">
        <w:rPr>
          <w:rFonts w:ascii="Times New Roman" w:hAnsi="Times New Roman"/>
        </w:rPr>
        <w:t>ich</w:t>
      </w:r>
      <w:r w:rsidRPr="00E50E86" w:rsidR="00122C4F">
        <w:rPr>
          <w:rFonts w:ascii="Times New Roman" w:hAnsi="Times New Roman"/>
        </w:rPr>
        <w:t xml:space="preserve"> rozpočtov</w:t>
      </w:r>
      <w:r w:rsidR="00122C4F">
        <w:rPr>
          <w:rFonts w:ascii="Times New Roman" w:hAnsi="Times New Roman"/>
        </w:rPr>
        <w:t xml:space="preserve">ých </w:t>
      </w:r>
      <w:r w:rsidRPr="00E50E86" w:rsidR="00122C4F">
        <w:rPr>
          <w:rFonts w:ascii="Times New Roman" w:hAnsi="Times New Roman"/>
        </w:rPr>
        <w:t>rok</w:t>
      </w:r>
      <w:r w:rsidR="00122C4F">
        <w:rPr>
          <w:rFonts w:ascii="Times New Roman" w:hAnsi="Times New Roman"/>
        </w:rPr>
        <w:t>och.</w:t>
      </w:r>
    </w:p>
    <w:p w:rsidR="00E63235" w:rsidP="007C0D58">
      <w:pPr>
        <w:bidi w:val="0"/>
        <w:jc w:val="both"/>
        <w:rPr>
          <w:rFonts w:ascii="Times New Roman" w:hAnsi="Times New Roman"/>
        </w:rPr>
      </w:pPr>
    </w:p>
    <w:p w:rsidR="007C0D58" w:rsidP="007C0D58">
      <w:pPr>
        <w:bidi w:val="0"/>
        <w:jc w:val="both"/>
        <w:rPr>
          <w:rFonts w:ascii="Times New Roman" w:hAnsi="Times New Roman"/>
        </w:rPr>
      </w:pPr>
      <w:r w:rsidRPr="008F2B86" w:rsidR="00E63235">
        <w:rPr>
          <w:rFonts w:ascii="Times New Roman" w:hAnsi="Times New Roman"/>
        </w:rPr>
        <w:t>Navrhuje sa spresnenie vymedzenia činností Audiovizuálneho fondu a Fondu na podporu umenia tak, aby bolo zrejmé, že určité činnosti týchto fondov predstavujú realizáciu ich podpornej činnosti vo forme tzv. nefinančnej podpory.</w:t>
      </w:r>
      <w:r w:rsidRPr="008F2B86" w:rsidR="00DE399F">
        <w:rPr>
          <w:rFonts w:ascii="Times New Roman" w:hAnsi="Times New Roman"/>
        </w:rPr>
        <w:t xml:space="preserve"> Ide predovšetkým o uskutočňovanie prezentačných a propagačných aktivít, vzdelávacích aktivít, metodicko-poradenskej činnosti či sprostredkovateľskej činnosti. V návrhu sa precizujú aj </w:t>
      </w:r>
      <w:r w:rsidRPr="008F2B86" w:rsidR="00626F5B">
        <w:rPr>
          <w:rFonts w:ascii="Times New Roman" w:hAnsi="Times New Roman"/>
        </w:rPr>
        <w:t>niektoré ustanovenia týkajúce sa procesu poskytovania podpory týmito fondmi a tiež možnosť riešiť prípadné spory s prijímateľmi finančných prostriedkov na rozhodcovskom súde. Upravujú sa aj podmienky spracúvania osobných údajov Audiov</w:t>
      </w:r>
      <w:r w:rsidRPr="000A7093" w:rsidR="00626F5B">
        <w:rPr>
          <w:rFonts w:ascii="Times New Roman" w:hAnsi="Times New Roman"/>
        </w:rPr>
        <w:t>izuálnym fondom.</w:t>
      </w:r>
      <w:r w:rsidR="00626F5B">
        <w:rPr>
          <w:rFonts w:ascii="Times New Roman" w:hAnsi="Times New Roman"/>
        </w:rPr>
        <w:t xml:space="preserve"> </w:t>
      </w:r>
    </w:p>
    <w:p w:rsidR="00DE399F" w:rsidRPr="00DE399F" w:rsidP="007C0D58">
      <w:pPr>
        <w:bidi w:val="0"/>
        <w:jc w:val="both"/>
        <w:rPr>
          <w:rFonts w:ascii="Times New Roman" w:hAnsi="Times New Roman"/>
        </w:rPr>
      </w:pPr>
    </w:p>
    <w:p w:rsidR="007C0D58" w:rsidP="007C0D58">
      <w:pPr>
        <w:bidi w:val="0"/>
        <w:jc w:val="both"/>
        <w:rPr>
          <w:rFonts w:ascii="Times New Roman" w:hAnsi="Times New Roman"/>
        </w:rPr>
      </w:pPr>
      <w:r w:rsidRPr="007C0D58">
        <w:rPr>
          <w:rFonts w:ascii="Times New Roman" w:hAnsi="Times New Roman"/>
        </w:rPr>
        <w:t xml:space="preserve">Navrhuje sa rozšírenie činnosti Fondu na podporu umenia o spoluprácu s odbornými a profesijnými organizáciami a ďalšími osobami pôsobiacimi v oblasti umenia, kultúry a kreatívneho priemyslu, poskytovanie vzdelávacích aktivít, metodicko-poradenskej činnosti, o propagáciu a o poskytovanie informácií z oblasti umenia, kultúry a kreatívneho priemyslu. Fond </w:t>
      </w:r>
      <w:r w:rsidRPr="00E63235">
        <w:rPr>
          <w:rFonts w:ascii="Times New Roman" w:hAnsi="Times New Roman"/>
        </w:rPr>
        <w:t>na podporu umenia je najväčším poskytovateľom verejných zdrojov na Slovensku na podporu umenia, kultúry a</w:t>
      </w:r>
      <w:r w:rsidRPr="00DE399F">
        <w:rPr>
          <w:rFonts w:ascii="Times New Roman" w:hAnsi="Times New Roman"/>
        </w:rPr>
        <w:t> kreatívneho priemyslu, preto je nevyhnutné, aby odborne spracovával informácie o</w:t>
      </w:r>
      <w:r w:rsidRPr="00B4536D">
        <w:rPr>
          <w:rFonts w:ascii="Times New Roman" w:hAnsi="Times New Roman"/>
        </w:rPr>
        <w:t> podpore, jej efektivite a opodstatnenosti a rovnako skúmal možnosti jej ďalšieho rozšírenia, či modifikácie z hľadiska strategických cieľov rozvoja umenia, kultúry a kreatívneho priemyslu na Slovensku</w:t>
      </w:r>
      <w:r w:rsidR="00954C6E">
        <w:rPr>
          <w:rFonts w:ascii="Times New Roman" w:hAnsi="Times New Roman"/>
        </w:rPr>
        <w:t xml:space="preserve">, na čo vie využiť </w:t>
      </w:r>
      <w:r w:rsidRPr="007C0D58">
        <w:rPr>
          <w:rFonts w:ascii="Times New Roman" w:hAnsi="Times New Roman"/>
        </w:rPr>
        <w:t>údaje o značnej časti slovenského umenia, kultúry a kreatívnom priemysle</w:t>
      </w:r>
      <w:r w:rsidR="00954C6E">
        <w:rPr>
          <w:rFonts w:ascii="Times New Roman" w:hAnsi="Times New Roman"/>
        </w:rPr>
        <w:t>, ktoré má k dispozícii</w:t>
      </w:r>
      <w:r w:rsidRPr="007C0D58">
        <w:rPr>
          <w:rFonts w:ascii="Times New Roman" w:hAnsi="Times New Roman"/>
        </w:rPr>
        <w:t>.</w:t>
      </w:r>
    </w:p>
    <w:p w:rsidR="007C0D58" w:rsidP="00626F5B">
      <w:pPr>
        <w:bidi w:val="0"/>
        <w:jc w:val="both"/>
        <w:rPr>
          <w:rFonts w:ascii="Times New Roman" w:hAnsi="Times New Roman"/>
        </w:rPr>
      </w:pPr>
    </w:p>
    <w:p w:rsidR="00954C6E" w:rsidP="00954C6E">
      <w:pPr>
        <w:bidi w:val="0"/>
        <w:jc w:val="both"/>
        <w:rPr>
          <w:rFonts w:ascii="Times New Roman" w:hAnsi="Times New Roman"/>
        </w:rPr>
      </w:pPr>
      <w:r w:rsidRPr="000307BB" w:rsidR="00626F5B">
        <w:rPr>
          <w:rFonts w:ascii="Times New Roman" w:hAnsi="Times New Roman"/>
        </w:rPr>
        <w:t xml:space="preserve">Navrhuje sa </w:t>
      </w:r>
      <w:r w:rsidR="00626F5B">
        <w:rPr>
          <w:rFonts w:ascii="Times New Roman" w:hAnsi="Times New Roman"/>
        </w:rPr>
        <w:t xml:space="preserve">znížiť počet členov rady Fondu na podporu umenia, ktorých </w:t>
      </w:r>
      <w:r w:rsidRPr="00050018" w:rsidR="00626F5B">
        <w:rPr>
          <w:rFonts w:ascii="Times New Roman" w:hAnsi="Times New Roman"/>
        </w:rPr>
        <w:t>vymenúva a odvoláva minister kultúry bez návrhu</w:t>
      </w:r>
      <w:r w:rsidR="00626F5B">
        <w:rPr>
          <w:rFonts w:ascii="Times New Roman" w:hAnsi="Times New Roman"/>
        </w:rPr>
        <w:t xml:space="preserve"> zo štyroch na troch a v nadväznosti na to zv</w:t>
      </w:r>
      <w:r w:rsidR="00FD38F0">
        <w:rPr>
          <w:rFonts w:ascii="Times New Roman" w:hAnsi="Times New Roman"/>
        </w:rPr>
        <w:t>ýšiť počet členov rady, ktorých</w:t>
      </w:r>
      <w:r w:rsidR="00626F5B">
        <w:rPr>
          <w:rFonts w:ascii="Times New Roman" w:hAnsi="Times New Roman"/>
        </w:rPr>
        <w:t xml:space="preserve"> </w:t>
      </w:r>
      <w:r w:rsidRPr="00050018" w:rsidR="00626F5B">
        <w:rPr>
          <w:rFonts w:ascii="Times New Roman" w:hAnsi="Times New Roman"/>
        </w:rPr>
        <w:t xml:space="preserve">vymenúva a </w:t>
      </w:r>
      <w:r w:rsidRPr="00870CE5" w:rsidR="00626F5B">
        <w:rPr>
          <w:rFonts w:ascii="Times New Roman" w:hAnsi="Times New Roman"/>
        </w:rPr>
        <w:t>odvoláva minister kultúry na návrh tak, aby šiestym členom rady vymenovaným ministrom kultúry na návrh bola osoba pôsobiaca v</w:t>
      </w:r>
      <w:r w:rsidRPr="005040FE" w:rsidR="00626F5B">
        <w:rPr>
          <w:rFonts w:ascii="Times New Roman" w:hAnsi="Times New Roman"/>
        </w:rPr>
        <w:t> oblasti pamäťových a fondových inštitúcii.</w:t>
      </w:r>
      <w:r>
        <w:rPr>
          <w:rFonts w:ascii="Times New Roman" w:hAnsi="Times New Roman"/>
        </w:rPr>
        <w:t xml:space="preserve"> </w:t>
      </w:r>
      <w:r w:rsidRPr="000307BB">
        <w:rPr>
          <w:rFonts w:ascii="Times New Roman" w:hAnsi="Times New Roman"/>
        </w:rPr>
        <w:t>Zástupca z tejto oblasti môže priniesť do rady fondu odborný pohľad, ktorý by bez jeho prítomnosti absentoval</w:t>
      </w:r>
      <w:r>
        <w:rPr>
          <w:rFonts w:ascii="Times New Roman" w:hAnsi="Times New Roman"/>
        </w:rPr>
        <w:t>,</w:t>
      </w:r>
      <w:r w:rsidRPr="000307BB">
        <w:rPr>
          <w:rFonts w:ascii="Times New Roman" w:hAnsi="Times New Roman"/>
        </w:rPr>
        <w:t xml:space="preserve"> pri rozšírení doterajšej podpornej činnosti aj o ďalšie oblasti podpory pamäťových</w:t>
      </w:r>
      <w:r>
        <w:rPr>
          <w:rFonts w:ascii="Times New Roman" w:hAnsi="Times New Roman"/>
        </w:rPr>
        <w:t xml:space="preserve"> a </w:t>
      </w:r>
      <w:r w:rsidRPr="000307BB">
        <w:rPr>
          <w:rFonts w:ascii="Times New Roman" w:hAnsi="Times New Roman"/>
        </w:rPr>
        <w:t>fondových inštitúcií, ktoré sú zásadnou súčasťou</w:t>
      </w:r>
      <w:r>
        <w:rPr>
          <w:rFonts w:ascii="Times New Roman" w:hAnsi="Times New Roman"/>
        </w:rPr>
        <w:t xml:space="preserve"> umenia a kultúry na Slovensku.</w:t>
      </w:r>
    </w:p>
    <w:p w:rsidR="00DE399F" w:rsidP="00954C6E">
      <w:pPr>
        <w:bidi w:val="0"/>
        <w:jc w:val="both"/>
        <w:rPr>
          <w:rFonts w:ascii="Times New Roman" w:hAnsi="Times New Roman"/>
        </w:rPr>
      </w:pPr>
    </w:p>
    <w:p w:rsidR="00DE399F" w:rsidP="00DE399F">
      <w:pPr>
        <w:shd w:val="clear" w:color="auto" w:fill="FFFFFF"/>
        <w:bidi w:val="0"/>
        <w:jc w:val="both"/>
        <w:rPr>
          <w:rFonts w:ascii="Times New Roman" w:hAnsi="Times New Roman"/>
        </w:rPr>
      </w:pPr>
      <w:r w:rsidRPr="008F2B86">
        <w:rPr>
          <w:rFonts w:ascii="Times New Roman" w:hAnsi="Times New Roman"/>
        </w:rPr>
        <w:t>Navrhuje sa aj zvýšenie sumy na prevádzku Fondu na podporu umenia o 0,5 % z</w:t>
      </w:r>
      <w:r w:rsidRPr="008F2B86" w:rsidR="002F35D9">
        <w:rPr>
          <w:rFonts w:ascii="Times New Roman" w:hAnsi="Times New Roman"/>
        </w:rPr>
        <w:t xml:space="preserve"> jeho </w:t>
      </w:r>
      <w:r w:rsidRPr="008F2B86">
        <w:rPr>
          <w:rFonts w:ascii="Times New Roman" w:hAnsi="Times New Roman"/>
        </w:rPr>
        <w:t>príjmov stanovených zákonom</w:t>
      </w:r>
      <w:r w:rsidRPr="008F2B86" w:rsidR="002F35D9">
        <w:rPr>
          <w:rFonts w:ascii="Times New Roman" w:hAnsi="Times New Roman"/>
        </w:rPr>
        <w:t>. Potreba zvýšiť prevádzkový rozpočet</w:t>
      </w:r>
      <w:r w:rsidRPr="008F2B86">
        <w:rPr>
          <w:rFonts w:ascii="Times New Roman" w:hAnsi="Times New Roman"/>
        </w:rPr>
        <w:t xml:space="preserve"> Fond</w:t>
      </w:r>
      <w:r w:rsidRPr="008F2B86" w:rsidR="002F35D9">
        <w:rPr>
          <w:rFonts w:ascii="Times New Roman" w:hAnsi="Times New Roman"/>
        </w:rPr>
        <w:t>u</w:t>
      </w:r>
      <w:r w:rsidRPr="008F2B86">
        <w:rPr>
          <w:rFonts w:ascii="Times New Roman" w:hAnsi="Times New Roman"/>
        </w:rPr>
        <w:t xml:space="preserve"> na podporu umenia</w:t>
      </w:r>
      <w:r w:rsidRPr="008F2B86" w:rsidR="002F35D9">
        <w:rPr>
          <w:rFonts w:ascii="Times New Roman" w:hAnsi="Times New Roman"/>
        </w:rPr>
        <w:t xml:space="preserve"> vyplýva zo skutočnosti, že tento fond</w:t>
      </w:r>
      <w:r w:rsidRPr="008F2B86">
        <w:rPr>
          <w:rFonts w:ascii="Times New Roman" w:hAnsi="Times New Roman"/>
        </w:rPr>
        <w:t xml:space="preserve"> momentálne spracováva takmer 5000 žiadostí a administruje približne 2800 zmlúv a vyúčtovaní projektov ročne, podporuje aj náročnejšie a komplexnejšie projekty, registruje príjemcov štátnej pomoci a minimálnej pomoci a vedie register profesionálnych umelcov, čo predstavuje časovo náročné aktivity z hľadiska administrácie a spracovania a vyžaduje si navýšenie personálnych kapacít.</w:t>
      </w:r>
      <w:r>
        <w:rPr>
          <w:rFonts w:ascii="Times New Roman" w:hAnsi="Times New Roman"/>
        </w:rPr>
        <w:t xml:space="preserve"> </w:t>
      </w:r>
    </w:p>
    <w:p w:rsidR="00626F5B" w:rsidP="003C4967">
      <w:pPr>
        <w:autoSpaceDE w:val="0"/>
        <w:autoSpaceDN w:val="0"/>
        <w:bidi w:val="0"/>
        <w:jc w:val="both"/>
        <w:rPr>
          <w:rFonts w:ascii="Times New Roman" w:hAnsi="Times New Roman"/>
        </w:rPr>
      </w:pPr>
    </w:p>
    <w:p w:rsidR="00DE399F" w:rsidRPr="00C342E4" w:rsidP="00DE399F">
      <w:pPr>
        <w:bidi w:val="0"/>
        <w:jc w:val="both"/>
        <w:rPr>
          <w:rFonts w:ascii="Times New Roman" w:hAnsi="Times New Roman"/>
        </w:rPr>
      </w:pPr>
      <w:r w:rsidR="00307B16">
        <w:rPr>
          <w:rFonts w:ascii="Times New Roman" w:hAnsi="Times New Roman"/>
        </w:rPr>
        <w:t xml:space="preserve">V nadväznosti na </w:t>
      </w:r>
      <w:r w:rsidR="00307B16">
        <w:rPr>
          <w:rFonts w:ascii="Times New Roman" w:hAnsi="Times New Roman"/>
          <w:noProof/>
        </w:rPr>
        <w:t>zmenu</w:t>
      </w:r>
      <w:r w:rsidRPr="003C4967" w:rsidR="00307B16">
        <w:rPr>
          <w:rFonts w:ascii="Times New Roman" w:hAnsi="Times New Roman"/>
          <w:noProof/>
        </w:rPr>
        <w:t xml:space="preserve"> vzájomného pomeru vkladov koproducentov</w:t>
      </w:r>
      <w:r w:rsidR="00307B16">
        <w:rPr>
          <w:rFonts w:ascii="Times New Roman" w:hAnsi="Times New Roman"/>
          <w:noProof/>
        </w:rPr>
        <w:t xml:space="preserve">, ktorú priniesol revidovaný dohovor, navrhujeme v zákone č. 40/2015 Z. z. o audiovízii </w:t>
      </w:r>
      <w:r w:rsidRPr="005844CA" w:rsidR="00D708F9">
        <w:rPr>
          <w:rFonts w:ascii="Times New Roman" w:hAnsi="Times New Roman"/>
        </w:rPr>
        <w:t>a o zmene a doplnení niektorých zákonov v znení zákona č. 278/2015 Z. z.</w:t>
      </w:r>
      <w:r w:rsidR="00D708F9">
        <w:rPr>
          <w:rFonts w:ascii="Times New Roman" w:hAnsi="Times New Roman"/>
        </w:rPr>
        <w:t xml:space="preserve"> </w:t>
      </w:r>
      <w:r w:rsidR="00546DA8">
        <w:rPr>
          <w:rFonts w:ascii="Times New Roman" w:hAnsi="Times New Roman"/>
          <w:noProof/>
        </w:rPr>
        <w:t>uprav</w:t>
      </w:r>
      <w:r w:rsidR="00307B16">
        <w:rPr>
          <w:rFonts w:ascii="Times New Roman" w:hAnsi="Times New Roman"/>
          <w:noProof/>
        </w:rPr>
        <w:t>iť definíciu pojmu slovenské audiovizuálne dielo.</w:t>
      </w:r>
      <w:r w:rsidR="0017304F">
        <w:rPr>
          <w:rFonts w:ascii="Times New Roman" w:hAnsi="Times New Roman"/>
          <w:noProof/>
        </w:rPr>
        <w:t xml:space="preserve"> </w:t>
      </w:r>
      <w:r w:rsidR="009B41F0">
        <w:rPr>
          <w:rFonts w:ascii="Times New Roman" w:hAnsi="Times New Roman"/>
        </w:rPr>
        <w:t>Navrhuje sa zjednodušenie vymedzenia slovenského audiovizuálneho diela, ktoré je koprodukčným dielom, odkazom na splnenie podmienok oficiálnej koprodukcie za súčasného predpokladu, že aspoň jeden koproducent tohto diela má vzťah so Slovenskou republikou formou trvalého pobytu, miesta podnikania alebo sídla.</w:t>
      </w:r>
      <w:r w:rsidR="00954C6E">
        <w:rPr>
          <w:rFonts w:ascii="Times New Roman" w:hAnsi="Times New Roman"/>
        </w:rPr>
        <w:t xml:space="preserve"> Medzi činnosti </w:t>
      </w:r>
      <w:r w:rsidRPr="008F2B86" w:rsidR="00954C6E">
        <w:rPr>
          <w:rFonts w:ascii="Times New Roman" w:hAnsi="Times New Roman"/>
        </w:rPr>
        <w:t xml:space="preserve">Slovenského filmového ústavu sa dopĺňa </w:t>
      </w:r>
      <w:r w:rsidRPr="008F2B86">
        <w:rPr>
          <w:rFonts w:ascii="Times New Roman" w:hAnsi="Times New Roman"/>
        </w:rPr>
        <w:t>možnosť zriadenia</w:t>
      </w:r>
      <w:r w:rsidRPr="008F2B86" w:rsidR="00954C6E">
        <w:rPr>
          <w:rFonts w:ascii="Times New Roman" w:hAnsi="Times New Roman"/>
        </w:rPr>
        <w:t xml:space="preserve"> múzea slovenskej kinematografie.</w:t>
      </w:r>
      <w:r w:rsidRPr="008F2B86">
        <w:rPr>
          <w:rFonts w:ascii="Times New Roman" w:hAnsi="Times New Roman"/>
        </w:rPr>
        <w:t xml:space="preserve"> Túto činnosť možno označiť ako doplnkovú činnosť k poslaniu a aktivitám národného filmového archívu. Zároveň táto nová činnosť predstavuje akcent na komplexnosť získavania, záchrany, obnovy a následného sprístupňovania kultúrneho dedičstva v oblasti audiovízie.</w:t>
      </w:r>
      <w:r>
        <w:rPr>
          <w:rFonts w:ascii="Times New Roman" w:hAnsi="Times New Roman"/>
        </w:rPr>
        <w:t xml:space="preserve"> </w:t>
      </w:r>
    </w:p>
    <w:p w:rsidR="00307B16" w:rsidP="003C4967">
      <w:pPr>
        <w:autoSpaceDE w:val="0"/>
        <w:autoSpaceDN w:val="0"/>
        <w:bidi w:val="0"/>
        <w:jc w:val="both"/>
        <w:rPr>
          <w:rFonts w:ascii="Times New Roman" w:hAnsi="Times New Roman"/>
          <w:noProof/>
        </w:rPr>
      </w:pPr>
    </w:p>
    <w:p w:rsidR="00307B16" w:rsidP="00307B16">
      <w:pPr>
        <w:bidi w:val="0"/>
        <w:jc w:val="both"/>
        <w:rPr>
          <w:rFonts w:ascii="Times New Roman" w:hAnsi="Times New Roman"/>
        </w:rPr>
      </w:pPr>
      <w:r w:rsidRPr="00727314">
        <w:rPr>
          <w:rFonts w:ascii="Times New Roman" w:hAnsi="Times New Roman"/>
          <w:bCs/>
          <w:color w:val="000000"/>
        </w:rPr>
        <w:t xml:space="preserve">Návrh zákona je v súlade s Ústavou Slovenskej republiky, ústavnými zákonmi a nálezmi ústavného súdu, zákonmi a medzinárodnými zmluvami, ktorými je Slovenská republika viazaná, ako aj s právom EÚ.  </w:t>
      </w:r>
    </w:p>
    <w:p w:rsidR="00307B16" w:rsidP="00307B16">
      <w:pPr>
        <w:bidi w:val="0"/>
        <w:jc w:val="both"/>
        <w:rPr>
          <w:rFonts w:ascii="Times New Roman" w:hAnsi="Times New Roman"/>
        </w:rPr>
      </w:pPr>
    </w:p>
    <w:p w:rsidR="00307B16" w:rsidP="00307B16">
      <w:pPr>
        <w:bidi w:val="0"/>
        <w:jc w:val="both"/>
        <w:rPr>
          <w:rFonts w:ascii="Times New Roman" w:hAnsi="Times New Roman"/>
          <w:bCs/>
          <w:color w:val="000000"/>
        </w:rPr>
      </w:pPr>
      <w:r w:rsidRPr="00727314">
        <w:rPr>
          <w:rFonts w:ascii="Times New Roman" w:hAnsi="Times New Roman"/>
          <w:bCs/>
          <w:color w:val="000000"/>
        </w:rPr>
        <w:t xml:space="preserve">Predkladaný návrh zákona nemá </w:t>
      </w:r>
      <w:r>
        <w:rPr>
          <w:rFonts w:ascii="Times New Roman" w:hAnsi="Times New Roman"/>
          <w:bCs/>
          <w:color w:val="000000"/>
        </w:rPr>
        <w:t xml:space="preserve">žiadne vplyvy na rozpočet verejnej správy, na podnikateľské prostredie, sociálne vplyvy, </w:t>
      </w:r>
      <w:r w:rsidRPr="00727314">
        <w:rPr>
          <w:rFonts w:ascii="Times New Roman" w:hAnsi="Times New Roman"/>
          <w:bCs/>
          <w:color w:val="000000"/>
        </w:rPr>
        <w:t xml:space="preserve">žiadny </w:t>
      </w:r>
      <w:r>
        <w:rPr>
          <w:rFonts w:ascii="Times New Roman" w:hAnsi="Times New Roman"/>
          <w:bCs/>
          <w:color w:val="000000"/>
        </w:rPr>
        <w:t xml:space="preserve">vplyv na životné prostredie, </w:t>
      </w:r>
      <w:r w:rsidRPr="00727314">
        <w:rPr>
          <w:rFonts w:ascii="Times New Roman" w:hAnsi="Times New Roman"/>
          <w:bCs/>
          <w:color w:val="000000"/>
        </w:rPr>
        <w:t>na informatizáciu spoločnosti</w:t>
      </w:r>
      <w:r>
        <w:rPr>
          <w:rFonts w:ascii="Times New Roman" w:hAnsi="Times New Roman"/>
          <w:bCs/>
          <w:color w:val="000000"/>
        </w:rPr>
        <w:t xml:space="preserve"> ani na služby verejnej správy pre občana</w:t>
      </w:r>
      <w:r w:rsidRPr="00727314">
        <w:rPr>
          <w:rFonts w:ascii="Times New Roman" w:hAnsi="Times New Roman"/>
          <w:bCs/>
          <w:color w:val="000000"/>
        </w:rPr>
        <w:t>.</w:t>
      </w:r>
    </w:p>
    <w:p w:rsidR="00ED6BD2" w:rsidP="00307B16">
      <w:pPr>
        <w:bidi w:val="0"/>
        <w:jc w:val="both"/>
        <w:rPr>
          <w:rFonts w:ascii="Times New Roman" w:hAnsi="Times New Roman"/>
          <w:bCs/>
          <w:color w:val="000000"/>
        </w:rPr>
      </w:pPr>
    </w:p>
    <w:p w:rsidR="00ED6BD2" w:rsidP="00307B16">
      <w:pPr>
        <w:bidi w:val="0"/>
        <w:jc w:val="both"/>
        <w:rPr>
          <w:rFonts w:ascii="Times New Roman" w:hAnsi="Times New Roman"/>
          <w:bCs/>
          <w:color w:val="000000"/>
        </w:rPr>
      </w:pPr>
    </w:p>
    <w:p w:rsidR="00ED6BD2" w:rsidP="00307B16">
      <w:pPr>
        <w:bidi w:val="0"/>
        <w:jc w:val="both"/>
        <w:rPr>
          <w:rFonts w:ascii="Times New Roman" w:hAnsi="Times New Roman"/>
          <w:bCs/>
          <w:color w:val="000000"/>
        </w:rPr>
      </w:pPr>
    </w:p>
    <w:p w:rsidR="00ED6BD2" w:rsidRPr="003C4967" w:rsidP="00307B16">
      <w:pPr>
        <w:bidi w:val="0"/>
        <w:jc w:val="both"/>
        <w:rPr>
          <w:rFonts w:ascii="Times New Roman" w:hAnsi="Times New Roman"/>
        </w:rPr>
      </w:pPr>
    </w:p>
    <w:p w:rsidR="00ED6BD2" w:rsidRPr="00A179AE" w:rsidP="00ED6BD2">
      <w:pPr>
        <w:bidi w:val="0"/>
        <w:jc w:val="center"/>
        <w:rPr>
          <w:rFonts w:ascii="Times New Roman" w:hAnsi="Times New Roman"/>
          <w:b/>
          <w:bCs/>
          <w:sz w:val="28"/>
          <w:szCs w:val="28"/>
        </w:rPr>
      </w:pPr>
      <w:r>
        <w:rPr>
          <w:rFonts w:ascii="Times New Roman" w:hAnsi="Times New Roman"/>
        </w:rPr>
        <w:tab/>
      </w:r>
      <w:r>
        <w:rPr>
          <w:rFonts w:ascii="Times New Roman" w:hAnsi="Times New Roman"/>
          <w:b/>
          <w:bCs/>
          <w:sz w:val="28"/>
          <w:szCs w:val="28"/>
        </w:rPr>
        <w:t>Doložka vybraných vplyvov</w:t>
      </w:r>
    </w:p>
    <w:p w:rsidR="00ED6BD2" w:rsidRPr="00BF3078" w:rsidP="00ED6BD2">
      <w:pPr>
        <w:pStyle w:val="ListParagraph"/>
        <w:bidi w:val="0"/>
        <w:ind w:left="426"/>
        <w:rPr>
          <w:rFonts w:ascii="Times New Roman" w:hAnsi="Times New Roman"/>
          <w:b/>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D6BD2" w:rsidRPr="00A179AE" w:rsidP="00ED6BD2">
            <w:pPr>
              <w:pStyle w:val="ListParagraph"/>
              <w:widowControl/>
              <w:numPr>
                <w:numId w:val="1"/>
              </w:numPr>
              <w:bidi w:val="0"/>
              <w:adjustRightInd/>
              <w:ind w:left="426"/>
              <w:rPr>
                <w:rFonts w:ascii="Times New Roman" w:hAnsi="Times New Roman"/>
                <w:b/>
                <w:sz w:val="22"/>
                <w:szCs w:val="22"/>
                <w:lang w:eastAsia="en-US"/>
              </w:rPr>
            </w:pPr>
            <w:r w:rsidRPr="00A179AE">
              <w:rPr>
                <w:rFonts w:ascii="Times New Roman" w:hAnsi="Times New Roman"/>
                <w:b/>
                <w:sz w:val="22"/>
                <w:szCs w:val="22"/>
                <w:lang w:eastAsia="en-US"/>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D6BD2" w:rsidRPr="00A179AE" w:rsidP="00236D91">
            <w:pPr>
              <w:pStyle w:val="ListParagraph"/>
              <w:bidi w:val="0"/>
              <w:ind w:left="142"/>
              <w:rPr>
                <w:rFonts w:ascii="Times New Roman" w:hAnsi="Times New Roman"/>
                <w:b/>
                <w:sz w:val="22"/>
                <w:szCs w:val="22"/>
                <w:lang w:eastAsia="en-US"/>
              </w:rPr>
            </w:pPr>
            <w:r w:rsidRPr="00A179AE">
              <w:rPr>
                <w:rFonts w:ascii="Times New Roman" w:hAnsi="Times New Roman"/>
                <w:b/>
                <w:sz w:val="22"/>
                <w:szCs w:val="22"/>
                <w:lang w:eastAsia="en-US"/>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ED6BD2" w:rsidRPr="0088236A" w:rsidP="00236D91">
            <w:pPr>
              <w:autoSpaceDE w:val="0"/>
              <w:autoSpaceDN w:val="0"/>
              <w:bidi w:val="0"/>
              <w:jc w:val="both"/>
              <w:rPr>
                <w:rFonts w:ascii="Times New Roman" w:hAnsi="Times New Roman"/>
                <w:sz w:val="22"/>
                <w:szCs w:val="22"/>
                <w:lang w:eastAsia="en-US"/>
              </w:rPr>
            </w:pPr>
            <w:r w:rsidRPr="00D05FE4">
              <w:rPr>
                <w:rFonts w:ascii="Times New Roman" w:hAnsi="Times New Roman"/>
                <w:noProof/>
                <w:sz w:val="22"/>
                <w:szCs w:val="22"/>
                <w:lang w:eastAsia="en-US"/>
              </w:rPr>
              <w:t xml:space="preserve">Návrh zákona, </w:t>
            </w:r>
            <w:r w:rsidRPr="00D05FE4">
              <w:rPr>
                <w:rFonts w:ascii="Times New Roman" w:hAnsi="Times New Roman"/>
                <w:bCs/>
                <w:sz w:val="22"/>
                <w:szCs w:val="22"/>
                <w:lang w:eastAsia="en-US"/>
              </w:rPr>
              <w:t xml:space="preserve">ktorým sa mení </w:t>
            </w:r>
            <w:r>
              <w:rPr>
                <w:rFonts w:ascii="Times New Roman" w:hAnsi="Times New Roman"/>
                <w:bCs/>
                <w:sz w:val="22"/>
                <w:szCs w:val="22"/>
                <w:lang w:eastAsia="en-US"/>
              </w:rPr>
              <w:t xml:space="preserve">a dopĺňa </w:t>
            </w:r>
            <w:r w:rsidRPr="00D05FE4">
              <w:rPr>
                <w:rFonts w:ascii="Times New Roman" w:hAnsi="Times New Roman"/>
                <w:bCs/>
                <w:sz w:val="22"/>
                <w:szCs w:val="22"/>
                <w:lang w:eastAsia="en-US"/>
              </w:rPr>
              <w:t xml:space="preserve">zákon č. </w:t>
            </w:r>
            <w:r>
              <w:rPr>
                <w:rFonts w:ascii="Times New Roman" w:hAnsi="Times New Roman"/>
                <w:bCs/>
                <w:sz w:val="22"/>
                <w:szCs w:val="22"/>
                <w:lang w:eastAsia="en-US"/>
              </w:rPr>
              <w:t>516/2008 Z. z.</w:t>
            </w:r>
            <w:r w:rsidRPr="00D05FE4">
              <w:rPr>
                <w:rFonts w:ascii="Times New Roman" w:hAnsi="Times New Roman"/>
                <w:bCs/>
                <w:sz w:val="22"/>
                <w:szCs w:val="22"/>
                <w:lang w:eastAsia="en-US"/>
              </w:rPr>
              <w:t xml:space="preserve"> </w:t>
            </w:r>
            <w:r w:rsidRPr="00D05FE4">
              <w:rPr>
                <w:rFonts w:ascii="Times New Roman" w:hAnsi="Times New Roman"/>
                <w:sz w:val="22"/>
                <w:szCs w:val="22"/>
                <w:lang w:eastAsia="en-US"/>
              </w:rPr>
              <w:t xml:space="preserve">o Audiovizuálnom fonde a o zmene a doplnení niektorých zákonov v znení neskorších predpisov a </w:t>
            </w:r>
            <w:r w:rsidRPr="006A20DB">
              <w:rPr>
                <w:rFonts w:ascii="Times New Roman" w:hAnsi="Times New Roman"/>
                <w:sz w:val="22"/>
                <w:szCs w:val="22"/>
                <w:lang w:eastAsia="en-US"/>
              </w:rPr>
              <w:t>ktorým sa menia a dopĺňajú niektoré zákony</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D6BD2" w:rsidRPr="00A179AE" w:rsidP="00236D91">
            <w:pPr>
              <w:pStyle w:val="ListParagraph"/>
              <w:bidi w:val="0"/>
              <w:ind w:left="142"/>
              <w:rPr>
                <w:rFonts w:ascii="Times New Roman" w:hAnsi="Times New Roman"/>
                <w:b/>
                <w:sz w:val="22"/>
                <w:szCs w:val="22"/>
                <w:lang w:eastAsia="en-US"/>
              </w:rPr>
            </w:pPr>
            <w:r w:rsidRPr="00A179AE">
              <w:rPr>
                <w:rFonts w:ascii="Times New Roman" w:hAnsi="Times New Roman"/>
                <w:b/>
                <w:sz w:val="22"/>
                <w:szCs w:val="22"/>
                <w:lang w:eastAsia="en-US"/>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D6BD2" w:rsidRPr="00A179AE" w:rsidP="00236D91">
            <w:pPr>
              <w:bidi w:val="0"/>
              <w:rPr>
                <w:rFonts w:ascii="Times New Roman" w:hAnsi="Times New Roman"/>
                <w:sz w:val="22"/>
                <w:szCs w:val="22"/>
                <w:lang w:eastAsia="en-US"/>
              </w:rPr>
            </w:pPr>
          </w:p>
          <w:p w:rsidR="00ED6BD2" w:rsidRPr="00A179AE" w:rsidP="00236D91">
            <w:pPr>
              <w:bidi w:val="0"/>
              <w:rPr>
                <w:rFonts w:ascii="Times New Roman" w:hAnsi="Times New Roman"/>
                <w:sz w:val="22"/>
                <w:szCs w:val="22"/>
                <w:lang w:eastAsia="en-US"/>
              </w:rPr>
            </w:pPr>
            <w:r>
              <w:rPr>
                <w:rFonts w:ascii="Times New Roman" w:hAnsi="Times New Roman"/>
                <w:sz w:val="22"/>
                <w:szCs w:val="22"/>
                <w:lang w:eastAsia="en-US"/>
              </w:rPr>
              <w:t>Ministerstvo kultúry Slovenskej republiky</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ED6BD2" w:rsidRPr="00A179AE" w:rsidP="00236D91">
            <w:pPr>
              <w:pStyle w:val="ListParagraph"/>
              <w:bidi w:val="0"/>
              <w:ind w:left="142"/>
              <w:rPr>
                <w:rFonts w:ascii="Times New Roman" w:hAnsi="Times New Roman"/>
                <w:b/>
                <w:sz w:val="22"/>
                <w:szCs w:val="22"/>
                <w:lang w:eastAsia="en-US"/>
              </w:rPr>
            </w:pPr>
            <w:r w:rsidRPr="00A179AE">
              <w:rPr>
                <w:rFonts w:ascii="Times New Roman" w:hAnsi="Times New Roman"/>
                <w:b/>
                <w:sz w:val="22"/>
                <w:szCs w:val="22"/>
                <w:lang w:eastAsia="en-US"/>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ED6BD2" w:rsidRPr="00A179AE" w:rsidP="00236D91">
            <w:pPr>
              <w:bidi w:val="0"/>
              <w:jc w:val="center"/>
              <w:rPr>
                <w:rFonts w:ascii="Times New Roman" w:hAnsi="Times New Roman"/>
                <w:sz w:val="22"/>
                <w:szCs w:val="22"/>
                <w:lang w:eastAsia="en-US"/>
              </w:rPr>
            </w:pPr>
            <w:r w:rsidRPr="00A179AE">
              <w:rPr>
                <w:rFonts w:ascii="MS Mincho" w:eastAsia="MS Mincho" w:hAnsi="MS Mincho" w:cs="MS Mincho" w:hint="eastAsia"/>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ED6BD2" w:rsidRPr="00A179AE" w:rsidP="00236D91">
            <w:pPr>
              <w:bidi w:val="0"/>
              <w:rPr>
                <w:rFonts w:ascii="Times New Roman" w:hAnsi="Times New Roman"/>
                <w:sz w:val="22"/>
                <w:szCs w:val="22"/>
                <w:lang w:eastAsia="en-US"/>
              </w:rPr>
            </w:pPr>
            <w:r w:rsidRPr="00A179AE">
              <w:rPr>
                <w:rFonts w:ascii="Times New Roman" w:hAnsi="Times New Roman"/>
                <w:sz w:val="22"/>
                <w:szCs w:val="22"/>
                <w:lang w:eastAsia="en-US"/>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ED6BD2" w:rsidRPr="00A179AE" w:rsidP="00236D91">
            <w:pPr>
              <w:bidi w:val="0"/>
              <w:rPr>
                <w:rFonts w:ascii="Times New Roman" w:hAnsi="Times New Roman"/>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ED6BD2" w:rsidRPr="00A179AE" w:rsidP="00236D91">
            <w:pPr>
              <w:bidi w:val="0"/>
              <w:jc w:val="center"/>
              <w:rPr>
                <w:rFonts w:ascii="Times New Roman" w:hAnsi="Times New Roman"/>
                <w:sz w:val="22"/>
                <w:szCs w:val="22"/>
                <w:lang w:eastAsia="en-US"/>
              </w:rPr>
            </w:pPr>
            <w:r>
              <w:rPr>
                <w:rFonts w:ascii="MS Gothic" w:eastAsia="MS Gothic" w:hAnsi="MS Gothic" w:hint="eastAsia"/>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ED6BD2" w:rsidRPr="00A179AE" w:rsidP="00236D91">
            <w:pPr>
              <w:bidi w:val="0"/>
              <w:ind w:left="175" w:hanging="175"/>
              <w:rPr>
                <w:rFonts w:ascii="Times New Roman" w:hAnsi="Times New Roman"/>
                <w:sz w:val="22"/>
                <w:szCs w:val="22"/>
                <w:lang w:eastAsia="en-US"/>
              </w:rPr>
            </w:pPr>
            <w:r w:rsidRPr="00A179AE">
              <w:rPr>
                <w:rFonts w:ascii="Times New Roman" w:hAnsi="Times New Roman"/>
                <w:sz w:val="22"/>
                <w:szCs w:val="22"/>
                <w:lang w:eastAsia="en-US"/>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ED6BD2" w:rsidRPr="00A179AE" w:rsidP="00236D91">
            <w:pPr>
              <w:bidi w:val="0"/>
              <w:rPr>
                <w:rFonts w:ascii="Times New Roman" w:hAnsi="Times New Roman"/>
                <w:sz w:val="22"/>
                <w:szCs w:val="22"/>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ED6BD2" w:rsidRPr="00A179AE" w:rsidP="00236D91">
            <w:pPr>
              <w:bidi w:val="0"/>
              <w:jc w:val="center"/>
              <w:rPr>
                <w:rFonts w:ascii="Times New Roman" w:hAnsi="Times New Roman"/>
                <w:sz w:val="22"/>
                <w:szCs w:val="22"/>
                <w:lang w:eastAsia="en-US"/>
              </w:rPr>
            </w:pPr>
            <w:r w:rsidRPr="00A179AE">
              <w:rPr>
                <w:rFonts w:ascii="MS Mincho" w:eastAsia="MS Mincho" w:hAnsi="MS Mincho" w:cs="MS Mincho" w:hint="eastAsia"/>
                <w:sz w:val="22"/>
                <w:szCs w:val="22"/>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ED6BD2" w:rsidRPr="00A179AE" w:rsidP="00236D91">
            <w:pPr>
              <w:bidi w:val="0"/>
              <w:rPr>
                <w:rFonts w:ascii="Times New Roman" w:hAnsi="Times New Roman"/>
                <w:sz w:val="22"/>
                <w:szCs w:val="22"/>
                <w:lang w:eastAsia="en-US"/>
              </w:rPr>
            </w:pPr>
            <w:r w:rsidRPr="00A179AE">
              <w:rPr>
                <w:rFonts w:ascii="Times New Roman" w:hAnsi="Times New Roman"/>
                <w:sz w:val="22"/>
                <w:szCs w:val="22"/>
                <w:lang w:eastAsia="en-US"/>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ED6BD2" w:rsidRPr="00A179AE" w:rsidP="00236D91">
            <w:pPr>
              <w:bidi w:val="0"/>
              <w:rPr>
                <w:rFonts w:ascii="Times New Roman" w:hAnsi="Times New Roman"/>
                <w:i/>
                <w:sz w:val="22"/>
                <w:szCs w:val="22"/>
                <w:lang w:eastAsia="en-US"/>
              </w:rPr>
            </w:pPr>
            <w:r w:rsidRPr="00A179AE">
              <w:rPr>
                <w:rFonts w:ascii="Times New Roman" w:hAnsi="Times New Roman"/>
                <w:i/>
                <w:sz w:val="22"/>
                <w:szCs w:val="22"/>
                <w:lang w:eastAsia="en-US"/>
              </w:rPr>
              <w:t>V prípade transpozície uveďte zoznam transponovaných predpisov:</w:t>
            </w:r>
          </w:p>
          <w:p w:rsidR="00ED6BD2" w:rsidRPr="00A179AE" w:rsidP="00236D91">
            <w:pPr>
              <w:bidi w:val="0"/>
              <w:rPr>
                <w:rFonts w:ascii="Times New Roman" w:hAnsi="Times New Roman"/>
                <w:sz w:val="22"/>
                <w:szCs w:val="22"/>
                <w:lang w:eastAsia="en-US"/>
              </w:rPr>
            </w:pPr>
          </w:p>
          <w:p w:rsidR="00ED6BD2" w:rsidRPr="00A179AE" w:rsidP="00236D91">
            <w:pPr>
              <w:bidi w:val="0"/>
              <w:rPr>
                <w:rFonts w:ascii="Times New Roman" w:hAnsi="Times New Roman"/>
                <w:sz w:val="22"/>
                <w:szCs w:val="22"/>
                <w:lang w:eastAsia="en-US"/>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ED6BD2" w:rsidRPr="00A179AE" w:rsidP="00236D91">
            <w:pPr>
              <w:pStyle w:val="ListParagraph"/>
              <w:bidi w:val="0"/>
              <w:ind w:left="142"/>
              <w:rPr>
                <w:rFonts w:ascii="Times New Roman" w:hAnsi="Times New Roman"/>
                <w:b/>
                <w:sz w:val="22"/>
                <w:szCs w:val="22"/>
                <w:lang w:eastAsia="en-US"/>
              </w:rPr>
            </w:pPr>
            <w:r w:rsidRPr="00A179AE">
              <w:rPr>
                <w:rFonts w:ascii="Times New Roman" w:hAnsi="Times New Roman"/>
                <w:b/>
                <w:sz w:val="22"/>
                <w:szCs w:val="22"/>
                <w:lang w:eastAsia="en-US"/>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ED6BD2" w:rsidRPr="00A179AE" w:rsidP="00236D91">
            <w:pPr>
              <w:bidi w:val="0"/>
              <w:rPr>
                <w:rFonts w:ascii="Times New Roman" w:hAnsi="Times New Roman"/>
                <w:i/>
                <w:sz w:val="22"/>
                <w:szCs w:val="22"/>
                <w:lang w:eastAsia="en-US"/>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D6BD2" w:rsidRPr="00A179AE" w:rsidP="00236D91">
            <w:pPr>
              <w:pStyle w:val="ListParagraph"/>
              <w:bidi w:val="0"/>
              <w:ind w:left="142"/>
              <w:rPr>
                <w:rFonts w:ascii="Times New Roman" w:hAnsi="Times New Roman"/>
                <w:b/>
                <w:sz w:val="22"/>
                <w:szCs w:val="22"/>
                <w:lang w:eastAsia="en-US"/>
              </w:rPr>
            </w:pPr>
            <w:r w:rsidRPr="00A179AE">
              <w:rPr>
                <w:rFonts w:ascii="Times New Roman" w:hAnsi="Times New Roman"/>
                <w:b/>
                <w:sz w:val="22"/>
                <w:szCs w:val="22"/>
                <w:lang w:eastAsia="en-US"/>
              </w:rPr>
              <w:t>Predpokladaný termín predloženia na MPK</w:t>
            </w:r>
            <w:r>
              <w:rPr>
                <w:rFonts w:ascii="Times New Roman" w:hAnsi="Times New Roman"/>
                <w:b/>
                <w:sz w:val="22"/>
                <w:szCs w:val="22"/>
                <w:lang w:eastAsia="en-US"/>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ED6BD2" w:rsidRPr="00FA633D" w:rsidP="00236D91">
            <w:pPr>
              <w:bidi w:val="0"/>
              <w:rPr>
                <w:rFonts w:ascii="Times New Roman" w:hAnsi="Times New Roman"/>
                <w:sz w:val="22"/>
                <w:szCs w:val="22"/>
                <w:lang w:eastAsia="en-US"/>
              </w:rPr>
            </w:pPr>
            <w:r>
              <w:rPr>
                <w:rFonts w:ascii="Times New Roman" w:hAnsi="Times New Roman"/>
                <w:sz w:val="22"/>
                <w:szCs w:val="22"/>
                <w:lang w:eastAsia="en-US"/>
              </w:rPr>
              <w:t xml:space="preserve">február 2018 </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D6BD2" w:rsidRPr="00A179AE" w:rsidP="00236D91">
            <w:pPr>
              <w:pStyle w:val="ListParagraph"/>
              <w:bidi w:val="0"/>
              <w:ind w:left="142"/>
              <w:rPr>
                <w:rFonts w:ascii="Times New Roman" w:hAnsi="Times New Roman"/>
                <w:b/>
                <w:sz w:val="22"/>
                <w:szCs w:val="22"/>
                <w:lang w:eastAsia="en-US"/>
              </w:rPr>
            </w:pPr>
            <w:r w:rsidRPr="00A179AE">
              <w:rPr>
                <w:rFonts w:ascii="Times New Roman" w:hAnsi="Times New Roman"/>
                <w:b/>
                <w:sz w:val="22"/>
                <w:szCs w:val="22"/>
                <w:lang w:eastAsia="en-US"/>
              </w:rPr>
              <w:t>Predpokladaný termín predloženia na Rokovanie vlády SR</w:t>
            </w:r>
            <w:r>
              <w:rPr>
                <w:rFonts w:ascii="Times New Roman" w:hAnsi="Times New Roman"/>
                <w:b/>
                <w:sz w:val="22"/>
                <w:szCs w:val="22"/>
                <w:lang w:eastAsia="en-US"/>
              </w:rPr>
              <w:t>*</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ED6BD2" w:rsidRPr="00FA633D" w:rsidP="00236D91">
            <w:pPr>
              <w:bidi w:val="0"/>
              <w:rPr>
                <w:rFonts w:ascii="Times New Roman" w:hAnsi="Times New Roman"/>
                <w:sz w:val="22"/>
                <w:szCs w:val="22"/>
                <w:lang w:eastAsia="en-US"/>
              </w:rPr>
            </w:pPr>
            <w:r>
              <w:rPr>
                <w:rFonts w:ascii="Times New Roman" w:hAnsi="Times New Roman"/>
                <w:sz w:val="22"/>
                <w:szCs w:val="22"/>
                <w:lang w:eastAsia="en-US"/>
              </w:rPr>
              <w:t>apríl 2018</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ED6BD2" w:rsidRPr="00A179AE" w:rsidP="00236D91">
            <w:pPr>
              <w:bidi w:val="0"/>
              <w:rPr>
                <w:rFonts w:ascii="Times New Roman" w:hAnsi="Times New Roman"/>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D6BD2" w:rsidRPr="00A179AE" w:rsidP="00ED6BD2">
            <w:pPr>
              <w:pStyle w:val="ListParagraph"/>
              <w:widowControl/>
              <w:numPr>
                <w:numId w:val="1"/>
              </w:numPr>
              <w:bidi w:val="0"/>
              <w:adjustRightInd/>
              <w:ind w:left="426"/>
              <w:rPr>
                <w:rFonts w:ascii="Times New Roman" w:hAnsi="Times New Roman"/>
                <w:b/>
                <w:sz w:val="22"/>
                <w:szCs w:val="22"/>
                <w:lang w:eastAsia="en-US"/>
              </w:rPr>
            </w:pPr>
            <w:r w:rsidRPr="00A179AE">
              <w:rPr>
                <w:rFonts w:ascii="Times New Roman" w:hAnsi="Times New Roman"/>
                <w:b/>
                <w:sz w:val="22"/>
                <w:szCs w:val="22"/>
                <w:lang w:eastAsia="en-US"/>
              </w:rPr>
              <w:t>Defin</w:t>
            </w:r>
            <w:r>
              <w:rPr>
                <w:rFonts w:ascii="Times New Roman" w:hAnsi="Times New Roman"/>
                <w:b/>
                <w:sz w:val="22"/>
                <w:szCs w:val="22"/>
                <w:lang w:eastAsia="en-US"/>
              </w:rPr>
              <w:t>ovanie</w:t>
            </w:r>
            <w:r w:rsidRPr="00A179AE">
              <w:rPr>
                <w:rFonts w:ascii="Times New Roman" w:hAnsi="Times New Roman"/>
                <w:b/>
                <w:sz w:val="22"/>
                <w:szCs w:val="22"/>
                <w:lang w:eastAsia="en-US"/>
              </w:rPr>
              <w:t xml:space="preserv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D6BD2" w:rsidRPr="00A179AE" w:rsidP="00236D91">
            <w:pPr>
              <w:bidi w:val="0"/>
              <w:rPr>
                <w:rFonts w:ascii="Times New Roman" w:hAnsi="Times New Roman"/>
                <w:i/>
                <w:sz w:val="22"/>
                <w:szCs w:val="22"/>
                <w:lang w:eastAsia="en-US"/>
              </w:rPr>
            </w:pPr>
            <w:r w:rsidRPr="00A179AE">
              <w:rPr>
                <w:rFonts w:ascii="Times New Roman" w:hAnsi="Times New Roman"/>
                <w:i/>
                <w:sz w:val="22"/>
                <w:szCs w:val="22"/>
                <w:lang w:eastAsia="en-US"/>
              </w:rPr>
              <w:t>Uveďte základné problémy, na ktoré navrhovaná regulácia reaguje.</w:t>
            </w:r>
          </w:p>
          <w:p w:rsidR="00ED6BD2" w:rsidP="00236D91">
            <w:pPr>
              <w:bidi w:val="0"/>
              <w:rPr>
                <w:rFonts w:ascii="Times New Roman" w:hAnsi="Times New Roman"/>
                <w:b/>
                <w:sz w:val="22"/>
                <w:szCs w:val="22"/>
                <w:lang w:eastAsia="en-US"/>
              </w:rPr>
            </w:pPr>
          </w:p>
          <w:p w:rsidR="00ED6BD2" w:rsidP="00236D91">
            <w:pPr>
              <w:bidi w:val="0"/>
              <w:jc w:val="both"/>
              <w:rPr>
                <w:rFonts w:ascii="Times New Roman" w:hAnsi="Times New Roman"/>
                <w:sz w:val="22"/>
                <w:szCs w:val="22"/>
                <w:lang w:eastAsia="en-US"/>
              </w:rPr>
            </w:pPr>
            <w:r>
              <w:rPr>
                <w:rFonts w:ascii="Times New Roman" w:hAnsi="Times New Roman"/>
                <w:sz w:val="22"/>
                <w:szCs w:val="22"/>
                <w:lang w:eastAsia="en-US"/>
              </w:rPr>
              <w:t xml:space="preserve">V nadväznosti na nadobudnutie platnosti Dohovoru Rady Európy o filmovej koprodukcii (revidovaný) (ďalej len „revidovaný dohovor“) od 1. októbra 2017 sa navrhuje presunúť podrobný mechanizmus udeľovania koprodukčného štatútu zo zákona č. </w:t>
            </w:r>
            <w:r w:rsidRPr="00C337AD">
              <w:rPr>
                <w:rFonts w:ascii="Times New Roman" w:hAnsi="Times New Roman"/>
                <w:bCs/>
                <w:sz w:val="22"/>
                <w:szCs w:val="22"/>
                <w:lang w:eastAsia="en-US"/>
              </w:rPr>
              <w:t xml:space="preserve">516/2008 Z. z. </w:t>
            </w:r>
            <w:r w:rsidRPr="00C337AD">
              <w:rPr>
                <w:rFonts w:ascii="Times New Roman" w:hAnsi="Times New Roman"/>
                <w:sz w:val="22"/>
                <w:szCs w:val="22"/>
                <w:lang w:eastAsia="en-US"/>
              </w:rPr>
              <w:t xml:space="preserve">o Audiovizuálnom fonde a o zmene a doplnení niektorých zákonov </w:t>
            </w:r>
            <w:r>
              <w:rPr>
                <w:rFonts w:ascii="Times New Roman" w:hAnsi="Times New Roman"/>
                <w:sz w:val="22"/>
                <w:szCs w:val="22"/>
                <w:lang w:eastAsia="en-US"/>
              </w:rPr>
              <w:t>v znení neskorších predpisov do vnútorného predpisu Audiovizuálneho fondu, ktorý bude schvaľovať rada Audiovizuálneho fondu.</w:t>
            </w:r>
          </w:p>
          <w:p w:rsidR="00ED6BD2" w:rsidP="00236D91">
            <w:pPr>
              <w:bidi w:val="0"/>
              <w:jc w:val="both"/>
              <w:rPr>
                <w:rFonts w:ascii="Times New Roman" w:hAnsi="Times New Roman"/>
                <w:sz w:val="22"/>
                <w:szCs w:val="22"/>
                <w:lang w:eastAsia="en-US"/>
              </w:rPr>
            </w:pPr>
            <w:r>
              <w:rPr>
                <w:rFonts w:ascii="Times New Roman" w:hAnsi="Times New Roman"/>
                <w:noProof/>
                <w:sz w:val="22"/>
                <w:szCs w:val="22"/>
                <w:lang w:eastAsia="en-US"/>
              </w:rPr>
              <w:t xml:space="preserve">Návrh zákona súčasne upravuje viaceré oblasti týkajúce sa činnosti Audiovizuálneho fondu, Fondu na podporu umenia a Fondu na podporu kultúry národnostných menšín, ktorých úpravu si vyžiadla aplikačná prax.   </w:t>
            </w:r>
          </w:p>
          <w:p w:rsidR="00ED6BD2" w:rsidP="00236D91">
            <w:pPr>
              <w:bidi w:val="0"/>
              <w:jc w:val="both"/>
              <w:rPr>
                <w:rFonts w:ascii="Times New Roman" w:hAnsi="Times New Roman"/>
                <w:sz w:val="22"/>
                <w:szCs w:val="22"/>
                <w:lang w:eastAsia="en-US"/>
              </w:rPr>
            </w:pPr>
            <w:r>
              <w:rPr>
                <w:rFonts w:ascii="Times New Roman" w:hAnsi="Times New Roman"/>
                <w:sz w:val="22"/>
                <w:szCs w:val="22"/>
                <w:lang w:eastAsia="en-US"/>
              </w:rPr>
              <w:t xml:space="preserve">V nadväznosti na </w:t>
            </w:r>
            <w:r>
              <w:rPr>
                <w:rFonts w:ascii="Times New Roman" w:hAnsi="Times New Roman"/>
                <w:noProof/>
                <w:sz w:val="22"/>
                <w:szCs w:val="22"/>
                <w:lang w:eastAsia="en-US"/>
              </w:rPr>
              <w:t>zmenu</w:t>
            </w:r>
            <w:r w:rsidRPr="003C4967">
              <w:rPr>
                <w:rFonts w:ascii="Times New Roman" w:hAnsi="Times New Roman"/>
                <w:noProof/>
                <w:sz w:val="22"/>
                <w:szCs w:val="22"/>
                <w:lang w:eastAsia="en-US"/>
              </w:rPr>
              <w:t xml:space="preserve"> vzájomného pomeru vkladov koproducentov</w:t>
            </w:r>
            <w:r>
              <w:rPr>
                <w:rFonts w:ascii="Times New Roman" w:hAnsi="Times New Roman"/>
                <w:noProof/>
                <w:sz w:val="22"/>
                <w:szCs w:val="22"/>
                <w:lang w:eastAsia="en-US"/>
              </w:rPr>
              <w:t xml:space="preserve">, ktorú priniesol revidovaný dohovor, navrhujeme v zákone č. 40/2015 Z. z. o audiovízii </w:t>
            </w:r>
            <w:r w:rsidRPr="005844CA">
              <w:rPr>
                <w:rFonts w:ascii="Times New Roman" w:hAnsi="Times New Roman"/>
                <w:sz w:val="22"/>
                <w:szCs w:val="22"/>
                <w:lang w:eastAsia="en-US"/>
              </w:rPr>
              <w:t>a o zmene a doplnení niektorých zákonov v znení zákona</w:t>
            </w:r>
            <w:r>
              <w:rPr>
                <w:rFonts w:ascii="Times New Roman" w:hAnsi="Times New Roman"/>
                <w:sz w:val="22"/>
                <w:szCs w:val="22"/>
                <w:lang w:eastAsia="en-US"/>
              </w:rPr>
              <w:t xml:space="preserve"> </w:t>
            </w:r>
            <w:r w:rsidRPr="005844CA">
              <w:rPr>
                <w:rFonts w:ascii="Times New Roman" w:hAnsi="Times New Roman"/>
                <w:sz w:val="22"/>
                <w:szCs w:val="22"/>
                <w:lang w:eastAsia="en-US"/>
              </w:rPr>
              <w:t>č. 278/2015 Z. z.</w:t>
            </w:r>
            <w:r>
              <w:rPr>
                <w:rFonts w:ascii="Times New Roman" w:hAnsi="Times New Roman"/>
                <w:sz w:val="22"/>
                <w:szCs w:val="22"/>
                <w:lang w:eastAsia="en-US"/>
              </w:rPr>
              <w:t xml:space="preserve"> upraviť definíciu pojmu slovenské audiovizuálne dielo. Navrhuje sa tiež doplniť medzi činnosti Slovenského filmového ústavu možnosť zriadiť múzeum slovenskej kinematografie.</w:t>
            </w:r>
          </w:p>
          <w:p w:rsidR="00ED6BD2" w:rsidRPr="00E42BDD" w:rsidP="00236D91">
            <w:pPr>
              <w:bidi w:val="0"/>
              <w:jc w:val="both"/>
              <w:rPr>
                <w:rFonts w:ascii="Times New Roman" w:hAnsi="Times New Roman"/>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ED6BD2" w:rsidRPr="00A179AE" w:rsidP="00ED6BD2">
            <w:pPr>
              <w:pStyle w:val="ListParagraph"/>
              <w:widowControl/>
              <w:numPr>
                <w:numId w:val="1"/>
              </w:numPr>
              <w:bidi w:val="0"/>
              <w:adjustRightInd/>
              <w:ind w:left="426"/>
              <w:rPr>
                <w:rFonts w:ascii="Times New Roman" w:hAnsi="Times New Roman"/>
                <w:b/>
                <w:sz w:val="22"/>
                <w:szCs w:val="22"/>
                <w:lang w:eastAsia="en-US"/>
              </w:rPr>
            </w:pPr>
            <w:r w:rsidRPr="00A179AE">
              <w:rPr>
                <w:rFonts w:ascii="Times New Roman" w:hAnsi="Times New Roman"/>
                <w:b/>
                <w:sz w:val="22"/>
                <w:szCs w:val="22"/>
                <w:lang w:eastAsia="en-US"/>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ED6BD2" w:rsidP="00236D91">
            <w:pPr>
              <w:bidi w:val="0"/>
              <w:rPr>
                <w:rFonts w:ascii="Times New Roman" w:hAnsi="Times New Roman"/>
                <w:i/>
                <w:sz w:val="22"/>
                <w:szCs w:val="22"/>
                <w:lang w:eastAsia="en-US"/>
              </w:rPr>
            </w:pPr>
            <w:r w:rsidRPr="00A179AE">
              <w:rPr>
                <w:rFonts w:ascii="Times New Roman" w:hAnsi="Times New Roman"/>
                <w:i/>
                <w:sz w:val="22"/>
                <w:szCs w:val="22"/>
                <w:lang w:eastAsia="en-US"/>
              </w:rPr>
              <w:t>Uveďte hlavné ciele navrhovaného predpisu (aký výsledný stav chcete reguláciou dosiahnuť).</w:t>
            </w:r>
          </w:p>
          <w:p w:rsidR="00ED6BD2" w:rsidP="00236D91">
            <w:pPr>
              <w:bidi w:val="0"/>
              <w:rPr>
                <w:rFonts w:ascii="Times New Roman" w:hAnsi="Times New Roman"/>
                <w:i/>
                <w:sz w:val="22"/>
                <w:szCs w:val="22"/>
                <w:lang w:eastAsia="en-US"/>
              </w:rPr>
            </w:pPr>
          </w:p>
          <w:p w:rsidR="00ED6BD2" w:rsidP="00236D91">
            <w:pPr>
              <w:bidi w:val="0"/>
              <w:jc w:val="both"/>
              <w:rPr>
                <w:rFonts w:ascii="Times New Roman" w:hAnsi="Times New Roman"/>
                <w:sz w:val="22"/>
                <w:szCs w:val="22"/>
                <w:lang w:eastAsia="en-US"/>
              </w:rPr>
            </w:pPr>
            <w:r>
              <w:rPr>
                <w:rFonts w:ascii="Times New Roman" w:hAnsi="Times New Roman"/>
                <w:noProof/>
                <w:sz w:val="22"/>
                <w:szCs w:val="22"/>
                <w:lang w:eastAsia="en-US"/>
              </w:rPr>
              <w:t xml:space="preserve">Cieľom predloženého návrhu zákona je </w:t>
            </w:r>
            <w:r>
              <w:rPr>
                <w:rFonts w:ascii="Times New Roman" w:hAnsi="Times New Roman"/>
                <w:sz w:val="22"/>
                <w:szCs w:val="22"/>
                <w:lang w:eastAsia="en-US"/>
              </w:rPr>
              <w:t>zabezpečiť väčšiu flexibilitu pri priznávaní štatútov oficiálnej koprodukcie v situácii, keď podmienky filmovej koprodukcie s časťou štátov upravuje Európsky dohovor o filmovej koprodukcii z roku 1992 a vzťahy s ďalšou skupinou štátov sa riadia revidovaným dohovorom a s narastajúcim počtom signatárov revidovaného dohovoru sa bude táto situácia priebežne meniť.</w:t>
            </w:r>
          </w:p>
          <w:p w:rsidR="00ED6BD2" w:rsidP="00236D91">
            <w:pPr>
              <w:bidi w:val="0"/>
              <w:jc w:val="both"/>
              <w:rPr>
                <w:rFonts w:ascii="Times New Roman" w:hAnsi="Times New Roman"/>
                <w:sz w:val="22"/>
                <w:szCs w:val="22"/>
                <w:lang w:eastAsia="en-US"/>
              </w:rPr>
            </w:pPr>
            <w:r>
              <w:rPr>
                <w:rFonts w:ascii="Times New Roman" w:hAnsi="Times New Roman"/>
                <w:sz w:val="22"/>
                <w:szCs w:val="22"/>
                <w:lang w:eastAsia="en-US"/>
              </w:rPr>
              <w:t>Predložený návrh zákona má za cieľ priniesť riešenia aplikačných problémov, ktoré sa vyskytli v činnosti Audiovizuálneho fondu, Fondu na podporu umenia a tiež Fondu na podporu kultúry národnostných menšín.</w:t>
            </w:r>
          </w:p>
          <w:p w:rsidR="00ED6BD2" w:rsidRPr="00270013" w:rsidP="00236D91">
            <w:pPr>
              <w:autoSpaceDE w:val="0"/>
              <w:autoSpaceDN w:val="0"/>
              <w:bidi w:val="0"/>
              <w:jc w:val="both"/>
              <w:rPr>
                <w:rFonts w:ascii="Times New Roman" w:hAnsi="Times New Roman"/>
                <w:sz w:val="22"/>
                <w:szCs w:val="22"/>
                <w:lang w:eastAsia="en-US"/>
              </w:rPr>
            </w:pPr>
            <w:r>
              <w:rPr>
                <w:rFonts w:ascii="Times New Roman" w:hAnsi="Times New Roman"/>
                <w:sz w:val="22"/>
                <w:szCs w:val="22"/>
                <w:lang w:eastAsia="en-US"/>
              </w:rPr>
              <w:t xml:space="preserve">Cieľom novely zákona č. </w:t>
            </w:r>
            <w:r w:rsidRPr="00C337AD">
              <w:rPr>
                <w:rFonts w:ascii="Times New Roman" w:hAnsi="Times New Roman"/>
                <w:sz w:val="22"/>
                <w:szCs w:val="22"/>
                <w:lang w:eastAsia="en-US"/>
              </w:rPr>
              <w:t xml:space="preserve">40/2015 Z. z. o audiovízii a o zmene a doplnení niektorých zákonov v znení zákona </w:t>
            </w:r>
            <w:r>
              <w:rPr>
                <w:rFonts w:ascii="Times New Roman" w:hAnsi="Times New Roman"/>
                <w:sz w:val="22"/>
                <w:szCs w:val="22"/>
                <w:lang w:eastAsia="en-US"/>
              </w:rPr>
              <w:br/>
            </w:r>
            <w:r w:rsidRPr="00C337AD">
              <w:rPr>
                <w:rFonts w:ascii="Times New Roman" w:hAnsi="Times New Roman"/>
                <w:sz w:val="22"/>
                <w:szCs w:val="22"/>
                <w:lang w:eastAsia="en-US"/>
              </w:rPr>
              <w:t>č. 278/2015 Z. z.</w:t>
            </w:r>
            <w:r>
              <w:rPr>
                <w:rFonts w:ascii="Times New Roman" w:hAnsi="Times New Roman"/>
                <w:sz w:val="22"/>
                <w:szCs w:val="22"/>
                <w:lang w:eastAsia="en-US"/>
              </w:rPr>
              <w:t xml:space="preserve"> je umožniť</w:t>
            </w:r>
            <w:r w:rsidRPr="00270013">
              <w:rPr>
                <w:rFonts w:ascii="Times New Roman" w:hAnsi="Times New Roman"/>
                <w:sz w:val="22"/>
                <w:szCs w:val="22"/>
                <w:lang w:eastAsia="en-US"/>
              </w:rPr>
              <w:t xml:space="preserve"> slovenským koproducentom vstupovať do koprodukcií aj s menším </w:t>
            </w:r>
            <w:r>
              <w:rPr>
                <w:rFonts w:ascii="Times New Roman" w:hAnsi="Times New Roman"/>
                <w:sz w:val="22"/>
                <w:szCs w:val="22"/>
                <w:lang w:eastAsia="en-US"/>
              </w:rPr>
              <w:t xml:space="preserve">koprodukčným </w:t>
            </w:r>
            <w:r w:rsidRPr="00270013">
              <w:rPr>
                <w:rFonts w:ascii="Times New Roman" w:hAnsi="Times New Roman"/>
                <w:sz w:val="22"/>
                <w:szCs w:val="22"/>
                <w:lang w:eastAsia="en-US"/>
              </w:rPr>
              <w:t>vkladom</w:t>
            </w:r>
            <w:r>
              <w:rPr>
                <w:rFonts w:ascii="Times New Roman" w:hAnsi="Times New Roman"/>
                <w:sz w:val="22"/>
                <w:szCs w:val="22"/>
                <w:lang w:eastAsia="en-US"/>
              </w:rPr>
              <w:t xml:space="preserve"> a tiež vytvoriť legislatívne podmienky na zriadenie múzea slovenskej kinematografie.</w:t>
            </w:r>
          </w:p>
          <w:p w:rsidR="00ED6BD2" w:rsidP="00236D91">
            <w:pPr>
              <w:bidi w:val="0"/>
              <w:jc w:val="both"/>
              <w:rPr>
                <w:rFonts w:ascii="Times New Roman" w:hAnsi="Times New Roman"/>
                <w:noProof/>
                <w:sz w:val="22"/>
                <w:szCs w:val="22"/>
                <w:lang w:eastAsia="en-US"/>
              </w:rPr>
            </w:pPr>
            <w:r>
              <w:rPr>
                <w:rFonts w:ascii="Times New Roman" w:hAnsi="Times New Roman"/>
                <w:sz w:val="22"/>
                <w:szCs w:val="22"/>
                <w:lang w:eastAsia="en-US"/>
              </w:rPr>
              <w:t xml:space="preserve">    </w:t>
            </w:r>
          </w:p>
          <w:p w:rsidR="00ED6BD2" w:rsidRPr="0088236A" w:rsidP="00236D91">
            <w:pPr>
              <w:bidi w:val="0"/>
              <w:rPr>
                <w:rFonts w:ascii="Times New Roman" w:hAnsi="Times New Roman"/>
                <w:i/>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ED6BD2" w:rsidRPr="00A179AE" w:rsidP="00ED6BD2">
            <w:pPr>
              <w:pStyle w:val="ListParagraph"/>
              <w:widowControl/>
              <w:numPr>
                <w:numId w:val="1"/>
              </w:numPr>
              <w:bidi w:val="0"/>
              <w:adjustRightInd/>
              <w:ind w:left="426"/>
              <w:rPr>
                <w:rFonts w:ascii="Times New Roman" w:hAnsi="Times New Roman"/>
                <w:b/>
                <w:sz w:val="22"/>
                <w:szCs w:val="22"/>
                <w:lang w:eastAsia="en-US"/>
              </w:rPr>
            </w:pPr>
            <w:r w:rsidRPr="00A179AE">
              <w:rPr>
                <w:rFonts w:ascii="Times New Roman" w:hAnsi="Times New Roman"/>
                <w:b/>
                <w:sz w:val="22"/>
                <w:szCs w:val="22"/>
                <w:lang w:eastAsia="en-US"/>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ED6BD2" w:rsidP="00236D91">
            <w:pPr>
              <w:bidi w:val="0"/>
              <w:rPr>
                <w:rFonts w:ascii="Times New Roman" w:hAnsi="Times New Roman"/>
                <w:i/>
                <w:sz w:val="22"/>
                <w:szCs w:val="22"/>
                <w:lang w:eastAsia="en-US"/>
              </w:rPr>
            </w:pPr>
            <w:r w:rsidRPr="00A179AE">
              <w:rPr>
                <w:rFonts w:ascii="Times New Roman" w:hAnsi="Times New Roman"/>
                <w:i/>
                <w:sz w:val="22"/>
                <w:szCs w:val="22"/>
                <w:lang w:eastAsia="en-US"/>
              </w:rPr>
              <w:t>Uveďte subjekty, ktorých sa zmeny návrhu dotknú priamo aj nepriamo:</w:t>
            </w:r>
          </w:p>
          <w:p w:rsidR="00ED6BD2" w:rsidP="00236D91">
            <w:pPr>
              <w:bidi w:val="0"/>
              <w:rPr>
                <w:rFonts w:ascii="Times New Roman" w:hAnsi="Times New Roman"/>
                <w:sz w:val="22"/>
                <w:szCs w:val="22"/>
                <w:lang w:eastAsia="en-US"/>
              </w:rPr>
            </w:pPr>
            <w:r>
              <w:rPr>
                <w:rFonts w:ascii="Times New Roman" w:hAnsi="Times New Roman"/>
                <w:sz w:val="22"/>
                <w:szCs w:val="22"/>
                <w:lang w:eastAsia="en-US"/>
              </w:rPr>
              <w:t>N</w:t>
            </w:r>
            <w:r w:rsidRPr="00281000">
              <w:rPr>
                <w:rFonts w:ascii="Times New Roman" w:hAnsi="Times New Roman"/>
                <w:sz w:val="22"/>
                <w:szCs w:val="22"/>
                <w:lang w:eastAsia="en-US"/>
              </w:rPr>
              <w:t>ávrh zákona dotýka</w:t>
            </w:r>
            <w:r>
              <w:rPr>
                <w:rFonts w:ascii="Times New Roman" w:hAnsi="Times New Roman"/>
                <w:sz w:val="22"/>
                <w:szCs w:val="22"/>
                <w:lang w:eastAsia="en-US"/>
              </w:rPr>
              <w:t xml:space="preserve"> týchto subjektov:</w:t>
            </w:r>
          </w:p>
          <w:p w:rsidR="00ED6BD2" w:rsidRPr="00217943" w:rsidP="00ED6BD2">
            <w:pPr>
              <w:pStyle w:val="ListParagraph"/>
              <w:widowControl/>
              <w:numPr>
                <w:numId w:val="2"/>
              </w:numPr>
              <w:bidi w:val="0"/>
              <w:adjustRightInd/>
              <w:spacing w:after="200" w:line="276" w:lineRule="auto"/>
              <w:jc w:val="both"/>
              <w:rPr>
                <w:rFonts w:ascii="Times New Roman" w:hAnsi="Times New Roman"/>
                <w:sz w:val="20"/>
                <w:szCs w:val="20"/>
              </w:rPr>
            </w:pPr>
            <w:r w:rsidRPr="00217943">
              <w:rPr>
                <w:rFonts w:ascii="Times New Roman" w:hAnsi="Times New Roman"/>
                <w:sz w:val="20"/>
                <w:szCs w:val="20"/>
              </w:rPr>
              <w:t>Audiovizuálny fond,</w:t>
            </w:r>
          </w:p>
          <w:p w:rsidR="00ED6BD2" w:rsidP="00ED6BD2">
            <w:pPr>
              <w:pStyle w:val="ListParagraph"/>
              <w:widowControl/>
              <w:numPr>
                <w:numId w:val="2"/>
              </w:numPr>
              <w:bidi w:val="0"/>
              <w:adjustRightInd/>
              <w:spacing w:after="200" w:line="276" w:lineRule="auto"/>
              <w:jc w:val="both"/>
              <w:rPr>
                <w:rFonts w:ascii="Times New Roman" w:hAnsi="Times New Roman"/>
                <w:sz w:val="20"/>
                <w:szCs w:val="20"/>
              </w:rPr>
            </w:pPr>
            <w:r>
              <w:rPr>
                <w:rFonts w:ascii="Times New Roman" w:hAnsi="Times New Roman"/>
                <w:sz w:val="20"/>
                <w:szCs w:val="20"/>
              </w:rPr>
              <w:t>žiadatelia o podporu audiovizuálnej kultúry,</w:t>
            </w:r>
          </w:p>
          <w:p w:rsidR="00ED6BD2" w:rsidP="00ED6BD2">
            <w:pPr>
              <w:pStyle w:val="ListParagraph"/>
              <w:widowControl/>
              <w:numPr>
                <w:numId w:val="2"/>
              </w:numPr>
              <w:bidi w:val="0"/>
              <w:adjustRightInd/>
              <w:spacing w:after="200" w:line="276" w:lineRule="auto"/>
              <w:jc w:val="both"/>
              <w:rPr>
                <w:rFonts w:ascii="Times New Roman" w:hAnsi="Times New Roman"/>
                <w:sz w:val="20"/>
                <w:szCs w:val="20"/>
              </w:rPr>
            </w:pPr>
            <w:r>
              <w:rPr>
                <w:rFonts w:ascii="Times New Roman" w:hAnsi="Times New Roman"/>
                <w:sz w:val="20"/>
                <w:szCs w:val="20"/>
              </w:rPr>
              <w:t>žiadatelia o podporu audiovizuálneho priemyslu,</w:t>
            </w:r>
          </w:p>
          <w:p w:rsidR="00ED6BD2" w:rsidP="00ED6BD2">
            <w:pPr>
              <w:pStyle w:val="ListParagraph"/>
              <w:widowControl/>
              <w:numPr>
                <w:numId w:val="2"/>
              </w:numPr>
              <w:bidi w:val="0"/>
              <w:adjustRightInd/>
              <w:spacing w:after="200" w:line="276" w:lineRule="auto"/>
              <w:jc w:val="both"/>
              <w:rPr>
                <w:rFonts w:ascii="Times New Roman" w:hAnsi="Times New Roman"/>
                <w:sz w:val="20"/>
                <w:szCs w:val="20"/>
              </w:rPr>
            </w:pPr>
            <w:r>
              <w:rPr>
                <w:rFonts w:ascii="Times New Roman" w:hAnsi="Times New Roman"/>
                <w:sz w:val="20"/>
                <w:szCs w:val="20"/>
              </w:rPr>
              <w:t>Fond na podporu umenia,</w:t>
            </w:r>
          </w:p>
          <w:p w:rsidR="00ED6BD2" w:rsidP="00ED6BD2">
            <w:pPr>
              <w:pStyle w:val="ListParagraph"/>
              <w:widowControl/>
              <w:numPr>
                <w:numId w:val="2"/>
              </w:numPr>
              <w:bidi w:val="0"/>
              <w:adjustRightInd/>
              <w:spacing w:after="200" w:line="276" w:lineRule="auto"/>
              <w:jc w:val="both"/>
              <w:rPr>
                <w:rFonts w:ascii="Times New Roman" w:hAnsi="Times New Roman"/>
                <w:sz w:val="20"/>
                <w:szCs w:val="20"/>
              </w:rPr>
            </w:pPr>
            <w:r>
              <w:rPr>
                <w:rFonts w:ascii="Times New Roman" w:hAnsi="Times New Roman"/>
                <w:sz w:val="20"/>
                <w:szCs w:val="20"/>
              </w:rPr>
              <w:t>pamäťové a fondové inštitúcie,</w:t>
            </w:r>
          </w:p>
          <w:p w:rsidR="00ED6BD2" w:rsidP="00ED6BD2">
            <w:pPr>
              <w:pStyle w:val="ListParagraph"/>
              <w:widowControl/>
              <w:numPr>
                <w:numId w:val="2"/>
              </w:numPr>
              <w:bidi w:val="0"/>
              <w:adjustRightInd/>
              <w:spacing w:after="200" w:line="276" w:lineRule="auto"/>
              <w:jc w:val="both"/>
              <w:rPr>
                <w:rFonts w:ascii="Times New Roman" w:hAnsi="Times New Roman"/>
                <w:sz w:val="20"/>
                <w:szCs w:val="20"/>
              </w:rPr>
            </w:pPr>
            <w:r>
              <w:rPr>
                <w:rFonts w:ascii="Times New Roman" w:hAnsi="Times New Roman"/>
                <w:sz w:val="20"/>
                <w:szCs w:val="20"/>
              </w:rPr>
              <w:t>žiadatelia o finančné prostriedky z Fondu na podporu umenia,</w:t>
            </w:r>
          </w:p>
          <w:p w:rsidR="00ED6BD2" w:rsidP="00ED6BD2">
            <w:pPr>
              <w:pStyle w:val="ListParagraph"/>
              <w:widowControl/>
              <w:numPr>
                <w:numId w:val="2"/>
              </w:numPr>
              <w:bidi w:val="0"/>
              <w:adjustRightInd/>
              <w:spacing w:after="200" w:line="276" w:lineRule="auto"/>
              <w:jc w:val="both"/>
              <w:rPr>
                <w:rFonts w:ascii="Times New Roman" w:hAnsi="Times New Roman"/>
                <w:sz w:val="20"/>
                <w:szCs w:val="20"/>
              </w:rPr>
            </w:pPr>
            <w:r w:rsidRPr="00217943">
              <w:rPr>
                <w:rFonts w:ascii="Times New Roman" w:hAnsi="Times New Roman"/>
                <w:sz w:val="20"/>
                <w:szCs w:val="20"/>
              </w:rPr>
              <w:t>výrobca audiovizuálneho diela, ktorý má trvalý pobyt, miesto podnikania alebo sídlo na území Slovenskej republiky a chce sa ako koproducent podieľať na koprodukci</w:t>
            </w:r>
            <w:r>
              <w:rPr>
                <w:rFonts w:ascii="Times New Roman" w:hAnsi="Times New Roman"/>
                <w:sz w:val="20"/>
                <w:szCs w:val="20"/>
              </w:rPr>
              <w:t>i</w:t>
            </w:r>
            <w:r w:rsidRPr="00217943">
              <w:rPr>
                <w:rFonts w:ascii="Times New Roman" w:hAnsi="Times New Roman"/>
                <w:sz w:val="20"/>
                <w:szCs w:val="20"/>
              </w:rPr>
              <w:t xml:space="preserve"> audiovizuálneho diela</w:t>
            </w:r>
            <w:r>
              <w:rPr>
                <w:rFonts w:ascii="Times New Roman" w:hAnsi="Times New Roman"/>
                <w:sz w:val="20"/>
                <w:szCs w:val="20"/>
              </w:rPr>
              <w:t>,</w:t>
            </w:r>
          </w:p>
          <w:p w:rsidR="00ED6BD2" w:rsidP="00ED6BD2">
            <w:pPr>
              <w:pStyle w:val="ListParagraph"/>
              <w:widowControl/>
              <w:numPr>
                <w:numId w:val="2"/>
              </w:numPr>
              <w:bidi w:val="0"/>
              <w:adjustRightInd/>
              <w:spacing w:after="200" w:line="276" w:lineRule="auto"/>
              <w:jc w:val="both"/>
              <w:rPr>
                <w:rFonts w:ascii="Times New Roman" w:hAnsi="Times New Roman"/>
                <w:sz w:val="20"/>
                <w:szCs w:val="20"/>
              </w:rPr>
            </w:pPr>
            <w:r>
              <w:rPr>
                <w:rFonts w:ascii="Times New Roman" w:hAnsi="Times New Roman"/>
                <w:sz w:val="20"/>
                <w:szCs w:val="20"/>
              </w:rPr>
              <w:t>Slovenský filmový ústav,</w:t>
            </w:r>
          </w:p>
          <w:p w:rsidR="00ED6BD2" w:rsidRPr="009C434F" w:rsidP="00ED6BD2">
            <w:pPr>
              <w:pStyle w:val="ListParagraph"/>
              <w:widowControl/>
              <w:numPr>
                <w:numId w:val="2"/>
              </w:numPr>
              <w:bidi w:val="0"/>
              <w:adjustRightInd/>
              <w:spacing w:after="200" w:line="276" w:lineRule="auto"/>
              <w:jc w:val="both"/>
              <w:rPr>
                <w:rFonts w:ascii="Times New Roman" w:hAnsi="Times New Roman"/>
                <w:sz w:val="20"/>
                <w:szCs w:val="20"/>
              </w:rPr>
            </w:pPr>
            <w:r>
              <w:rPr>
                <w:rFonts w:ascii="Times New Roman" w:hAnsi="Times New Roman"/>
                <w:sz w:val="20"/>
                <w:szCs w:val="20"/>
              </w:rPr>
              <w:t>Fond na podporu kultúry národnostných menšín.</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ED6BD2" w:rsidRPr="00A179AE" w:rsidP="00ED6BD2">
            <w:pPr>
              <w:pStyle w:val="ListParagraph"/>
              <w:widowControl/>
              <w:numPr>
                <w:numId w:val="1"/>
              </w:numPr>
              <w:bidi w:val="0"/>
              <w:adjustRightInd/>
              <w:ind w:left="426"/>
              <w:rPr>
                <w:rFonts w:ascii="Times New Roman" w:hAnsi="Times New Roman"/>
                <w:b/>
                <w:sz w:val="22"/>
                <w:szCs w:val="22"/>
                <w:lang w:eastAsia="en-US"/>
              </w:rPr>
            </w:pPr>
            <w:r w:rsidRPr="00A179AE">
              <w:rPr>
                <w:rFonts w:ascii="Times New Roman" w:hAnsi="Times New Roman"/>
                <w:b/>
                <w:sz w:val="22"/>
                <w:szCs w:val="22"/>
                <w:lang w:eastAsia="en-US"/>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ED6BD2" w:rsidRPr="00A179AE" w:rsidP="00236D91">
            <w:pPr>
              <w:bidi w:val="0"/>
              <w:rPr>
                <w:rFonts w:ascii="Times New Roman" w:hAnsi="Times New Roman"/>
                <w:i/>
                <w:sz w:val="22"/>
                <w:szCs w:val="22"/>
                <w:lang w:eastAsia="en-US"/>
              </w:rPr>
            </w:pPr>
            <w:r w:rsidRPr="00A179AE">
              <w:rPr>
                <w:rFonts w:ascii="Times New Roman" w:hAnsi="Times New Roman"/>
                <w:i/>
                <w:sz w:val="22"/>
                <w:szCs w:val="22"/>
                <w:lang w:eastAsia="en-US"/>
              </w:rPr>
              <w:t>Aké alternatívne riešenia boli posudzované?</w:t>
            </w:r>
          </w:p>
          <w:p w:rsidR="00ED6BD2" w:rsidP="00236D91">
            <w:pPr>
              <w:bidi w:val="0"/>
              <w:rPr>
                <w:rFonts w:ascii="Times New Roman" w:hAnsi="Times New Roman"/>
                <w:i/>
                <w:sz w:val="22"/>
                <w:szCs w:val="22"/>
                <w:lang w:eastAsia="en-US"/>
              </w:rPr>
            </w:pPr>
            <w:r w:rsidRPr="00A179AE">
              <w:rPr>
                <w:rFonts w:ascii="Times New Roman" w:hAnsi="Times New Roman"/>
                <w:i/>
                <w:sz w:val="22"/>
                <w:szCs w:val="22"/>
                <w:lang w:eastAsia="en-US"/>
              </w:rPr>
              <w:t>Uveďte, aké alternatívne spôsoby na odstránenie definovaného problému boli identifikované a posudzované.</w:t>
            </w:r>
          </w:p>
          <w:p w:rsidR="00ED6BD2" w:rsidRPr="00217943" w:rsidP="00236D91">
            <w:pPr>
              <w:bidi w:val="0"/>
              <w:rPr>
                <w:rFonts w:ascii="Times New Roman" w:hAnsi="Times New Roman"/>
                <w:sz w:val="22"/>
                <w:szCs w:val="22"/>
                <w:lang w:eastAsia="en-US"/>
              </w:rPr>
            </w:pPr>
          </w:p>
          <w:p w:rsidR="00ED6BD2" w:rsidRPr="00217943" w:rsidP="00236D91">
            <w:pPr>
              <w:bidi w:val="0"/>
              <w:jc w:val="both"/>
              <w:rPr>
                <w:rFonts w:ascii="Times New Roman" w:hAnsi="Times New Roman"/>
                <w:sz w:val="22"/>
                <w:szCs w:val="22"/>
                <w:lang w:eastAsia="en-US"/>
              </w:rPr>
            </w:pPr>
            <w:r>
              <w:rPr>
                <w:rFonts w:ascii="Times New Roman" w:hAnsi="Times New Roman"/>
                <w:sz w:val="22"/>
                <w:szCs w:val="22"/>
                <w:lang w:eastAsia="en-US"/>
              </w:rPr>
              <w:t>Predmetom návrhu zákona je legislatívna úprava udeľovania štatútov oficiálnej koprodukcie na vnútroštátnej úrovni po nadobudnutí platnosti revidovaného dohovoru a odstránenie aplikačných problémov v činnosti Audiovizuálneho fondu, Fondu na podporu umenia a Fondu na podporu kultúry národnostných menšín. Vzhľadom na charakter a ciele návrhu neboli zvažované alternatívne riešenia definovaných problémov.</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D6BD2" w:rsidRPr="00A179AE" w:rsidP="00ED6BD2">
            <w:pPr>
              <w:pStyle w:val="ListParagraph"/>
              <w:widowControl/>
              <w:numPr>
                <w:numId w:val="1"/>
              </w:numPr>
              <w:bidi w:val="0"/>
              <w:adjustRightInd/>
              <w:ind w:left="426"/>
              <w:rPr>
                <w:rFonts w:ascii="Times New Roman" w:hAnsi="Times New Roman"/>
                <w:b/>
                <w:sz w:val="22"/>
                <w:szCs w:val="22"/>
                <w:lang w:eastAsia="en-US"/>
              </w:rPr>
            </w:pPr>
            <w:r w:rsidRPr="00A179AE">
              <w:rPr>
                <w:rFonts w:ascii="Times New Roman" w:hAnsi="Times New Roman"/>
                <w:b/>
                <w:sz w:val="22"/>
                <w:szCs w:val="22"/>
                <w:lang w:eastAsia="en-US"/>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ED6BD2" w:rsidRPr="00A179AE" w:rsidP="00236D91">
            <w:pPr>
              <w:bidi w:val="0"/>
              <w:rPr>
                <w:rFonts w:ascii="Times New Roman" w:hAnsi="Times New Roman"/>
                <w:i/>
                <w:sz w:val="22"/>
                <w:szCs w:val="22"/>
                <w:lang w:eastAsia="en-US"/>
              </w:rPr>
            </w:pPr>
            <w:r w:rsidRPr="00A179AE">
              <w:rPr>
                <w:rFonts w:ascii="Times New Roman" w:hAnsi="Times New Roman"/>
                <w:i/>
                <w:sz w:val="22"/>
                <w:szCs w:val="22"/>
                <w:lang w:eastAsia="en-US"/>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ED6BD2" w:rsidRPr="00A179AE" w:rsidP="00236D91">
            <w:pPr>
              <w:bidi w:val="0"/>
              <w:jc w:val="center"/>
              <w:rPr>
                <w:rFonts w:ascii="Times New Roman" w:hAnsi="Times New Roman"/>
                <w:sz w:val="22"/>
                <w:szCs w:val="22"/>
                <w:lang w:eastAsia="en-US"/>
              </w:rPr>
            </w:pPr>
            <w:r>
              <w:rPr>
                <w:rFonts w:ascii="MS Gothic" w:eastAsia="MS Gothic" w:hAnsi="MS Gothic" w:hint="eastAsia"/>
                <w:sz w:val="22"/>
                <w:szCs w:val="22"/>
                <w:lang w:eastAsia="en-US"/>
              </w:rPr>
              <w:t>☐</w:t>
            </w:r>
            <w:r w:rsidRPr="00A179AE">
              <w:rPr>
                <w:rFonts w:ascii="Times New Roman" w:hAnsi="Times New Roman"/>
                <w:sz w:val="22"/>
                <w:szCs w:val="22"/>
                <w:lang w:eastAsia="en-US"/>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ED6BD2" w:rsidRPr="00A179AE" w:rsidP="00236D91">
            <w:pPr>
              <w:bidi w:val="0"/>
              <w:jc w:val="center"/>
              <w:rPr>
                <w:rFonts w:ascii="Times New Roman" w:hAnsi="Times New Roman"/>
                <w:sz w:val="22"/>
                <w:szCs w:val="22"/>
                <w:lang w:eastAsia="en-US"/>
              </w:rPr>
            </w:pPr>
            <w:r>
              <w:rPr>
                <w:rFonts w:ascii="MS Gothic" w:eastAsia="MS Gothic" w:hAnsi="MS Gothic" w:hint="eastAsia"/>
                <w:sz w:val="22"/>
                <w:szCs w:val="22"/>
                <w:lang w:eastAsia="en-US"/>
              </w:rPr>
              <w:t>☒</w:t>
            </w:r>
            <w:r w:rsidRPr="00A179AE">
              <w:rPr>
                <w:rFonts w:ascii="Times New Roman" w:hAnsi="Times New Roman"/>
                <w:sz w:val="22"/>
                <w:szCs w:val="22"/>
                <w:lang w:eastAsia="en-US"/>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ED6BD2" w:rsidRPr="00A179AE" w:rsidP="00236D91">
            <w:pPr>
              <w:bidi w:val="0"/>
              <w:rPr>
                <w:rFonts w:ascii="Times New Roman" w:hAnsi="Times New Roman"/>
                <w:i/>
                <w:sz w:val="22"/>
                <w:szCs w:val="22"/>
                <w:lang w:eastAsia="en-US"/>
              </w:rPr>
            </w:pPr>
            <w:r w:rsidRPr="00A179AE">
              <w:rPr>
                <w:rFonts w:ascii="Times New Roman" w:hAnsi="Times New Roman"/>
                <w:i/>
                <w:sz w:val="22"/>
                <w:szCs w:val="22"/>
                <w:lang w:eastAsia="en-US"/>
              </w:rPr>
              <w:t>Ak áno, uveďte ktoré oblasti budú nimi upravené, resp. ktorých vykonávacích predpisov sa zmena dotkne:</w:t>
            </w:r>
          </w:p>
          <w:p w:rsidR="00ED6BD2" w:rsidRPr="00A179AE" w:rsidP="00236D91">
            <w:pPr>
              <w:bidi w:val="0"/>
              <w:rPr>
                <w:rFonts w:ascii="Times New Roman" w:hAnsi="Times New Roman"/>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D6BD2" w:rsidRPr="00A179AE" w:rsidP="00ED6BD2">
            <w:pPr>
              <w:pStyle w:val="ListParagraph"/>
              <w:widowControl/>
              <w:numPr>
                <w:numId w:val="1"/>
              </w:numPr>
              <w:bidi w:val="0"/>
              <w:adjustRightInd/>
              <w:ind w:left="426"/>
              <w:rPr>
                <w:rFonts w:ascii="Times New Roman" w:hAnsi="Times New Roman"/>
                <w:b/>
                <w:sz w:val="22"/>
                <w:szCs w:val="22"/>
                <w:lang w:eastAsia="en-US"/>
              </w:rPr>
            </w:pPr>
            <w:r w:rsidRPr="00A179AE">
              <w:rPr>
                <w:rFonts w:ascii="Times New Roman" w:hAnsi="Times New Roman"/>
                <w:b/>
                <w:sz w:val="22"/>
                <w:szCs w:val="22"/>
                <w:lang w:eastAsia="en-US"/>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ED6BD2" w:rsidP="00236D91">
            <w:pPr>
              <w:bidi w:val="0"/>
              <w:rPr>
                <w:rFonts w:ascii="Times New Roman" w:hAnsi="Times New Roman"/>
                <w:i/>
                <w:sz w:val="22"/>
                <w:szCs w:val="22"/>
                <w:lang w:eastAsia="en-US"/>
              </w:rPr>
            </w:pPr>
            <w:r w:rsidRPr="00A179AE">
              <w:rPr>
                <w:rFonts w:ascii="Times New Roman" w:hAnsi="Times New Roman"/>
                <w:i/>
                <w:sz w:val="22"/>
                <w:szCs w:val="22"/>
                <w:lang w:eastAsia="en-US"/>
              </w:rPr>
              <w:t>Uveďte, v ktorých ustanoveniach ide národná právna úprava nad rámec minimálnych požiadaviek EÚ spolu s odôvodnením.</w:t>
            </w:r>
          </w:p>
          <w:p w:rsidR="00ED6BD2" w:rsidP="00236D91">
            <w:pPr>
              <w:bidi w:val="0"/>
              <w:rPr>
                <w:rFonts w:ascii="Times New Roman" w:hAnsi="Times New Roman"/>
                <w:i/>
                <w:sz w:val="22"/>
                <w:szCs w:val="22"/>
                <w:lang w:eastAsia="en-US"/>
              </w:rPr>
            </w:pPr>
          </w:p>
          <w:p w:rsidR="00ED6BD2" w:rsidRPr="00A179AE" w:rsidP="00236D91">
            <w:pPr>
              <w:bidi w:val="0"/>
              <w:rPr>
                <w:rFonts w:ascii="Times New Roman" w:hAnsi="Times New Roman"/>
                <w:i/>
                <w:sz w:val="22"/>
                <w:szCs w:val="22"/>
                <w:lang w:eastAsia="en-US"/>
              </w:rPr>
            </w:pPr>
            <w:r w:rsidRPr="009931F5">
              <w:rPr>
                <w:rFonts w:ascii="Times New Roman" w:hAnsi="Times New Roman"/>
                <w:sz w:val="22"/>
                <w:szCs w:val="22"/>
                <w:lang w:eastAsia="en-US"/>
              </w:rPr>
              <w:t>Materiál sa netýka transpozície práva EÚ.</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ED6BD2" w:rsidRPr="00A179AE" w:rsidP="00236D91">
            <w:pPr>
              <w:bidi w:val="0"/>
              <w:jc w:val="center"/>
              <w:rPr>
                <w:rFonts w:ascii="Times New Roman" w:hAnsi="Times New Roman"/>
                <w:sz w:val="22"/>
                <w:szCs w:val="22"/>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D6BD2" w:rsidRPr="00A179AE" w:rsidP="00ED6BD2">
            <w:pPr>
              <w:pStyle w:val="ListParagraph"/>
              <w:widowControl/>
              <w:numPr>
                <w:numId w:val="1"/>
              </w:numPr>
              <w:bidi w:val="0"/>
              <w:adjustRightInd/>
              <w:ind w:left="426"/>
              <w:rPr>
                <w:rFonts w:ascii="Times New Roman" w:hAnsi="Times New Roman"/>
                <w:b/>
                <w:sz w:val="22"/>
                <w:szCs w:val="22"/>
                <w:lang w:eastAsia="en-US"/>
              </w:rPr>
            </w:pPr>
            <w:r w:rsidRPr="00A179AE">
              <w:rPr>
                <w:rFonts w:ascii="Times New Roman" w:hAnsi="Times New Roman"/>
                <w:b/>
                <w:sz w:val="22"/>
                <w:szCs w:val="22"/>
                <w:lang w:eastAsia="en-US"/>
              </w:rPr>
              <w:t>Preskúmanie účelnosti</w:t>
            </w:r>
            <w:r>
              <w:rPr>
                <w:rFonts w:ascii="Times New Roman" w:hAnsi="Times New Roman"/>
                <w:b/>
                <w:sz w:val="22"/>
                <w:szCs w:val="22"/>
                <w:lang w:eastAsia="en-US"/>
              </w:rPr>
              <w:t>**</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D6BD2" w:rsidRPr="00A179AE" w:rsidP="00236D91">
            <w:pPr>
              <w:bidi w:val="0"/>
              <w:rPr>
                <w:rFonts w:ascii="Times New Roman" w:hAnsi="Times New Roman"/>
                <w:i/>
                <w:sz w:val="22"/>
                <w:szCs w:val="22"/>
                <w:lang w:eastAsia="en-US"/>
              </w:rPr>
            </w:pPr>
            <w:r w:rsidRPr="00A179AE">
              <w:rPr>
                <w:rFonts w:ascii="Times New Roman" w:hAnsi="Times New Roman"/>
                <w:i/>
                <w:sz w:val="22"/>
                <w:szCs w:val="22"/>
                <w:lang w:eastAsia="en-US"/>
              </w:rPr>
              <w:t>Uveďte termín, kedy by malo dôjsť k preskúmaniu účinnosti a účelnosti navrhovaného predpisu.</w:t>
            </w:r>
          </w:p>
          <w:p w:rsidR="00ED6BD2" w:rsidRPr="00A179AE" w:rsidP="00236D91">
            <w:pPr>
              <w:bidi w:val="0"/>
              <w:rPr>
                <w:rFonts w:ascii="Times New Roman" w:hAnsi="Times New Roman"/>
                <w:i/>
                <w:sz w:val="22"/>
                <w:szCs w:val="22"/>
                <w:lang w:eastAsia="en-US"/>
              </w:rPr>
            </w:pPr>
            <w:r w:rsidRPr="00A179AE">
              <w:rPr>
                <w:rFonts w:ascii="Times New Roman" w:hAnsi="Times New Roman"/>
                <w:i/>
                <w:sz w:val="22"/>
                <w:szCs w:val="22"/>
                <w:lang w:eastAsia="en-US"/>
              </w:rPr>
              <w:t>Uveďte kritériá, na základe ktorých bude preskúmanie vykonané.</w:t>
            </w:r>
          </w:p>
          <w:p w:rsidR="00ED6BD2" w:rsidRPr="00A179AE" w:rsidP="00236D91">
            <w:pPr>
              <w:bidi w:val="0"/>
              <w:rPr>
                <w:rFonts w:ascii="Times New Roman" w:hAnsi="Times New Roman"/>
                <w:i/>
                <w:sz w:val="22"/>
                <w:szCs w:val="22"/>
                <w:lang w:eastAsia="en-US"/>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ED6BD2" w:rsidP="00ED6BD2">
            <w:pPr>
              <w:bidi w:val="0"/>
              <w:rPr>
                <w:rFonts w:ascii="Times New Roman" w:hAnsi="Times New Roman"/>
                <w:sz w:val="22"/>
                <w:szCs w:val="22"/>
                <w:lang w:eastAsia="en-US"/>
              </w:rPr>
            </w:pPr>
          </w:p>
          <w:p w:rsidR="00ED6BD2" w:rsidP="00236D91">
            <w:pPr>
              <w:bidi w:val="0"/>
              <w:ind w:left="142" w:hanging="142"/>
              <w:rPr>
                <w:rFonts w:ascii="Times New Roman" w:hAnsi="Times New Roman"/>
                <w:sz w:val="22"/>
                <w:szCs w:val="22"/>
                <w:lang w:eastAsia="en-US"/>
              </w:rPr>
            </w:pPr>
            <w:r>
              <w:rPr>
                <w:rFonts w:ascii="Times New Roman" w:hAnsi="Times New Roman"/>
                <w:sz w:val="22"/>
                <w:szCs w:val="22"/>
                <w:lang w:eastAsia="en-US"/>
              </w:rPr>
              <w:t xml:space="preserve">* vyplniť iba v prípade, </w:t>
            </w:r>
            <w:r w:rsidRPr="004C60B8">
              <w:rPr>
                <w:rFonts w:ascii="Times New Roman" w:hAnsi="Times New Roman"/>
                <w:sz w:val="22"/>
                <w:szCs w:val="22"/>
                <w:lang w:eastAsia="en-US"/>
              </w:rPr>
              <w:t>ak materiál nie je zahrnutý do Plánu práce vlády Slovenskej republiky alebo Plán</w:t>
            </w:r>
            <w:r>
              <w:rPr>
                <w:rFonts w:ascii="Times New Roman" w:hAnsi="Times New Roman"/>
                <w:sz w:val="22"/>
                <w:szCs w:val="22"/>
                <w:lang w:eastAsia="en-US"/>
              </w:rPr>
              <w:t>u</w:t>
            </w:r>
            <w:r w:rsidRPr="004C60B8">
              <w:rPr>
                <w:rFonts w:ascii="Times New Roman" w:hAnsi="Times New Roman"/>
                <w:sz w:val="22"/>
                <w:szCs w:val="22"/>
                <w:lang w:eastAsia="en-US"/>
              </w:rPr>
              <w:t xml:space="preserve"> </w:t>
            </w:r>
            <w:r>
              <w:rPr>
                <w:rFonts w:ascii="Times New Roman" w:hAnsi="Times New Roman"/>
                <w:sz w:val="22"/>
                <w:szCs w:val="22"/>
                <w:lang w:eastAsia="en-US"/>
              </w:rPr>
              <w:t xml:space="preserve">       </w:t>
            </w:r>
            <w:r w:rsidRPr="004C60B8">
              <w:rPr>
                <w:rFonts w:ascii="Times New Roman" w:hAnsi="Times New Roman"/>
                <w:sz w:val="22"/>
                <w:szCs w:val="22"/>
                <w:lang w:eastAsia="en-US"/>
              </w:rPr>
              <w:t>legislatívnych úloh vlády Slovenskej republiky.</w:t>
            </w:r>
            <w:r>
              <w:rPr>
                <w:rFonts w:ascii="Times New Roman" w:hAnsi="Times New Roman"/>
                <w:sz w:val="22"/>
                <w:szCs w:val="22"/>
                <w:lang w:eastAsia="en-US"/>
              </w:rPr>
              <w:t xml:space="preserve"> </w:t>
            </w:r>
          </w:p>
          <w:p w:rsidR="00ED6BD2" w:rsidRPr="00A179AE" w:rsidP="00236D91">
            <w:pPr>
              <w:bidi w:val="0"/>
              <w:rPr>
                <w:rFonts w:ascii="Times New Roman" w:hAnsi="Times New Roman"/>
                <w:sz w:val="22"/>
                <w:szCs w:val="22"/>
                <w:lang w:eastAsia="en-US"/>
              </w:rPr>
            </w:pPr>
            <w:r>
              <w:rPr>
                <w:rFonts w:ascii="Times New Roman" w:hAnsi="Times New Roman"/>
                <w:sz w:val="22"/>
                <w:szCs w:val="22"/>
                <w:lang w:eastAsia="en-US"/>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ED6BD2" w:rsidRPr="00A179AE" w:rsidP="00236D91">
            <w:pPr>
              <w:bidi w:val="0"/>
              <w:rPr>
                <w:rFonts w:ascii="Times New Roman" w:hAnsi="Times New Roman"/>
                <w:b/>
                <w:sz w:val="22"/>
                <w:szCs w:val="22"/>
                <w:lang w:eastAsia="en-US"/>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ED6BD2" w:rsidRPr="00A179AE" w:rsidP="00ED6BD2">
            <w:pPr>
              <w:pStyle w:val="ListParagraph"/>
              <w:widowControl/>
              <w:numPr>
                <w:numId w:val="1"/>
              </w:numPr>
              <w:bidi w:val="0"/>
              <w:adjustRightInd/>
              <w:ind w:left="426"/>
              <w:rPr>
                <w:rFonts w:ascii="Times New Roman" w:hAnsi="Times New Roman"/>
                <w:b/>
                <w:sz w:val="22"/>
                <w:szCs w:val="22"/>
                <w:lang w:eastAsia="en-US"/>
              </w:rPr>
            </w:pPr>
            <w:r w:rsidRPr="00A179AE">
              <w:rPr>
                <w:rFonts w:ascii="Times New Roman" w:hAnsi="Times New Roman"/>
                <w:b/>
                <w:sz w:val="22"/>
                <w:szCs w:val="22"/>
                <w:lang w:eastAsia="en-US"/>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ED6BD2" w:rsidRPr="00A179AE" w:rsidP="00236D91">
            <w:pPr>
              <w:bidi w:val="0"/>
              <w:rPr>
                <w:rFonts w:ascii="Times New Roman" w:hAnsi="Times New Roman"/>
                <w:b/>
                <w:sz w:val="22"/>
                <w:szCs w:val="22"/>
                <w:lang w:eastAsia="en-US"/>
              </w:rPr>
            </w:pPr>
            <w:r w:rsidRPr="00A179AE">
              <w:rPr>
                <w:rFonts w:ascii="Times New Roman" w:hAnsi="Times New Roman"/>
                <w:b/>
                <w:sz w:val="22"/>
                <w:szCs w:val="22"/>
                <w:lang w:eastAsia="en-US"/>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ED6BD2" w:rsidRPr="00A179AE" w:rsidP="00236D91">
            <w:pPr>
              <w:bidi w:val="0"/>
              <w:jc w:val="center"/>
              <w:rPr>
                <w:rFonts w:ascii="Times New Roman" w:hAnsi="Times New Roman"/>
                <w:b/>
                <w:sz w:val="22"/>
                <w:szCs w:val="22"/>
                <w:lang w:eastAsia="en-US"/>
              </w:rPr>
            </w:pPr>
            <w:r w:rsidRPr="00A179AE">
              <w:rPr>
                <w:rFonts w:ascii="MS Mincho" w:eastAsia="MS Mincho" w:hAnsi="MS Mincho" w:cs="MS Mincho" w:hint="eastAsia"/>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ED6BD2" w:rsidRPr="00A179AE" w:rsidP="00236D91">
            <w:pPr>
              <w:bidi w:val="0"/>
              <w:rPr>
                <w:rFonts w:ascii="Times New Roman" w:hAnsi="Times New Roman"/>
                <w:b/>
                <w:sz w:val="22"/>
                <w:szCs w:val="22"/>
                <w:lang w:eastAsia="en-US"/>
              </w:rPr>
            </w:pPr>
            <w:r w:rsidRPr="00A179AE">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ED6BD2" w:rsidRPr="00A179AE" w:rsidP="00236D91">
            <w:pPr>
              <w:bidi w:val="0"/>
              <w:jc w:val="center"/>
              <w:rPr>
                <w:rFonts w:ascii="Times New Roman" w:hAnsi="Times New Roman"/>
                <w:b/>
                <w:sz w:val="22"/>
                <w:szCs w:val="22"/>
                <w:lang w:eastAsia="en-US"/>
              </w:rPr>
            </w:pPr>
            <w:r>
              <w:rPr>
                <w:rFonts w:ascii="MS Gothic" w:eastAsia="MS Gothic" w:hAnsi="MS Gothic" w:hint="eastAsia"/>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ED6BD2" w:rsidRPr="003C10DA" w:rsidP="00236D91">
            <w:pPr>
              <w:bidi w:val="0"/>
              <w:rPr>
                <w:rFonts w:ascii="Times New Roman" w:hAnsi="Times New Roman"/>
                <w:b/>
                <w:sz w:val="22"/>
                <w:szCs w:val="22"/>
                <w:lang w:eastAsia="en-US"/>
              </w:rPr>
            </w:pPr>
            <w:r w:rsidRPr="003C10DA">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ED6BD2" w:rsidRPr="00A179AE" w:rsidP="00236D91">
            <w:pPr>
              <w:bidi w:val="0"/>
              <w:ind w:left="-107" w:right="-108"/>
              <w:jc w:val="center"/>
              <w:rPr>
                <w:rFonts w:ascii="Times New Roman" w:hAnsi="Times New Roman"/>
                <w:b/>
                <w:sz w:val="22"/>
                <w:szCs w:val="22"/>
                <w:lang w:eastAsia="en-US"/>
              </w:rPr>
            </w:pPr>
            <w:r>
              <w:rPr>
                <w:rFonts w:ascii="MS Gothic" w:eastAsia="MS Gothic" w:hAnsi="MS Gothic" w:hint="eastAsia"/>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ED6BD2" w:rsidRPr="00A179AE" w:rsidP="00236D91">
            <w:pPr>
              <w:bidi w:val="0"/>
              <w:ind w:left="34"/>
              <w:rPr>
                <w:rFonts w:ascii="Times New Roman" w:hAnsi="Times New Roman"/>
                <w:b/>
                <w:sz w:val="22"/>
                <w:szCs w:val="22"/>
                <w:lang w:eastAsia="en-US"/>
              </w:rPr>
            </w:pPr>
            <w:r w:rsidRPr="00A179AE">
              <w:rPr>
                <w:rFonts w:ascii="Times New Roman" w:hAnsi="Times New Roman"/>
                <w:b/>
                <w:sz w:val="22"/>
                <w:szCs w:val="22"/>
                <w:lang w:eastAsia="en-US"/>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ED6BD2" w:rsidRPr="00A179AE" w:rsidP="00236D91">
            <w:pPr>
              <w:bidi w:val="0"/>
              <w:rPr>
                <w:rFonts w:ascii="Times New Roman" w:hAnsi="Times New Roman"/>
                <w:sz w:val="22"/>
                <w:szCs w:val="22"/>
                <w:lang w:eastAsia="en-US"/>
              </w:rPr>
            </w:pPr>
            <w:r w:rsidRPr="00A179AE">
              <w:rPr>
                <w:rFonts w:ascii="Times New Roman" w:hAnsi="Times New Roman"/>
                <w:sz w:val="22"/>
                <w:szCs w:val="22"/>
                <w:lang w:eastAsia="en-US"/>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ED6BD2" w:rsidRPr="00A179AE" w:rsidP="00236D91">
            <w:pPr>
              <w:bidi w:val="0"/>
              <w:jc w:val="center"/>
              <w:rPr>
                <w:rFonts w:ascii="Times New Roman" w:hAnsi="Times New Roman"/>
                <w:sz w:val="22"/>
                <w:szCs w:val="22"/>
                <w:lang w:eastAsia="en-US"/>
              </w:rPr>
            </w:pPr>
            <w:r w:rsidRPr="00A179AE">
              <w:rPr>
                <w:rFonts w:ascii="MS Mincho" w:eastAsia="MS Mincho" w:hAnsi="MS Mincho" w:cs="MS Mincho" w:hint="eastAsia"/>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ED6BD2" w:rsidRPr="00A179AE" w:rsidP="00236D91">
            <w:pPr>
              <w:bidi w:val="0"/>
              <w:rPr>
                <w:rFonts w:ascii="Times New Roman" w:hAnsi="Times New Roman"/>
                <w:sz w:val="22"/>
                <w:szCs w:val="22"/>
                <w:lang w:eastAsia="en-US"/>
              </w:rPr>
            </w:pPr>
            <w:r w:rsidRPr="00A179AE">
              <w:rPr>
                <w:rFonts w:ascii="Times New Roman" w:hAnsi="Times New Roman"/>
                <w:sz w:val="22"/>
                <w:szCs w:val="22"/>
                <w:lang w:eastAsia="en-US"/>
              </w:rPr>
              <w:t>Áno</w:t>
            </w:r>
          </w:p>
        </w:tc>
        <w:tc>
          <w:tcPr>
            <w:tcW w:w="569" w:type="dxa"/>
            <w:tcBorders>
              <w:top w:val="single" w:sz="4" w:space="0" w:color="auto"/>
              <w:left w:val="nil"/>
              <w:bottom w:val="single" w:sz="4" w:space="0" w:color="auto"/>
              <w:right w:val="nil"/>
            </w:tcBorders>
            <w:textDirection w:val="lrTb"/>
            <w:vAlign w:val="top"/>
          </w:tcPr>
          <w:p w:rsidR="00ED6BD2" w:rsidRPr="00A179AE" w:rsidP="00236D91">
            <w:pPr>
              <w:bidi w:val="0"/>
              <w:jc w:val="center"/>
              <w:rPr>
                <w:rFonts w:ascii="Times New Roman" w:hAnsi="Times New Roman"/>
                <w:sz w:val="22"/>
                <w:szCs w:val="22"/>
                <w:lang w:eastAsia="en-US"/>
              </w:rPr>
            </w:pPr>
            <w:r w:rsidRPr="00A179AE">
              <w:rPr>
                <w:rFonts w:ascii="MS Mincho" w:eastAsia="MS Mincho" w:hAnsi="MS Mincho" w:cs="MS Mincho" w:hint="eastAsia"/>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ED6BD2" w:rsidRPr="00A179AE" w:rsidP="00236D91">
            <w:pPr>
              <w:bidi w:val="0"/>
              <w:rPr>
                <w:rFonts w:ascii="Times New Roman" w:hAnsi="Times New Roman"/>
                <w:sz w:val="22"/>
                <w:szCs w:val="22"/>
                <w:lang w:eastAsia="en-US"/>
              </w:rPr>
            </w:pPr>
            <w:r w:rsidRPr="00A179AE">
              <w:rPr>
                <w:rFonts w:ascii="Times New Roman" w:hAnsi="Times New Roman"/>
                <w:sz w:val="22"/>
                <w:szCs w:val="22"/>
                <w:lang w:eastAsia="en-US"/>
              </w:rPr>
              <w:t>Nie</w:t>
            </w:r>
          </w:p>
        </w:tc>
        <w:tc>
          <w:tcPr>
            <w:tcW w:w="547" w:type="dxa"/>
            <w:gridSpan w:val="2"/>
            <w:tcBorders>
              <w:top w:val="single" w:sz="4" w:space="0" w:color="auto"/>
              <w:left w:val="nil"/>
              <w:bottom w:val="single" w:sz="4" w:space="0" w:color="auto"/>
              <w:right w:val="nil"/>
            </w:tcBorders>
            <w:textDirection w:val="lrTb"/>
            <w:vAlign w:val="top"/>
          </w:tcPr>
          <w:p w:rsidR="00ED6BD2" w:rsidRPr="00A179AE" w:rsidP="00236D91">
            <w:pPr>
              <w:bidi w:val="0"/>
              <w:ind w:left="-107" w:right="-108"/>
              <w:jc w:val="center"/>
              <w:rPr>
                <w:rFonts w:ascii="Times New Roman" w:hAnsi="Times New Roman"/>
                <w:sz w:val="22"/>
                <w:szCs w:val="22"/>
                <w:lang w:eastAsia="en-US"/>
              </w:rPr>
            </w:pPr>
            <w:r w:rsidRPr="00A179AE">
              <w:rPr>
                <w:rFonts w:ascii="MS Mincho" w:eastAsia="MS Mincho" w:hAnsi="MS Mincho" w:cs="MS Mincho" w:hint="eastAsia"/>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ED6BD2" w:rsidRPr="00A179AE" w:rsidP="00236D91">
            <w:pPr>
              <w:bidi w:val="0"/>
              <w:ind w:left="34"/>
              <w:rPr>
                <w:rFonts w:ascii="Times New Roman" w:hAnsi="Times New Roman"/>
                <w:sz w:val="22"/>
                <w:szCs w:val="22"/>
                <w:lang w:eastAsia="en-US"/>
              </w:rPr>
            </w:pPr>
            <w:r w:rsidRPr="00A179AE">
              <w:rPr>
                <w:rFonts w:ascii="Times New Roman" w:hAnsi="Times New Roman"/>
                <w:sz w:val="22"/>
                <w:szCs w:val="22"/>
                <w:lang w:eastAsia="en-US"/>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ED6BD2" w:rsidRPr="00A179AE" w:rsidP="00236D91">
            <w:pPr>
              <w:bidi w:val="0"/>
              <w:rPr>
                <w:rFonts w:ascii="Times New Roman" w:hAnsi="Times New Roman"/>
                <w:b/>
                <w:sz w:val="22"/>
                <w:szCs w:val="22"/>
                <w:lang w:eastAsia="en-US"/>
              </w:rPr>
            </w:pPr>
            <w:r w:rsidRPr="00A179AE">
              <w:rPr>
                <w:rFonts w:ascii="Times New Roman" w:hAnsi="Times New Roman"/>
                <w:b/>
                <w:sz w:val="22"/>
                <w:szCs w:val="22"/>
                <w:lang w:eastAsia="en-US"/>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ED6BD2" w:rsidRPr="00A179AE" w:rsidP="00236D91">
            <w:pPr>
              <w:bidi w:val="0"/>
              <w:jc w:val="center"/>
              <w:rPr>
                <w:rFonts w:ascii="Times New Roman" w:hAnsi="Times New Roman"/>
                <w:b/>
                <w:sz w:val="22"/>
                <w:szCs w:val="22"/>
                <w:lang w:eastAsia="en-US"/>
              </w:rPr>
            </w:pPr>
            <w:r>
              <w:rPr>
                <w:rFonts w:ascii="MS Gothic" w:eastAsia="MS Gothic" w:hAnsi="MS Gothic" w:hint="eastAsia"/>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ED6BD2" w:rsidRPr="00A179AE" w:rsidP="00236D91">
            <w:pPr>
              <w:bidi w:val="0"/>
              <w:ind w:right="-108"/>
              <w:rPr>
                <w:rFonts w:ascii="Times New Roman" w:hAnsi="Times New Roman"/>
                <w:b/>
                <w:sz w:val="22"/>
                <w:szCs w:val="22"/>
                <w:lang w:eastAsia="en-US"/>
              </w:rPr>
            </w:pPr>
            <w:r w:rsidRPr="00A179AE">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ED6BD2" w:rsidRPr="00A179AE" w:rsidP="00236D91">
            <w:pPr>
              <w:bidi w:val="0"/>
              <w:jc w:val="center"/>
              <w:rPr>
                <w:rFonts w:ascii="Times New Roman" w:hAnsi="Times New Roman"/>
                <w:b/>
                <w:sz w:val="22"/>
                <w:szCs w:val="22"/>
                <w:lang w:eastAsia="en-US"/>
              </w:rPr>
            </w:pPr>
            <w:r>
              <w:rPr>
                <w:rFonts w:ascii="MS Gothic" w:eastAsia="MS Gothic" w:hAnsi="MS Gothic" w:hint="eastAsia"/>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ED6BD2" w:rsidRPr="00A179AE" w:rsidP="00236D91">
            <w:pPr>
              <w:bidi w:val="0"/>
              <w:rPr>
                <w:rFonts w:ascii="Times New Roman" w:hAnsi="Times New Roman"/>
                <w:b/>
                <w:sz w:val="22"/>
                <w:szCs w:val="22"/>
                <w:lang w:eastAsia="en-US"/>
              </w:rPr>
            </w:pPr>
            <w:r w:rsidRPr="00A179AE">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ED6BD2" w:rsidRPr="00A179AE" w:rsidP="00236D91">
            <w:pPr>
              <w:bidi w:val="0"/>
              <w:jc w:val="center"/>
              <w:rPr>
                <w:rFonts w:ascii="Times New Roman" w:hAnsi="Times New Roman"/>
                <w:b/>
                <w:sz w:val="22"/>
                <w:szCs w:val="22"/>
                <w:lang w:eastAsia="en-US"/>
              </w:rPr>
            </w:pPr>
            <w:r>
              <w:rPr>
                <w:rFonts w:ascii="MS Gothic" w:eastAsia="MS Gothic" w:hAnsi="MS Gothic" w:hint="eastAsia"/>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ED6BD2" w:rsidRPr="00A179AE" w:rsidP="00236D91">
            <w:pPr>
              <w:bidi w:val="0"/>
              <w:ind w:left="54"/>
              <w:rPr>
                <w:rFonts w:ascii="Times New Roman" w:hAnsi="Times New Roman"/>
                <w:b/>
                <w:sz w:val="22"/>
                <w:szCs w:val="22"/>
                <w:lang w:eastAsia="en-US"/>
              </w:rPr>
            </w:pPr>
            <w:r w:rsidRPr="00A179AE">
              <w:rPr>
                <w:rFonts w:ascii="Times New Roman" w:hAnsi="Times New Roman"/>
                <w:b/>
                <w:sz w:val="22"/>
                <w:szCs w:val="22"/>
                <w:lang w:eastAsia="en-US"/>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ED6BD2" w:rsidRPr="00A179AE" w:rsidP="00236D91">
            <w:pPr>
              <w:bidi w:val="0"/>
              <w:rPr>
                <w:rFonts w:ascii="Times New Roman" w:hAnsi="Times New Roman"/>
                <w:sz w:val="22"/>
                <w:szCs w:val="22"/>
                <w:lang w:eastAsia="en-US"/>
              </w:rPr>
            </w:pPr>
            <w:r w:rsidRPr="00A179AE">
              <w:rPr>
                <w:rFonts w:ascii="Times New Roman" w:hAnsi="Times New Roman"/>
                <w:sz w:val="22"/>
                <w:szCs w:val="22"/>
                <w:lang w:eastAsia="en-US"/>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ED6BD2" w:rsidRPr="00A179AE" w:rsidP="00236D91">
            <w:pPr>
              <w:bidi w:val="0"/>
              <w:jc w:val="center"/>
              <w:rPr>
                <w:rFonts w:ascii="Times New Roman" w:hAnsi="Times New Roman"/>
                <w:sz w:val="22"/>
                <w:szCs w:val="22"/>
                <w:lang w:eastAsia="en-US"/>
              </w:rPr>
            </w:pPr>
            <w:r>
              <w:rPr>
                <w:rFonts w:ascii="MS Gothic" w:eastAsia="MS Gothic" w:hAnsi="MS Gothic" w:hint="eastAsia"/>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ED6BD2" w:rsidRPr="00A179AE" w:rsidP="00236D91">
            <w:pPr>
              <w:bidi w:val="0"/>
              <w:ind w:right="-108"/>
              <w:rPr>
                <w:rFonts w:ascii="Times New Roman" w:hAnsi="Times New Roman"/>
                <w:sz w:val="22"/>
                <w:szCs w:val="22"/>
                <w:lang w:eastAsia="en-US"/>
              </w:rPr>
            </w:pPr>
            <w:r w:rsidRPr="00A179AE">
              <w:rPr>
                <w:rFonts w:ascii="Times New Roman" w:hAnsi="Times New Roman"/>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ED6BD2" w:rsidRPr="00A179AE" w:rsidP="00236D91">
            <w:pPr>
              <w:bidi w:val="0"/>
              <w:jc w:val="center"/>
              <w:rPr>
                <w:rFonts w:ascii="Times New Roman" w:hAnsi="Times New Roman"/>
                <w:sz w:val="22"/>
                <w:szCs w:val="22"/>
                <w:lang w:eastAsia="en-US"/>
              </w:rPr>
            </w:pPr>
            <w:r>
              <w:rPr>
                <w:rFonts w:ascii="MS Gothic" w:eastAsia="MS Gothic" w:hAnsi="MS Gothic" w:hint="eastAsia"/>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ED6BD2" w:rsidRPr="00A179AE" w:rsidP="00236D91">
            <w:pPr>
              <w:bidi w:val="0"/>
              <w:rPr>
                <w:rFonts w:ascii="Times New Roman" w:hAnsi="Times New Roman"/>
                <w:sz w:val="22"/>
                <w:szCs w:val="22"/>
                <w:lang w:eastAsia="en-US"/>
              </w:rPr>
            </w:pPr>
            <w:r w:rsidRPr="00A179AE">
              <w:rPr>
                <w:rFonts w:ascii="Times New Roman" w:hAnsi="Times New Roman"/>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ED6BD2" w:rsidRPr="00A179AE" w:rsidP="00236D91">
            <w:pPr>
              <w:bidi w:val="0"/>
              <w:jc w:val="center"/>
              <w:rPr>
                <w:rFonts w:ascii="Times New Roman" w:hAnsi="Times New Roman"/>
                <w:sz w:val="22"/>
                <w:szCs w:val="22"/>
                <w:lang w:eastAsia="en-US"/>
              </w:rPr>
            </w:pPr>
            <w:r>
              <w:rPr>
                <w:rFonts w:ascii="MS Gothic" w:eastAsia="MS Gothic" w:hAnsi="MS Gothic" w:hint="eastAsia"/>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ED6BD2" w:rsidRPr="00A179AE" w:rsidP="00236D91">
            <w:pPr>
              <w:bidi w:val="0"/>
              <w:ind w:left="54"/>
              <w:rPr>
                <w:rFonts w:ascii="Times New Roman" w:hAnsi="Times New Roman"/>
                <w:sz w:val="22"/>
                <w:szCs w:val="22"/>
                <w:lang w:eastAsia="en-US"/>
              </w:rPr>
            </w:pPr>
            <w:r w:rsidRPr="00A179AE">
              <w:rPr>
                <w:rFonts w:ascii="Times New Roman" w:hAnsi="Times New Roman"/>
                <w:sz w:val="22"/>
                <w:szCs w:val="22"/>
                <w:lang w:eastAsia="en-US"/>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ED6BD2" w:rsidRPr="00A179AE" w:rsidP="00236D91">
            <w:pPr>
              <w:bidi w:val="0"/>
              <w:rPr>
                <w:rFonts w:ascii="Times New Roman" w:hAnsi="Times New Roman"/>
                <w:b/>
                <w:sz w:val="22"/>
                <w:szCs w:val="22"/>
                <w:lang w:eastAsia="en-US"/>
              </w:rPr>
            </w:pPr>
            <w:r w:rsidRPr="00A179AE">
              <w:rPr>
                <w:rFonts w:ascii="Times New Roman" w:hAnsi="Times New Roman"/>
                <w:b/>
                <w:sz w:val="22"/>
                <w:szCs w:val="22"/>
                <w:lang w:eastAsia="en-US"/>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ED6BD2" w:rsidRPr="00A179AE" w:rsidP="00236D91">
            <w:pPr>
              <w:bidi w:val="0"/>
              <w:jc w:val="center"/>
              <w:rPr>
                <w:rFonts w:ascii="Times New Roman" w:hAnsi="Times New Roman"/>
                <w:b/>
                <w:sz w:val="22"/>
                <w:szCs w:val="22"/>
                <w:lang w:eastAsia="en-US"/>
              </w:rPr>
            </w:pPr>
            <w:r w:rsidRPr="00A179AE">
              <w:rPr>
                <w:rFonts w:ascii="MS Mincho" w:eastAsia="MS Mincho" w:hAnsi="MS Mincho" w:cs="MS Mincho" w:hint="eastAsia"/>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ED6BD2" w:rsidRPr="00A179AE" w:rsidP="00236D91">
            <w:pPr>
              <w:bidi w:val="0"/>
              <w:ind w:right="-108"/>
              <w:rPr>
                <w:rFonts w:ascii="Times New Roman" w:hAnsi="Times New Roman"/>
                <w:b/>
                <w:sz w:val="22"/>
                <w:szCs w:val="22"/>
                <w:lang w:eastAsia="en-US"/>
              </w:rPr>
            </w:pPr>
            <w:r w:rsidRPr="00A179AE">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ED6BD2" w:rsidRPr="00A179AE" w:rsidP="00236D91">
            <w:pPr>
              <w:bidi w:val="0"/>
              <w:jc w:val="center"/>
              <w:rPr>
                <w:rFonts w:ascii="Times New Roman" w:hAnsi="Times New Roman"/>
                <w:b/>
                <w:sz w:val="22"/>
                <w:szCs w:val="22"/>
                <w:lang w:eastAsia="en-US"/>
              </w:rPr>
            </w:pPr>
            <w:r>
              <w:rPr>
                <w:rFonts w:ascii="MS Gothic" w:eastAsia="MS Gothic" w:hAnsi="MS Gothic" w:hint="eastAsia"/>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ED6BD2" w:rsidRPr="00A179AE" w:rsidP="00236D91">
            <w:pPr>
              <w:bidi w:val="0"/>
              <w:rPr>
                <w:rFonts w:ascii="Times New Roman" w:hAnsi="Times New Roman"/>
                <w:b/>
                <w:sz w:val="22"/>
                <w:szCs w:val="22"/>
                <w:lang w:eastAsia="en-US"/>
              </w:rPr>
            </w:pPr>
            <w:r w:rsidRPr="00A179AE">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ED6BD2" w:rsidRPr="00A179AE" w:rsidP="00236D91">
            <w:pPr>
              <w:bidi w:val="0"/>
              <w:jc w:val="center"/>
              <w:rPr>
                <w:rFonts w:ascii="Times New Roman" w:hAnsi="Times New Roman"/>
                <w:b/>
                <w:sz w:val="22"/>
                <w:szCs w:val="22"/>
                <w:lang w:eastAsia="en-US"/>
              </w:rPr>
            </w:pPr>
            <w:r w:rsidRPr="00A179AE">
              <w:rPr>
                <w:rFonts w:ascii="MS Mincho" w:eastAsia="MS Mincho" w:hAnsi="MS Mincho" w:cs="MS Mincho" w:hint="eastAsia"/>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ED6BD2" w:rsidRPr="00A179AE" w:rsidP="00236D91">
            <w:pPr>
              <w:bidi w:val="0"/>
              <w:ind w:left="54"/>
              <w:rPr>
                <w:rFonts w:ascii="Times New Roman" w:hAnsi="Times New Roman"/>
                <w:b/>
                <w:sz w:val="22"/>
                <w:szCs w:val="22"/>
                <w:lang w:eastAsia="en-US"/>
              </w:rPr>
            </w:pPr>
            <w:r w:rsidRPr="00A179AE">
              <w:rPr>
                <w:rFonts w:ascii="Times New Roman" w:hAnsi="Times New Roman"/>
                <w:b/>
                <w:sz w:val="22"/>
                <w:szCs w:val="22"/>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ED6BD2" w:rsidRPr="00A179AE" w:rsidP="00236D91">
            <w:pPr>
              <w:bidi w:val="0"/>
              <w:rPr>
                <w:rFonts w:ascii="Times New Roman" w:hAnsi="Times New Roman"/>
                <w:b/>
                <w:sz w:val="22"/>
                <w:szCs w:val="22"/>
                <w:lang w:eastAsia="en-US"/>
              </w:rPr>
            </w:pPr>
            <w:r w:rsidRPr="00A179AE">
              <w:rPr>
                <w:rFonts w:ascii="Times New Roman" w:hAnsi="Times New Roman"/>
                <w:b/>
                <w:sz w:val="22"/>
                <w:szCs w:val="22"/>
                <w:lang w:eastAsia="en-US"/>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ED6BD2" w:rsidRPr="00A179AE" w:rsidP="00236D91">
            <w:pPr>
              <w:bidi w:val="0"/>
              <w:jc w:val="center"/>
              <w:rPr>
                <w:rFonts w:ascii="Times New Roman" w:hAnsi="Times New Roman"/>
                <w:b/>
                <w:sz w:val="22"/>
                <w:szCs w:val="22"/>
                <w:lang w:eastAsia="en-US"/>
              </w:rPr>
            </w:pPr>
            <w:r w:rsidRPr="00A179AE">
              <w:rPr>
                <w:rFonts w:ascii="MS Mincho" w:eastAsia="MS Mincho" w:hAnsi="MS Mincho" w:cs="MS Mincho" w:hint="eastAsia"/>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ED6BD2" w:rsidRPr="00A179AE" w:rsidP="00236D91">
            <w:pPr>
              <w:bidi w:val="0"/>
              <w:ind w:right="-108"/>
              <w:rPr>
                <w:rFonts w:ascii="Times New Roman" w:hAnsi="Times New Roman"/>
                <w:b/>
                <w:sz w:val="22"/>
                <w:szCs w:val="22"/>
                <w:lang w:eastAsia="en-US"/>
              </w:rPr>
            </w:pPr>
            <w:r w:rsidRPr="00A179AE">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ED6BD2" w:rsidRPr="00A179AE" w:rsidP="00236D91">
            <w:pPr>
              <w:bidi w:val="0"/>
              <w:jc w:val="center"/>
              <w:rPr>
                <w:rFonts w:ascii="Times New Roman" w:hAnsi="Times New Roman"/>
                <w:b/>
                <w:sz w:val="22"/>
                <w:szCs w:val="22"/>
                <w:lang w:eastAsia="en-US"/>
              </w:rPr>
            </w:pPr>
            <w:r>
              <w:rPr>
                <w:rFonts w:ascii="MS Gothic" w:eastAsia="MS Gothic" w:hAnsi="MS Gothic" w:hint="eastAsia"/>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ED6BD2" w:rsidRPr="00A179AE" w:rsidP="00236D91">
            <w:pPr>
              <w:bidi w:val="0"/>
              <w:rPr>
                <w:rFonts w:ascii="Times New Roman" w:hAnsi="Times New Roman"/>
                <w:b/>
                <w:sz w:val="22"/>
                <w:szCs w:val="22"/>
                <w:lang w:eastAsia="en-US"/>
              </w:rPr>
            </w:pPr>
            <w:r w:rsidRPr="00A179AE">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ED6BD2" w:rsidRPr="00A179AE" w:rsidP="00236D91">
            <w:pPr>
              <w:bidi w:val="0"/>
              <w:jc w:val="center"/>
              <w:rPr>
                <w:rFonts w:ascii="Times New Roman" w:hAnsi="Times New Roman"/>
                <w:b/>
                <w:sz w:val="22"/>
                <w:szCs w:val="22"/>
                <w:lang w:eastAsia="en-US"/>
              </w:rPr>
            </w:pPr>
            <w:r w:rsidRPr="00A179AE">
              <w:rPr>
                <w:rFonts w:ascii="MS Mincho" w:eastAsia="MS Mincho" w:hAnsi="MS Mincho" w:cs="MS Mincho" w:hint="eastAsia"/>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ED6BD2" w:rsidRPr="00A179AE" w:rsidP="00236D91">
            <w:pPr>
              <w:bidi w:val="0"/>
              <w:ind w:left="54"/>
              <w:rPr>
                <w:rFonts w:ascii="Times New Roman" w:hAnsi="Times New Roman"/>
                <w:b/>
                <w:sz w:val="22"/>
                <w:szCs w:val="22"/>
                <w:lang w:eastAsia="en-US"/>
              </w:rPr>
            </w:pPr>
            <w:r w:rsidRPr="00A179AE">
              <w:rPr>
                <w:rFonts w:ascii="Times New Roman" w:hAnsi="Times New Roman"/>
                <w:b/>
                <w:sz w:val="22"/>
                <w:szCs w:val="22"/>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ED6BD2" w:rsidRPr="00A179AE" w:rsidP="00236D91">
            <w:pPr>
              <w:bidi w:val="0"/>
              <w:rPr>
                <w:rFonts w:ascii="Times New Roman" w:hAnsi="Times New Roman"/>
                <w:b/>
                <w:sz w:val="22"/>
                <w:szCs w:val="22"/>
                <w:lang w:eastAsia="en-US"/>
              </w:rPr>
            </w:pPr>
            <w:r w:rsidRPr="00A179AE">
              <w:rPr>
                <w:rFonts w:ascii="Times New Roman" w:hAnsi="Times New Roman"/>
                <w:b/>
                <w:sz w:val="22"/>
                <w:szCs w:val="22"/>
                <w:lang w:eastAsia="en-US"/>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ED6BD2" w:rsidRPr="00A179AE" w:rsidP="00236D91">
            <w:pPr>
              <w:bidi w:val="0"/>
              <w:jc w:val="center"/>
              <w:rPr>
                <w:rFonts w:ascii="Times New Roman" w:hAnsi="Times New Roman"/>
                <w:b/>
                <w:sz w:val="22"/>
                <w:szCs w:val="22"/>
                <w:lang w:eastAsia="en-US"/>
              </w:rPr>
            </w:pPr>
            <w:r w:rsidRPr="00A179AE">
              <w:rPr>
                <w:rFonts w:ascii="MS Mincho" w:eastAsia="MS Mincho" w:hAnsi="MS Mincho" w:cs="MS Mincho" w:hint="eastAsia"/>
                <w:b/>
                <w:sz w:val="22"/>
                <w:szCs w:val="22"/>
                <w:lang w:eastAsia="en-US"/>
              </w:rPr>
              <w:t>☐</w:t>
            </w:r>
          </w:p>
        </w:tc>
        <w:tc>
          <w:tcPr>
            <w:tcW w:w="1281" w:type="dxa"/>
            <w:gridSpan w:val="2"/>
            <w:tcBorders>
              <w:top w:val="single" w:sz="4" w:space="0" w:color="auto"/>
              <w:left w:val="nil"/>
              <w:bottom w:val="single" w:sz="4" w:space="0" w:color="auto"/>
              <w:right w:val="nil"/>
            </w:tcBorders>
            <w:textDirection w:val="lrTb"/>
            <w:vAlign w:val="top"/>
          </w:tcPr>
          <w:p w:rsidR="00ED6BD2" w:rsidRPr="00A179AE" w:rsidP="00236D91">
            <w:pPr>
              <w:bidi w:val="0"/>
              <w:ind w:right="-108"/>
              <w:rPr>
                <w:rFonts w:ascii="Times New Roman" w:hAnsi="Times New Roman"/>
                <w:b/>
                <w:sz w:val="22"/>
                <w:szCs w:val="22"/>
                <w:lang w:eastAsia="en-US"/>
              </w:rPr>
            </w:pPr>
            <w:r w:rsidRPr="00A179AE">
              <w:rPr>
                <w:rFonts w:ascii="Times New Roman" w:hAnsi="Times New Roman"/>
                <w:b/>
                <w:sz w:val="22"/>
                <w:szCs w:val="22"/>
                <w:lang w:eastAsia="en-US"/>
              </w:rPr>
              <w:t>Pozitívne</w:t>
            </w:r>
          </w:p>
        </w:tc>
        <w:tc>
          <w:tcPr>
            <w:tcW w:w="569" w:type="dxa"/>
            <w:tcBorders>
              <w:top w:val="single" w:sz="4" w:space="0" w:color="auto"/>
              <w:left w:val="nil"/>
              <w:bottom w:val="single" w:sz="4" w:space="0" w:color="auto"/>
              <w:right w:val="nil"/>
            </w:tcBorders>
            <w:textDirection w:val="lrTb"/>
            <w:vAlign w:val="top"/>
          </w:tcPr>
          <w:p w:rsidR="00ED6BD2" w:rsidRPr="00A179AE" w:rsidP="00236D91">
            <w:pPr>
              <w:bidi w:val="0"/>
              <w:jc w:val="center"/>
              <w:rPr>
                <w:rFonts w:ascii="Times New Roman" w:hAnsi="Times New Roman"/>
                <w:b/>
                <w:sz w:val="22"/>
                <w:szCs w:val="22"/>
                <w:lang w:eastAsia="en-US"/>
              </w:rPr>
            </w:pPr>
            <w:r>
              <w:rPr>
                <w:rFonts w:ascii="MS Gothic" w:eastAsia="MS Gothic" w:hAnsi="MS Gothic" w:hint="eastAsia"/>
                <w:b/>
                <w:sz w:val="22"/>
                <w:szCs w:val="22"/>
                <w:lang w:eastAsia="en-US"/>
              </w:rPr>
              <w:t>☒</w:t>
            </w:r>
          </w:p>
        </w:tc>
        <w:tc>
          <w:tcPr>
            <w:tcW w:w="1133" w:type="dxa"/>
            <w:tcBorders>
              <w:top w:val="single" w:sz="4" w:space="0" w:color="auto"/>
              <w:left w:val="nil"/>
              <w:bottom w:val="single" w:sz="4" w:space="0" w:color="auto"/>
              <w:right w:val="nil"/>
            </w:tcBorders>
            <w:textDirection w:val="lrTb"/>
            <w:vAlign w:val="top"/>
          </w:tcPr>
          <w:p w:rsidR="00ED6BD2" w:rsidRPr="00A179AE" w:rsidP="00236D91">
            <w:pPr>
              <w:bidi w:val="0"/>
              <w:rPr>
                <w:rFonts w:ascii="Times New Roman" w:hAnsi="Times New Roman"/>
                <w:b/>
                <w:sz w:val="22"/>
                <w:szCs w:val="22"/>
                <w:lang w:eastAsia="en-US"/>
              </w:rPr>
            </w:pPr>
            <w:r w:rsidRPr="00A179AE">
              <w:rPr>
                <w:rFonts w:ascii="Times New Roman" w:hAnsi="Times New Roman"/>
                <w:b/>
                <w:sz w:val="22"/>
                <w:szCs w:val="22"/>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ED6BD2" w:rsidRPr="00A179AE" w:rsidP="00236D91">
            <w:pPr>
              <w:bidi w:val="0"/>
              <w:jc w:val="center"/>
              <w:rPr>
                <w:rFonts w:ascii="Times New Roman" w:hAnsi="Times New Roman"/>
                <w:b/>
                <w:sz w:val="22"/>
                <w:szCs w:val="22"/>
                <w:lang w:eastAsia="en-US"/>
              </w:rPr>
            </w:pPr>
            <w:r w:rsidRPr="00A179AE">
              <w:rPr>
                <w:rFonts w:ascii="MS Mincho" w:eastAsia="MS Mincho" w:hAnsi="MS Mincho" w:cs="MS Mincho" w:hint="eastAsia"/>
                <w:b/>
                <w:sz w:val="22"/>
                <w:szCs w:val="22"/>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ED6BD2" w:rsidRPr="00A179AE" w:rsidP="00236D91">
            <w:pPr>
              <w:bidi w:val="0"/>
              <w:ind w:left="54"/>
              <w:rPr>
                <w:rFonts w:ascii="Times New Roman" w:hAnsi="Times New Roman"/>
                <w:b/>
                <w:sz w:val="22"/>
                <w:szCs w:val="22"/>
                <w:lang w:eastAsia="en-US"/>
              </w:rPr>
            </w:pPr>
            <w:r w:rsidRPr="00A179AE">
              <w:rPr>
                <w:rFonts w:ascii="Times New Roman" w:hAnsi="Times New Roman"/>
                <w:b/>
                <w:sz w:val="22"/>
                <w:szCs w:val="22"/>
                <w:lang w:eastAsia="en-US"/>
              </w:rPr>
              <w:t>Negatívne</w:t>
            </w:r>
          </w:p>
        </w:tc>
      </w:tr>
    </w:tbl>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ED6BD2" w:rsidRPr="00653ADA" w:rsidP="00236D91">
            <w:pPr>
              <w:bidi w:val="0"/>
              <w:spacing w:after="0" w:line="240" w:lineRule="auto"/>
              <w:rPr>
                <w:rFonts w:ascii="Times New Roman" w:hAnsi="Times New Roman"/>
                <w:b/>
              </w:rPr>
            </w:pPr>
            <w:r>
              <w:rPr>
                <w:rFonts w:ascii="Times New Roman" w:hAnsi="Times New Roman"/>
                <w:b/>
                <w:lang w:eastAsia="en-US"/>
              </w:rPr>
              <w:t>V</w:t>
            </w:r>
            <w:r w:rsidRPr="00127DAC">
              <w:rPr>
                <w:rFonts w:ascii="Times New Roman" w:hAnsi="Times New Roman"/>
                <w:b/>
                <w:lang w:eastAsia="en-US"/>
              </w:rPr>
              <w:t>plyv</w:t>
            </w:r>
            <w:r>
              <w:rPr>
                <w:rFonts w:ascii="Times New Roman" w:hAnsi="Times New Roman"/>
                <w:b/>
                <w:lang w:eastAsia="en-US"/>
              </w:rPr>
              <w:t>y</w:t>
            </w:r>
            <w:r w:rsidRPr="00127DAC">
              <w:rPr>
                <w:rFonts w:ascii="Times New Roman" w:hAnsi="Times New Roman"/>
                <w:b/>
                <w:lang w:eastAsia="en-US"/>
              </w:rPr>
              <w:t xml:space="preserve"> na služby verejnej správy pre občana</w:t>
            </w:r>
            <w:r>
              <w:rPr>
                <w:rFonts w:ascii="Times New Roman" w:hAnsi="Times New Roman"/>
                <w:b/>
                <w:lang w:eastAsia="en-US"/>
              </w:rPr>
              <w:t>, z toho</w:t>
            </w:r>
          </w:p>
        </w:tc>
        <w:tc>
          <w:tcPr>
            <w:tcW w:w="541" w:type="dxa"/>
            <w:tcBorders>
              <w:top w:val="single" w:sz="4" w:space="0" w:color="auto"/>
              <w:left w:val="single" w:sz="4" w:space="0" w:color="auto"/>
              <w:bottom w:val="nil"/>
              <w:right w:val="nil"/>
            </w:tcBorders>
            <w:textDirection w:val="lrTb"/>
            <w:vAlign w:val="top"/>
          </w:tcPr>
          <w:p w:rsidR="00ED6BD2" w:rsidRPr="00653ADA" w:rsidP="00236D91">
            <w:pPr>
              <w:bidi w:val="0"/>
              <w:spacing w:after="0" w:line="240" w:lineRule="auto"/>
              <w:jc w:val="center"/>
              <w:rPr>
                <w:rFonts w:ascii="Times New Roman" w:eastAsia="MS Mincho" w:hAnsi="Times New Roman"/>
                <w:b/>
              </w:rPr>
            </w:pPr>
          </w:p>
        </w:tc>
        <w:tc>
          <w:tcPr>
            <w:tcW w:w="1281" w:type="dxa"/>
            <w:tcBorders>
              <w:top w:val="single" w:sz="4" w:space="0" w:color="auto"/>
              <w:left w:val="nil"/>
              <w:bottom w:val="nil"/>
              <w:right w:val="nil"/>
            </w:tcBorders>
            <w:textDirection w:val="lrTb"/>
            <w:vAlign w:val="top"/>
          </w:tcPr>
          <w:p w:rsidR="00ED6BD2" w:rsidRPr="00653ADA" w:rsidP="00236D91">
            <w:pPr>
              <w:bidi w:val="0"/>
              <w:spacing w:after="0" w:line="240" w:lineRule="auto"/>
              <w:ind w:right="-108"/>
              <w:rPr>
                <w:rFonts w:ascii="Times New Roman" w:hAnsi="Times New Roman"/>
                <w:b/>
              </w:rPr>
            </w:pPr>
          </w:p>
        </w:tc>
        <w:tc>
          <w:tcPr>
            <w:tcW w:w="569" w:type="dxa"/>
            <w:tcBorders>
              <w:top w:val="single" w:sz="4" w:space="0" w:color="auto"/>
              <w:left w:val="nil"/>
              <w:bottom w:val="nil"/>
              <w:right w:val="nil"/>
            </w:tcBorders>
            <w:textDirection w:val="lrTb"/>
            <w:vAlign w:val="top"/>
          </w:tcPr>
          <w:p w:rsidR="00ED6BD2" w:rsidRPr="00653ADA" w:rsidP="00236D91">
            <w:pPr>
              <w:bidi w:val="0"/>
              <w:spacing w:after="0" w:line="240" w:lineRule="auto"/>
              <w:jc w:val="center"/>
              <w:rPr>
                <w:rFonts w:ascii="Times New Roman" w:eastAsia="MS Mincho" w:hAnsi="Times New Roman"/>
                <w:b/>
              </w:rPr>
            </w:pPr>
          </w:p>
        </w:tc>
        <w:tc>
          <w:tcPr>
            <w:tcW w:w="1133" w:type="dxa"/>
            <w:tcBorders>
              <w:top w:val="single" w:sz="4" w:space="0" w:color="auto"/>
              <w:left w:val="nil"/>
              <w:bottom w:val="nil"/>
              <w:right w:val="nil"/>
            </w:tcBorders>
            <w:textDirection w:val="lrTb"/>
            <w:vAlign w:val="top"/>
          </w:tcPr>
          <w:p w:rsidR="00ED6BD2" w:rsidRPr="00653ADA" w:rsidP="00236D91">
            <w:pPr>
              <w:bidi w:val="0"/>
              <w:spacing w:after="0" w:line="240" w:lineRule="auto"/>
              <w:rPr>
                <w:rFonts w:ascii="Times New Roman" w:hAnsi="Times New Roman"/>
                <w:b/>
              </w:rPr>
            </w:pPr>
          </w:p>
        </w:tc>
        <w:tc>
          <w:tcPr>
            <w:tcW w:w="547" w:type="dxa"/>
            <w:tcBorders>
              <w:top w:val="single" w:sz="4" w:space="0" w:color="auto"/>
              <w:left w:val="nil"/>
              <w:bottom w:val="nil"/>
              <w:right w:val="nil"/>
            </w:tcBorders>
            <w:textDirection w:val="lrTb"/>
            <w:vAlign w:val="top"/>
          </w:tcPr>
          <w:p w:rsidR="00ED6BD2" w:rsidRPr="00653ADA" w:rsidP="00236D91">
            <w:pPr>
              <w:bidi w:val="0"/>
              <w:spacing w:after="0" w:line="240" w:lineRule="auto"/>
              <w:jc w:val="center"/>
              <w:rPr>
                <w:rFonts w:ascii="Times New Roman" w:eastAsia="MS Mincho" w:hAnsi="Times New Roman"/>
                <w:b/>
              </w:rPr>
            </w:pPr>
          </w:p>
        </w:tc>
        <w:tc>
          <w:tcPr>
            <w:tcW w:w="1297" w:type="dxa"/>
            <w:tcBorders>
              <w:top w:val="single" w:sz="4" w:space="0" w:color="auto"/>
              <w:left w:val="nil"/>
              <w:bottom w:val="nil"/>
              <w:right w:val="single" w:sz="4" w:space="0" w:color="auto"/>
            </w:tcBorders>
            <w:textDirection w:val="lrTb"/>
            <w:vAlign w:val="top"/>
          </w:tcPr>
          <w:p w:rsidR="00ED6BD2" w:rsidRPr="00653ADA" w:rsidP="00236D91">
            <w:pPr>
              <w:bidi w:val="0"/>
              <w:spacing w:after="0" w:line="240" w:lineRule="auto"/>
              <w:ind w:left="54"/>
              <w:rPr>
                <w:rFonts w:ascii="Times New Roman" w:hAnsi="Times New Roman"/>
                <w:b/>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ED6BD2" w:rsidRPr="009634B3" w:rsidP="00236D91">
            <w:pPr>
              <w:bidi w:val="0"/>
              <w:spacing w:after="0" w:line="240" w:lineRule="auto"/>
              <w:ind w:left="196" w:hanging="196"/>
              <w:rPr>
                <w:rFonts w:ascii="Times New Roman" w:hAnsi="Times New Roman"/>
                <w:b/>
                <w:lang w:eastAsia="en-US"/>
              </w:rPr>
            </w:pPr>
            <w:r w:rsidRPr="009634B3">
              <w:rPr>
                <w:rFonts w:ascii="Times New Roman" w:hAnsi="Times New Roman"/>
                <w:b/>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tcPr>
          <w:p w:rsidR="00ED6BD2" w:rsidRPr="00A179AE" w:rsidP="00236D91">
            <w:pPr>
              <w:bidi w:val="0"/>
              <w:spacing w:after="0" w:line="240" w:lineRule="auto"/>
              <w:jc w:val="center"/>
              <w:rPr>
                <w:rFonts w:ascii="Times New Roman" w:hAnsi="Times New Roman"/>
                <w:b/>
              </w:rPr>
            </w:pPr>
            <w:r>
              <w:rPr>
                <w:rFonts w:ascii="MS Gothic" w:eastAsia="MS Gothic" w:hAnsi="MS Gothic" w:hint="eastAsia"/>
                <w:b/>
              </w:rPr>
              <w:t>☐</w:t>
            </w:r>
          </w:p>
        </w:tc>
        <w:tc>
          <w:tcPr>
            <w:tcW w:w="1281" w:type="dxa"/>
            <w:tcBorders>
              <w:top w:val="nil"/>
              <w:left w:val="nil"/>
              <w:bottom w:val="nil"/>
              <w:right w:val="nil"/>
            </w:tcBorders>
            <w:textDirection w:val="lrTb"/>
            <w:vAlign w:val="top"/>
          </w:tcPr>
          <w:p w:rsidR="00ED6BD2" w:rsidRPr="00A179AE" w:rsidP="00236D91">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nil"/>
              <w:right w:val="nil"/>
            </w:tcBorders>
            <w:textDirection w:val="lrTb"/>
            <w:vAlign w:val="top"/>
          </w:tcPr>
          <w:p w:rsidR="00ED6BD2" w:rsidRPr="00A179AE" w:rsidP="00236D91">
            <w:pPr>
              <w:bidi w:val="0"/>
              <w:spacing w:after="0" w:line="240" w:lineRule="auto"/>
              <w:jc w:val="center"/>
              <w:rPr>
                <w:rFonts w:ascii="Times New Roman" w:hAnsi="Times New Roman"/>
                <w:b/>
              </w:rPr>
            </w:pPr>
            <w:r>
              <w:rPr>
                <w:rFonts w:ascii="MS Gothic" w:eastAsia="MS Gothic" w:hAnsi="MS Gothic" w:hint="eastAsia"/>
                <w:b/>
              </w:rPr>
              <w:t>☒</w:t>
            </w:r>
          </w:p>
        </w:tc>
        <w:tc>
          <w:tcPr>
            <w:tcW w:w="1133" w:type="dxa"/>
            <w:tcBorders>
              <w:top w:val="nil"/>
              <w:left w:val="nil"/>
              <w:bottom w:val="nil"/>
              <w:right w:val="nil"/>
            </w:tcBorders>
            <w:textDirection w:val="lrTb"/>
            <w:vAlign w:val="top"/>
          </w:tcPr>
          <w:p w:rsidR="00ED6BD2" w:rsidRPr="00A179AE" w:rsidP="00236D91">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nil"/>
              <w:right w:val="nil"/>
            </w:tcBorders>
            <w:textDirection w:val="lrTb"/>
            <w:vAlign w:val="top"/>
          </w:tcPr>
          <w:p w:rsidR="00ED6BD2" w:rsidRPr="00A179AE" w:rsidP="00236D91">
            <w:pPr>
              <w:bidi w:val="0"/>
              <w:spacing w:after="0" w:line="240" w:lineRule="auto"/>
              <w:jc w:val="center"/>
              <w:rPr>
                <w:rFonts w:ascii="Times New Roman" w:hAnsi="Times New Roman"/>
                <w:b/>
              </w:rPr>
            </w:pPr>
            <w:r>
              <w:rPr>
                <w:rFonts w:ascii="MS Gothic" w:eastAsia="MS Gothic" w:hAnsi="MS Gothic" w:hint="eastAsia"/>
                <w:b/>
              </w:rPr>
              <w:t>☐</w:t>
            </w:r>
          </w:p>
        </w:tc>
        <w:tc>
          <w:tcPr>
            <w:tcW w:w="1297" w:type="dxa"/>
            <w:tcBorders>
              <w:top w:val="nil"/>
              <w:left w:val="nil"/>
              <w:bottom w:val="nil"/>
              <w:right w:val="single" w:sz="4" w:space="0" w:color="auto"/>
            </w:tcBorders>
            <w:textDirection w:val="lrTb"/>
            <w:vAlign w:val="top"/>
          </w:tcPr>
          <w:p w:rsidR="00ED6BD2" w:rsidRPr="00A179AE" w:rsidP="00236D91">
            <w:pPr>
              <w:bidi w:val="0"/>
              <w:spacing w:after="0" w:line="240" w:lineRule="auto"/>
              <w:ind w:left="54"/>
              <w:rPr>
                <w:rFonts w:ascii="Times New Roman" w:hAnsi="Times New Roman"/>
                <w:b/>
              </w:rPr>
            </w:pPr>
            <w:r w:rsidRPr="00A179AE">
              <w:rPr>
                <w:rFonts w:ascii="Times New Roman" w:hAnsi="Times New Roman"/>
                <w:b/>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ED6BD2" w:rsidRPr="009634B3" w:rsidP="00236D91">
            <w:pPr>
              <w:bidi w:val="0"/>
              <w:spacing w:after="0" w:line="240" w:lineRule="auto"/>
              <w:ind w:left="168" w:hanging="168"/>
              <w:rPr>
                <w:rFonts w:ascii="Times New Roman" w:hAnsi="Times New Roman"/>
                <w:b/>
                <w:lang w:eastAsia="en-US"/>
              </w:rPr>
            </w:pPr>
            <w:r>
              <w:rPr>
                <w:rFonts w:ascii="Times New Roman" w:hAnsi="Times New Roman"/>
                <w:b/>
                <w:lang w:eastAsia="en-US"/>
              </w:rPr>
              <w:t xml:space="preserve">    </w:t>
            </w:r>
            <w:r w:rsidRPr="009634B3">
              <w:rPr>
                <w:rFonts w:ascii="Times New Roman" w:hAnsi="Times New Roman"/>
                <w:b/>
                <w:lang w:eastAsia="en-US"/>
              </w:rPr>
              <w:t>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ED6BD2" w:rsidRPr="00A179AE" w:rsidP="00236D91">
            <w:pPr>
              <w:bidi w:val="0"/>
              <w:spacing w:after="0" w:line="240" w:lineRule="auto"/>
              <w:jc w:val="center"/>
              <w:rPr>
                <w:rFonts w:ascii="Times New Roman" w:hAnsi="Times New Roman"/>
                <w:b/>
              </w:rPr>
            </w:pPr>
            <w:r w:rsidRPr="00A179AE">
              <w:rPr>
                <w:rFonts w:ascii="MS Mincho" w:eastAsia="MS Mincho" w:hAnsi="MS Mincho" w:cs="MS Mincho" w:hint="eastAsia"/>
                <w:b/>
              </w:rPr>
              <w:t>☐</w:t>
            </w:r>
          </w:p>
        </w:tc>
        <w:tc>
          <w:tcPr>
            <w:tcW w:w="1281" w:type="dxa"/>
            <w:tcBorders>
              <w:top w:val="nil"/>
              <w:left w:val="nil"/>
              <w:bottom w:val="single" w:sz="4" w:space="0" w:color="auto"/>
              <w:right w:val="nil"/>
            </w:tcBorders>
            <w:textDirection w:val="lrTb"/>
            <w:vAlign w:val="top"/>
          </w:tcPr>
          <w:p w:rsidR="00ED6BD2" w:rsidRPr="00A179AE" w:rsidP="00236D91">
            <w:pPr>
              <w:bidi w:val="0"/>
              <w:spacing w:after="0" w:line="240" w:lineRule="auto"/>
              <w:ind w:right="-108"/>
              <w:rPr>
                <w:rFonts w:ascii="Times New Roman" w:hAnsi="Times New Roman"/>
                <w:b/>
              </w:rPr>
            </w:pPr>
            <w:r w:rsidRPr="00A179AE">
              <w:rPr>
                <w:rFonts w:ascii="Times New Roman" w:hAnsi="Times New Roman"/>
                <w:b/>
              </w:rPr>
              <w:t>Pozitívne</w:t>
            </w:r>
          </w:p>
        </w:tc>
        <w:tc>
          <w:tcPr>
            <w:tcW w:w="569" w:type="dxa"/>
            <w:tcBorders>
              <w:top w:val="nil"/>
              <w:left w:val="nil"/>
              <w:bottom w:val="single" w:sz="4" w:space="0" w:color="auto"/>
              <w:right w:val="nil"/>
            </w:tcBorders>
            <w:textDirection w:val="lrTb"/>
            <w:vAlign w:val="top"/>
          </w:tcPr>
          <w:p w:rsidR="00ED6BD2" w:rsidRPr="00A179AE" w:rsidP="00236D91">
            <w:pPr>
              <w:bidi w:val="0"/>
              <w:spacing w:after="0" w:line="240" w:lineRule="auto"/>
              <w:jc w:val="center"/>
              <w:rPr>
                <w:rFonts w:ascii="Times New Roman" w:hAnsi="Times New Roman"/>
                <w:b/>
              </w:rPr>
            </w:pPr>
            <w:r>
              <w:rPr>
                <w:rFonts w:ascii="MS Gothic" w:eastAsia="MS Gothic" w:hAnsi="MS Gothic" w:hint="eastAsia"/>
                <w:b/>
              </w:rPr>
              <w:t>☒</w:t>
            </w:r>
          </w:p>
        </w:tc>
        <w:tc>
          <w:tcPr>
            <w:tcW w:w="1133" w:type="dxa"/>
            <w:tcBorders>
              <w:top w:val="nil"/>
              <w:left w:val="nil"/>
              <w:bottom w:val="single" w:sz="4" w:space="0" w:color="auto"/>
              <w:right w:val="nil"/>
            </w:tcBorders>
            <w:textDirection w:val="lrTb"/>
            <w:vAlign w:val="top"/>
          </w:tcPr>
          <w:p w:rsidR="00ED6BD2" w:rsidRPr="00A179AE" w:rsidP="00236D91">
            <w:pPr>
              <w:bidi w:val="0"/>
              <w:spacing w:after="0" w:line="240" w:lineRule="auto"/>
              <w:rPr>
                <w:rFonts w:ascii="Times New Roman" w:hAnsi="Times New Roman"/>
                <w:b/>
              </w:rPr>
            </w:pPr>
            <w:r w:rsidRPr="00A179AE">
              <w:rPr>
                <w:rFonts w:ascii="Times New Roman" w:hAnsi="Times New Roman"/>
                <w:b/>
              </w:rPr>
              <w:t>Žiadne</w:t>
            </w:r>
          </w:p>
        </w:tc>
        <w:tc>
          <w:tcPr>
            <w:tcW w:w="547" w:type="dxa"/>
            <w:tcBorders>
              <w:top w:val="nil"/>
              <w:left w:val="nil"/>
              <w:bottom w:val="single" w:sz="4" w:space="0" w:color="auto"/>
              <w:right w:val="nil"/>
            </w:tcBorders>
            <w:textDirection w:val="lrTb"/>
            <w:vAlign w:val="top"/>
          </w:tcPr>
          <w:p w:rsidR="00ED6BD2" w:rsidRPr="00A179AE" w:rsidP="00236D91">
            <w:pPr>
              <w:bidi w:val="0"/>
              <w:spacing w:after="0" w:line="240" w:lineRule="auto"/>
              <w:jc w:val="center"/>
              <w:rPr>
                <w:rFonts w:ascii="Times New Roman" w:hAnsi="Times New Roman"/>
                <w:b/>
              </w:rPr>
            </w:pPr>
            <w:r w:rsidRPr="00A179AE">
              <w:rPr>
                <w:rFonts w:ascii="MS Mincho" w:eastAsia="MS Mincho" w:hAnsi="MS Mincho" w:cs="MS Mincho" w:hint="eastAsia"/>
                <w:b/>
              </w:rPr>
              <w:t>☐</w:t>
            </w:r>
          </w:p>
        </w:tc>
        <w:tc>
          <w:tcPr>
            <w:tcW w:w="1297" w:type="dxa"/>
            <w:tcBorders>
              <w:top w:val="nil"/>
              <w:left w:val="nil"/>
              <w:bottom w:val="single" w:sz="4" w:space="0" w:color="auto"/>
              <w:right w:val="single" w:sz="4" w:space="0" w:color="auto"/>
            </w:tcBorders>
            <w:textDirection w:val="lrTb"/>
            <w:vAlign w:val="top"/>
          </w:tcPr>
          <w:p w:rsidR="00ED6BD2" w:rsidRPr="00A179AE" w:rsidP="00236D91">
            <w:pPr>
              <w:bidi w:val="0"/>
              <w:spacing w:after="0" w:line="240" w:lineRule="auto"/>
              <w:ind w:left="54"/>
              <w:rPr>
                <w:rFonts w:ascii="Times New Roman" w:hAnsi="Times New Roman"/>
                <w:b/>
              </w:rPr>
            </w:pPr>
            <w:r w:rsidRPr="00A179AE">
              <w:rPr>
                <w:rFonts w:ascii="Times New Roman" w:hAnsi="Times New Roman"/>
                <w:b/>
              </w:rPr>
              <w:t>Negatívne</w:t>
            </w:r>
          </w:p>
        </w:tc>
      </w:tr>
    </w:tbl>
    <w:p w:rsidR="00ED6BD2" w:rsidRPr="00A179AE" w:rsidP="00ED6BD2">
      <w:pPr>
        <w:bidi w:val="0"/>
        <w:ind w:right="141"/>
        <w:rPr>
          <w:rFonts w:ascii="Times New Roman" w:hAnsi="Times New Roman"/>
          <w:b/>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ED6BD2" w:rsidRPr="00A179AE" w:rsidP="00ED6BD2">
            <w:pPr>
              <w:pStyle w:val="ListParagraph"/>
              <w:widowControl/>
              <w:numPr>
                <w:numId w:val="1"/>
              </w:numPr>
              <w:bidi w:val="0"/>
              <w:adjustRightInd/>
              <w:ind w:left="426"/>
              <w:rPr>
                <w:rFonts w:ascii="Times New Roman" w:hAnsi="Times New Roman"/>
                <w:b/>
                <w:sz w:val="22"/>
                <w:szCs w:val="22"/>
                <w:lang w:eastAsia="en-US"/>
              </w:rPr>
            </w:pPr>
            <w:r w:rsidRPr="00A179AE">
              <w:rPr>
                <w:rFonts w:ascii="Times New Roman" w:hAnsi="Times New Roman"/>
                <w:b/>
                <w:sz w:val="22"/>
                <w:szCs w:val="22"/>
                <w:lang w:eastAsia="en-US"/>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ED6BD2" w:rsidP="00236D91">
            <w:pPr>
              <w:bidi w:val="0"/>
              <w:rPr>
                <w:rFonts w:ascii="Times New Roman" w:hAnsi="Times New Roman"/>
                <w:i/>
                <w:sz w:val="22"/>
                <w:szCs w:val="22"/>
                <w:lang w:eastAsia="en-US"/>
              </w:rPr>
            </w:pPr>
            <w:r w:rsidRPr="00A179AE">
              <w:rPr>
                <w:rFonts w:ascii="Times New Roman" w:hAnsi="Times New Roman"/>
                <w:i/>
                <w:sz w:val="22"/>
                <w:szCs w:val="22"/>
                <w:lang w:eastAsia="en-US"/>
              </w:rPr>
              <w:t>V prípade potreby uveďte doplňujúce informácie k návrhu.</w:t>
            </w:r>
          </w:p>
          <w:p w:rsidR="00ED6BD2" w:rsidRPr="00A179AE" w:rsidP="00236D91">
            <w:pPr>
              <w:bidi w:val="0"/>
              <w:rPr>
                <w:rFonts w:ascii="Times New Roman" w:hAnsi="Times New Roman"/>
                <w:i/>
                <w:sz w:val="22"/>
                <w:szCs w:val="22"/>
                <w:lang w:eastAsia="en-US"/>
              </w:rPr>
            </w:pPr>
          </w:p>
          <w:p w:rsidR="00ED6BD2" w:rsidRPr="00A179AE" w:rsidP="00236D91">
            <w:pPr>
              <w:bidi w:val="0"/>
              <w:jc w:val="both"/>
              <w:rPr>
                <w:rFonts w:ascii="Times New Roman" w:hAnsi="Times New Roman"/>
                <w:b/>
                <w:sz w:val="22"/>
                <w:szCs w:val="22"/>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D6BD2" w:rsidRPr="00A179AE" w:rsidP="00ED6BD2">
            <w:pPr>
              <w:pStyle w:val="ListParagraph"/>
              <w:widowControl/>
              <w:numPr>
                <w:numId w:val="1"/>
              </w:numPr>
              <w:bidi w:val="0"/>
              <w:adjustRightInd/>
              <w:ind w:left="426"/>
              <w:rPr>
                <w:rFonts w:ascii="Times New Roman" w:hAnsi="Times New Roman"/>
                <w:b/>
                <w:sz w:val="22"/>
                <w:szCs w:val="22"/>
                <w:lang w:eastAsia="en-US"/>
              </w:rPr>
            </w:pPr>
            <w:r w:rsidRPr="00A179AE">
              <w:rPr>
                <w:rFonts w:ascii="Times New Roman" w:hAnsi="Times New Roman"/>
                <w:b/>
                <w:sz w:val="22"/>
                <w:szCs w:val="22"/>
                <w:lang w:eastAsia="en-US"/>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D6BD2" w:rsidRPr="0049240B" w:rsidP="00236D91">
            <w:pPr>
              <w:bidi w:val="0"/>
              <w:rPr>
                <w:rFonts w:ascii="Times New Roman" w:hAnsi="Times New Roman"/>
                <w:i/>
                <w:sz w:val="22"/>
                <w:szCs w:val="22"/>
                <w:lang w:eastAsia="en-US"/>
              </w:rPr>
            </w:pPr>
            <w:r w:rsidRPr="0049240B">
              <w:rPr>
                <w:rFonts w:ascii="Times New Roman" w:hAnsi="Times New Roman"/>
                <w:i/>
                <w:sz w:val="22"/>
                <w:szCs w:val="22"/>
                <w:lang w:eastAsia="en-US"/>
              </w:rPr>
              <w:t>Uveďte údaje na kontaktnú osobu, ktorú je možné kontaktovať v súvislosti s posúdením vybraných vplyvov</w:t>
            </w:r>
          </w:p>
          <w:p w:rsidR="00ED6BD2" w:rsidRPr="0049240B" w:rsidP="00236D91">
            <w:pPr>
              <w:bidi w:val="0"/>
              <w:rPr>
                <w:rFonts w:ascii="Times New Roman" w:hAnsi="Times New Roman"/>
                <w:i/>
                <w:sz w:val="22"/>
                <w:szCs w:val="22"/>
                <w:lang w:eastAsia="en-US"/>
              </w:rPr>
            </w:pPr>
          </w:p>
          <w:p w:rsidR="00ED6BD2" w:rsidRPr="0049240B" w:rsidP="00236D91">
            <w:pPr>
              <w:bidi w:val="0"/>
              <w:rPr>
                <w:rFonts w:ascii="Times New Roman" w:hAnsi="Times New Roman"/>
                <w:i/>
                <w:sz w:val="22"/>
                <w:szCs w:val="22"/>
                <w:lang w:eastAsia="en-US"/>
              </w:rPr>
            </w:pPr>
            <w:r w:rsidRPr="0049240B">
              <w:rPr>
                <w:rFonts w:ascii="Times New Roman" w:hAnsi="Times New Roman"/>
                <w:sz w:val="22"/>
                <w:szCs w:val="22"/>
                <w:lang w:eastAsia="en-US"/>
              </w:rPr>
              <w:t>JUDr. Oľga Davalová, odbor mediálneho práva a audiovízie MK SR, olga.davalova@culture.gov.sk</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D6BD2" w:rsidRPr="00A179AE" w:rsidP="00ED6BD2">
            <w:pPr>
              <w:pStyle w:val="ListParagraph"/>
              <w:widowControl/>
              <w:numPr>
                <w:numId w:val="1"/>
              </w:numPr>
              <w:bidi w:val="0"/>
              <w:adjustRightInd/>
              <w:ind w:left="426"/>
              <w:rPr>
                <w:rFonts w:ascii="Times New Roman" w:hAnsi="Times New Roman"/>
                <w:b/>
                <w:sz w:val="22"/>
                <w:szCs w:val="22"/>
                <w:lang w:eastAsia="en-US"/>
              </w:rPr>
            </w:pPr>
            <w:r w:rsidRPr="00A179AE">
              <w:rPr>
                <w:rFonts w:ascii="Times New Roman" w:hAnsi="Times New Roman"/>
                <w:b/>
                <w:sz w:val="22"/>
                <w:szCs w:val="22"/>
                <w:lang w:eastAsia="en-US"/>
              </w:rPr>
              <w:t>Zdroje</w:t>
            </w:r>
          </w:p>
        </w:tc>
      </w:tr>
      <w:tr>
        <w:tblPrEx>
          <w:tblW w:w="9176" w:type="dxa"/>
          <w:tblLayout w:type="fixed"/>
          <w:tblLook w:val="04A0"/>
        </w:tblPrEx>
        <w:trPr>
          <w:trHeight w:val="719"/>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D6BD2" w:rsidRPr="00517327" w:rsidP="00236D91">
            <w:pPr>
              <w:bidi w:val="0"/>
              <w:rPr>
                <w:rFonts w:ascii="Times New Roman" w:hAnsi="Times New Roman"/>
                <w:sz w:val="22"/>
                <w:szCs w:val="22"/>
                <w:lang w:eastAsia="en-US"/>
              </w:rPr>
            </w:pPr>
            <w:r w:rsidRPr="00A179AE">
              <w:rPr>
                <w:rFonts w:ascii="Times New Roman" w:hAnsi="Times New Roman"/>
                <w:i/>
                <w:sz w:val="22"/>
                <w:szCs w:val="22"/>
                <w:lang w:eastAsia="en-US"/>
              </w:rPr>
              <w:t>Uveďte zdroje</w:t>
            </w:r>
            <w:r>
              <w:rPr>
                <w:rFonts w:ascii="Times New Roman" w:hAnsi="Times New Roman"/>
                <w:i/>
                <w:sz w:val="22"/>
                <w:szCs w:val="22"/>
                <w:lang w:eastAsia="en-US"/>
              </w:rPr>
              <w:t xml:space="preserve"> (štatistiky, prieskumy, spoluprácu s odborníkmi a iné)</w:t>
            </w:r>
            <w:r w:rsidRPr="00A179AE">
              <w:rPr>
                <w:rFonts w:ascii="Times New Roman" w:hAnsi="Times New Roman"/>
                <w:i/>
                <w:sz w:val="22"/>
                <w:szCs w:val="22"/>
                <w:lang w:eastAsia="en-US"/>
              </w:rPr>
              <w:t>, z ktorých ste pri vypracovávaní doložky, príp. analýz vplyvov vychádzali.</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ED6BD2" w:rsidRPr="00A179AE" w:rsidP="00ED6BD2">
            <w:pPr>
              <w:pStyle w:val="ListParagraph"/>
              <w:widowControl/>
              <w:numPr>
                <w:numId w:val="1"/>
              </w:numPr>
              <w:bidi w:val="0"/>
              <w:adjustRightInd/>
              <w:ind w:left="426"/>
              <w:rPr>
                <w:rFonts w:ascii="Times New Roman" w:hAnsi="Times New Roman"/>
                <w:b/>
                <w:sz w:val="22"/>
                <w:szCs w:val="22"/>
                <w:lang w:eastAsia="en-US"/>
              </w:rPr>
            </w:pPr>
            <w:r w:rsidRPr="00A179AE">
              <w:rPr>
                <w:rFonts w:ascii="Times New Roman" w:hAnsi="Times New Roman"/>
                <w:b/>
                <w:sz w:val="22"/>
                <w:szCs w:val="22"/>
                <w:lang w:eastAsia="en-US"/>
              </w:rPr>
              <w:t xml:space="preserve">Stanovisko </w:t>
            </w:r>
            <w:r>
              <w:rPr>
                <w:rFonts w:ascii="Times New Roman" w:hAnsi="Times New Roman"/>
                <w:b/>
                <w:sz w:val="22"/>
                <w:szCs w:val="22"/>
                <w:lang w:eastAsia="en-US"/>
              </w:rPr>
              <w:t>Komisie pre posudzovanie vybraných vplyvov</w:t>
            </w:r>
            <w:r w:rsidRPr="00A179AE">
              <w:rPr>
                <w:rFonts w:ascii="Times New Roman" w:hAnsi="Times New Roman"/>
                <w:b/>
                <w:sz w:val="22"/>
                <w:szCs w:val="22"/>
                <w:lang w:eastAsia="en-US"/>
              </w:rPr>
              <w:t xml:space="preserve">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ED6BD2" w:rsidRPr="00A179AE" w:rsidP="00236D91">
            <w:pPr>
              <w:bidi w:val="0"/>
              <w:rPr>
                <w:rFonts w:ascii="Times New Roman" w:hAnsi="Times New Roman"/>
                <w:i/>
                <w:sz w:val="22"/>
                <w:szCs w:val="22"/>
                <w:lang w:eastAsia="en-US"/>
              </w:rPr>
            </w:pPr>
            <w:r w:rsidRPr="00A179AE">
              <w:rPr>
                <w:rFonts w:ascii="Times New Roman" w:hAnsi="Times New Roman"/>
                <w:i/>
                <w:sz w:val="22"/>
                <w:szCs w:val="22"/>
                <w:lang w:eastAsia="en-US"/>
              </w:rPr>
              <w:t xml:space="preserve">Uveďte stanovisko </w:t>
            </w:r>
            <w:r>
              <w:rPr>
                <w:rFonts w:ascii="Times New Roman" w:hAnsi="Times New Roman"/>
                <w:i/>
                <w:sz w:val="22"/>
                <w:szCs w:val="22"/>
                <w:lang w:eastAsia="en-US"/>
              </w:rPr>
              <w:t>Komisie pre posudzovanie vybraných vplyvov</w:t>
            </w:r>
            <w:r w:rsidRPr="00A179AE">
              <w:rPr>
                <w:rFonts w:ascii="Times New Roman" w:hAnsi="Times New Roman"/>
                <w:i/>
                <w:sz w:val="22"/>
                <w:szCs w:val="22"/>
                <w:lang w:eastAsia="en-US"/>
              </w:rPr>
              <w:t>, ktoré Vám bolo zaslané v rámci predbežného pripomienkového konania</w:t>
            </w:r>
          </w:p>
          <w:p w:rsidR="00ED6BD2" w:rsidRPr="00A179AE" w:rsidP="00236D91">
            <w:pPr>
              <w:bidi w:val="0"/>
              <w:rPr>
                <w:rFonts w:ascii="Times New Roman" w:hAnsi="Times New Roman"/>
                <w:b/>
                <w:sz w:val="22"/>
                <w:szCs w:val="22"/>
                <w:lang w:eastAsia="en-US"/>
              </w:rPr>
            </w:pPr>
          </w:p>
          <w:p w:rsidR="00ED6BD2" w:rsidRPr="00A179AE" w:rsidP="00236D91">
            <w:pPr>
              <w:bidi w:val="0"/>
              <w:rPr>
                <w:rFonts w:ascii="Times New Roman" w:hAnsi="Times New Roman"/>
                <w:b/>
                <w:sz w:val="22"/>
                <w:szCs w:val="22"/>
                <w:lang w:eastAsia="en-US"/>
              </w:rPr>
            </w:pPr>
          </w:p>
          <w:p w:rsidR="00ED6BD2" w:rsidRPr="00A179AE" w:rsidP="00236D91">
            <w:pPr>
              <w:bidi w:val="0"/>
              <w:rPr>
                <w:rFonts w:ascii="Times New Roman" w:hAnsi="Times New Roman"/>
                <w:b/>
                <w:sz w:val="22"/>
                <w:szCs w:val="22"/>
                <w:lang w:eastAsia="en-US"/>
              </w:rPr>
            </w:pPr>
          </w:p>
          <w:p w:rsidR="00ED6BD2" w:rsidRPr="00A179AE" w:rsidP="00236D91">
            <w:pPr>
              <w:bidi w:val="0"/>
              <w:rPr>
                <w:rFonts w:ascii="Times New Roman" w:hAnsi="Times New Roman"/>
                <w:b/>
                <w:sz w:val="22"/>
                <w:szCs w:val="22"/>
                <w:lang w:eastAsia="en-US"/>
              </w:rPr>
            </w:pPr>
          </w:p>
          <w:p w:rsidR="00ED6BD2" w:rsidRPr="00A179AE" w:rsidP="00236D91">
            <w:pPr>
              <w:bidi w:val="0"/>
              <w:rPr>
                <w:rFonts w:ascii="Times New Roman" w:hAnsi="Times New Roman"/>
                <w:b/>
                <w:sz w:val="22"/>
                <w:szCs w:val="22"/>
                <w:lang w:eastAsia="en-US"/>
              </w:rPr>
            </w:pPr>
          </w:p>
        </w:tc>
      </w:tr>
    </w:tbl>
    <w:p w:rsidR="00ED6BD2" w:rsidP="00ED6BD2">
      <w:pPr>
        <w:bidi w:val="0"/>
        <w:rPr>
          <w:rFonts w:ascii="Times New Roman" w:hAnsi="Times New Roman"/>
          <w:b/>
        </w:rPr>
      </w:pPr>
    </w:p>
    <w:p w:rsidR="003C4967"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RPr="002056A3" w:rsidP="00ED6BD2">
      <w:pPr>
        <w:bidi w:val="0"/>
        <w:jc w:val="center"/>
        <w:rPr>
          <w:rFonts w:ascii="Times New Roman" w:hAnsi="Times New Roman"/>
          <w:b/>
          <w:bCs/>
          <w:caps/>
          <w:spacing w:val="30"/>
        </w:rPr>
      </w:pPr>
      <w:r w:rsidRPr="002056A3">
        <w:rPr>
          <w:rFonts w:ascii="Times New Roman" w:hAnsi="Times New Roman"/>
          <w:b/>
          <w:bCs/>
          <w:caps/>
          <w:spacing w:val="30"/>
        </w:rPr>
        <w:t>Doložka zlučiteľnosti</w:t>
      </w:r>
    </w:p>
    <w:p w:rsidR="00ED6BD2" w:rsidRPr="002056A3" w:rsidP="00ED6BD2">
      <w:pPr>
        <w:bidi w:val="0"/>
        <w:jc w:val="center"/>
        <w:rPr>
          <w:rFonts w:ascii="Times New Roman" w:hAnsi="Times New Roman"/>
          <w:b/>
          <w:bCs/>
        </w:rPr>
      </w:pPr>
      <w:r w:rsidRPr="002056A3">
        <w:rPr>
          <w:rFonts w:ascii="Times New Roman" w:hAnsi="Times New Roman"/>
          <w:b/>
          <w:bCs/>
        </w:rPr>
        <w:t>právneho predpisu s právom Európskej únie </w:t>
      </w:r>
    </w:p>
    <w:p w:rsidR="00ED6BD2" w:rsidRPr="002056A3" w:rsidP="00ED6BD2">
      <w:pPr>
        <w:bidi w:val="0"/>
        <w:rPr>
          <w:rFonts w:ascii="Times New Roman" w:hAnsi="Times New Roman"/>
        </w:rPr>
      </w:pPr>
    </w:p>
    <w:p w:rsidR="00ED6BD2" w:rsidRPr="002056A3" w:rsidP="00ED6BD2">
      <w:pPr>
        <w:bidi w:val="0"/>
        <w:rPr>
          <w:rFonts w:ascii="Times New Roman" w:hAnsi="Times New Roman"/>
        </w:rPr>
      </w:pPr>
    </w:p>
    <w:p w:rsidR="00ED6BD2" w:rsidRPr="002056A3" w:rsidP="00ED6BD2">
      <w:pPr>
        <w:bidi w:val="0"/>
        <w:ind w:left="360" w:hanging="360"/>
        <w:rPr>
          <w:rFonts w:ascii="Times New Roman" w:hAnsi="Times New Roman"/>
          <w:b/>
          <w:bCs/>
        </w:rPr>
      </w:pPr>
      <w:r w:rsidRPr="002056A3">
        <w:rPr>
          <w:rFonts w:ascii="Times New Roman" w:hAnsi="Times New Roman"/>
          <w:b/>
          <w:bCs/>
        </w:rPr>
        <w:t>1.</w:t>
        <w:tab/>
        <w:t>Predkladateľ právneho predpisu:</w:t>
      </w:r>
      <w:r w:rsidRPr="002056A3">
        <w:rPr>
          <w:rFonts w:ascii="Times New Roman" w:hAnsi="Times New Roman"/>
        </w:rPr>
        <w:t xml:space="preserve"> </w:t>
      </w:r>
      <w:r>
        <w:rPr>
          <w:rFonts w:ascii="Times New Roman" w:hAnsi="Times New Roman"/>
        </w:rPr>
        <w:t>vláda</w:t>
      </w:r>
      <w:r w:rsidRPr="002056A3">
        <w:rPr>
          <w:rFonts w:ascii="Times New Roman" w:hAnsi="Times New Roman"/>
        </w:rPr>
        <w:t xml:space="preserve"> Slovenskej republiky </w:t>
      </w:r>
    </w:p>
    <w:p w:rsidR="00ED6BD2" w:rsidRPr="002056A3" w:rsidP="00ED6BD2">
      <w:pPr>
        <w:tabs>
          <w:tab w:val="left" w:pos="360"/>
        </w:tabs>
        <w:bidi w:val="0"/>
        <w:ind w:left="360"/>
        <w:jc w:val="both"/>
        <w:rPr>
          <w:rFonts w:ascii="Times New Roman" w:hAnsi="Times New Roman"/>
        </w:rPr>
      </w:pPr>
      <w:r w:rsidRPr="002056A3">
        <w:rPr>
          <w:rFonts w:ascii="Times New Roman" w:hAnsi="Times New Roman"/>
        </w:rPr>
        <w:t xml:space="preserve"> </w:t>
      </w:r>
    </w:p>
    <w:p w:rsidR="00ED6BD2" w:rsidRPr="00CA1A7F" w:rsidP="00ED6BD2">
      <w:pPr>
        <w:autoSpaceDE w:val="0"/>
        <w:autoSpaceDN w:val="0"/>
        <w:bidi w:val="0"/>
        <w:jc w:val="both"/>
        <w:rPr>
          <w:rFonts w:ascii="Times New Roman" w:hAnsi="Times New Roman"/>
        </w:rPr>
      </w:pPr>
      <w:r>
        <w:rPr>
          <w:rFonts w:ascii="Times New Roman" w:hAnsi="Times New Roman"/>
          <w:b/>
          <w:bCs/>
        </w:rPr>
        <w:t xml:space="preserve">2. </w:t>
      </w:r>
      <w:r w:rsidRPr="002056A3">
        <w:rPr>
          <w:rFonts w:ascii="Times New Roman" w:hAnsi="Times New Roman"/>
          <w:b/>
          <w:bCs/>
        </w:rPr>
        <w:t>Názov návrhu právneho predpisu:</w:t>
      </w:r>
      <w:r w:rsidRPr="002056A3">
        <w:rPr>
          <w:rFonts w:ascii="Times New Roman" w:hAnsi="Times New Roman"/>
        </w:rPr>
        <w:t xml:space="preserve"> </w:t>
      </w:r>
      <w:r w:rsidRPr="00377A8B">
        <w:rPr>
          <w:rFonts w:ascii="Times New Roman" w:hAnsi="Times New Roman"/>
        </w:rPr>
        <w:t xml:space="preserve">Návrh zákona, ktorým sa mení </w:t>
      </w:r>
      <w:r>
        <w:rPr>
          <w:rFonts w:ascii="Times New Roman" w:hAnsi="Times New Roman"/>
        </w:rPr>
        <w:t xml:space="preserve">a dopĺňa </w:t>
      </w:r>
      <w:r w:rsidRPr="00377A8B">
        <w:rPr>
          <w:rFonts w:ascii="Times New Roman" w:hAnsi="Times New Roman"/>
        </w:rPr>
        <w:t xml:space="preserve">zákon </w:t>
      </w:r>
      <w:r>
        <w:rPr>
          <w:rFonts w:ascii="Times New Roman" w:hAnsi="Times New Roman"/>
        </w:rPr>
        <w:br/>
      </w:r>
      <w:r w:rsidRPr="00377A8B">
        <w:rPr>
          <w:rFonts w:ascii="Times New Roman" w:hAnsi="Times New Roman"/>
        </w:rPr>
        <w:t xml:space="preserve">č. </w:t>
      </w:r>
      <w:r>
        <w:rPr>
          <w:rFonts w:ascii="Times New Roman" w:hAnsi="Times New Roman"/>
        </w:rPr>
        <w:t>516/2008 Z. z.</w:t>
      </w:r>
      <w:r w:rsidRPr="00CA1A7F">
        <w:rPr>
          <w:rFonts w:ascii="Times New Roman" w:hAnsi="Times New Roman"/>
        </w:rPr>
        <w:t xml:space="preserve"> o Audiovizuálnom fonde a o zmene a doplnení niektorých zákonov </w:t>
      </w:r>
      <w:r>
        <w:rPr>
          <w:rFonts w:ascii="Times New Roman" w:hAnsi="Times New Roman"/>
        </w:rPr>
        <w:t>v znení neskorších predpisov a</w:t>
      </w:r>
      <w:r w:rsidRPr="007648B5">
        <w:rPr>
          <w:rFonts w:ascii="Times New Roman" w:hAnsi="Times New Roman"/>
          <w:b/>
        </w:rPr>
        <w:t xml:space="preserve"> </w:t>
      </w:r>
      <w:r w:rsidRPr="007648B5">
        <w:rPr>
          <w:rFonts w:ascii="Times New Roman" w:hAnsi="Times New Roman"/>
        </w:rPr>
        <w:t>ktorým sa menia a dopĺňajú niektoré zákony</w:t>
      </w:r>
      <w:r w:rsidRPr="00CA1A7F">
        <w:rPr>
          <w:rFonts w:ascii="Times New Roman" w:hAnsi="Times New Roman"/>
        </w:rPr>
        <w:t xml:space="preserve"> </w:t>
      </w:r>
    </w:p>
    <w:p w:rsidR="00ED6BD2" w:rsidRPr="002056A3" w:rsidP="00ED6BD2">
      <w:pPr>
        <w:bidi w:val="0"/>
        <w:ind w:left="360" w:hanging="360"/>
        <w:jc w:val="both"/>
        <w:rPr>
          <w:rFonts w:ascii="Times New Roman" w:hAnsi="Times New Roman"/>
        </w:rPr>
      </w:pPr>
    </w:p>
    <w:p w:rsidR="00ED6BD2" w:rsidRPr="002056A3" w:rsidP="00ED6BD2">
      <w:pPr>
        <w:bidi w:val="0"/>
        <w:ind w:left="360" w:hanging="360"/>
        <w:rPr>
          <w:rFonts w:ascii="Times New Roman" w:hAnsi="Times New Roman"/>
          <w:b/>
          <w:bCs/>
        </w:rPr>
      </w:pPr>
      <w:r w:rsidRPr="002056A3">
        <w:rPr>
          <w:rFonts w:ascii="Times New Roman" w:hAnsi="Times New Roman"/>
          <w:b/>
          <w:bCs/>
        </w:rPr>
        <w:t>3.</w:t>
        <w:tab/>
        <w:t>Problematika návrhu právneho predpisu:</w:t>
      </w:r>
    </w:p>
    <w:p w:rsidR="00ED6BD2" w:rsidRPr="002056A3" w:rsidP="00ED6BD2">
      <w:pPr>
        <w:bidi w:val="0"/>
        <w:ind w:firstLine="360"/>
        <w:rPr>
          <w:rFonts w:ascii="Times New Roman" w:hAnsi="Times New Roman"/>
        </w:rPr>
      </w:pPr>
    </w:p>
    <w:p w:rsidR="00ED6BD2" w:rsidRPr="002056A3" w:rsidP="00ED6BD2">
      <w:pPr>
        <w:bidi w:val="0"/>
        <w:ind w:left="709" w:hanging="349"/>
        <w:rPr>
          <w:rFonts w:ascii="Times New Roman" w:hAnsi="Times New Roman"/>
        </w:rPr>
      </w:pPr>
      <w:r w:rsidRPr="002056A3">
        <w:rPr>
          <w:rFonts w:ascii="Times New Roman" w:hAnsi="Times New Roman"/>
        </w:rPr>
        <w:t>a)</w:t>
        <w:tab/>
        <w:t>nie je upravená v práve Európskej únie</w:t>
      </w:r>
    </w:p>
    <w:p w:rsidR="00ED6BD2" w:rsidRPr="002056A3" w:rsidP="00ED6BD2">
      <w:pPr>
        <w:bidi w:val="0"/>
        <w:ind w:left="360"/>
        <w:rPr>
          <w:rFonts w:ascii="Times New Roman" w:hAnsi="Times New Roman"/>
        </w:rPr>
      </w:pPr>
    </w:p>
    <w:p w:rsidR="00ED6BD2" w:rsidRPr="002056A3" w:rsidP="00ED6BD2">
      <w:pPr>
        <w:bidi w:val="0"/>
        <w:ind w:firstLine="360"/>
        <w:rPr>
          <w:rFonts w:ascii="Times New Roman" w:hAnsi="Times New Roman"/>
        </w:rPr>
      </w:pPr>
    </w:p>
    <w:p w:rsidR="00ED6BD2" w:rsidRPr="002056A3" w:rsidP="00ED6BD2">
      <w:pPr>
        <w:bidi w:val="0"/>
        <w:ind w:left="709" w:hanging="349"/>
        <w:rPr>
          <w:rFonts w:ascii="Times New Roman" w:hAnsi="Times New Roman"/>
        </w:rPr>
      </w:pPr>
      <w:r w:rsidRPr="002056A3">
        <w:rPr>
          <w:rFonts w:ascii="Times New Roman" w:hAnsi="Times New Roman"/>
        </w:rPr>
        <w:t>b)</w:t>
        <w:tab/>
        <w:t>nie je obsiahnutá v judikatúre Súdneho dvora Európskej únie.</w:t>
      </w:r>
    </w:p>
    <w:p w:rsidR="00ED6BD2" w:rsidRPr="002056A3" w:rsidP="00ED6BD2">
      <w:pPr>
        <w:bidi w:val="0"/>
        <w:ind w:left="360"/>
        <w:rPr>
          <w:rFonts w:ascii="Times New Roman" w:hAnsi="Times New Roman"/>
        </w:rPr>
      </w:pPr>
    </w:p>
    <w:p w:rsidR="00ED6BD2" w:rsidRPr="002056A3" w:rsidP="00ED6BD2">
      <w:pPr>
        <w:bidi w:val="0"/>
        <w:rPr>
          <w:rFonts w:ascii="Times New Roman" w:hAnsi="Times New Roman"/>
        </w:rPr>
      </w:pPr>
    </w:p>
    <w:p w:rsidR="00ED6BD2" w:rsidRPr="002056A3" w:rsidP="00ED6BD2">
      <w:pPr>
        <w:bidi w:val="0"/>
        <w:rPr>
          <w:rFonts w:ascii="Times New Roman" w:hAnsi="Times New Roman"/>
          <w:b/>
          <w:bCs/>
        </w:rPr>
      </w:pPr>
      <w:r w:rsidRPr="002056A3">
        <w:rPr>
          <w:rFonts w:ascii="Times New Roman" w:hAnsi="Times New Roman"/>
          <w:b/>
          <w:bCs/>
        </w:rPr>
        <w:t>Vzhľadom na vnútroštátny charakter navrhovaného právneho predpisu je bezpredmetné vyjadrovať sa k bodom 4., 5. a 6. doložky zlučiteľnosti.</w:t>
      </w:r>
    </w:p>
    <w:p w:rsidR="00ED6BD2" w:rsidRPr="002056A3" w:rsidP="00ED6BD2">
      <w:pPr>
        <w:bidi w:val="0"/>
        <w:rPr>
          <w:rFonts w:ascii="Times New Roman" w:hAnsi="Times New Roman"/>
          <w:b/>
          <w:bCs/>
        </w:rPr>
      </w:pPr>
    </w:p>
    <w:p w:rsidR="00ED6BD2" w:rsidRPr="002056A3" w:rsidP="00ED6BD2">
      <w:pPr>
        <w:tabs>
          <w:tab w:val="left" w:pos="360"/>
        </w:tabs>
        <w:bidi w:val="0"/>
        <w:ind w:left="36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P="00ED6BD2">
      <w:pPr>
        <w:tabs>
          <w:tab w:val="left" w:pos="1560"/>
        </w:tabs>
        <w:bidi w:val="0"/>
        <w:rPr>
          <w:rFonts w:ascii="Times New Roman" w:hAnsi="Times New Roman"/>
        </w:rPr>
      </w:pPr>
    </w:p>
    <w:p w:rsidR="00ED6BD2" w:rsidRPr="006361C1" w:rsidP="00ED6BD2">
      <w:pPr>
        <w:bidi w:val="0"/>
        <w:jc w:val="both"/>
        <w:rPr>
          <w:rFonts w:ascii="Times New Roman" w:hAnsi="Times New Roman"/>
          <w:b/>
        </w:rPr>
      </w:pPr>
    </w:p>
    <w:p w:rsidR="00ED6BD2" w:rsidRPr="006361C1" w:rsidP="00ED6BD2">
      <w:pPr>
        <w:bidi w:val="0"/>
        <w:jc w:val="both"/>
        <w:rPr>
          <w:rFonts w:ascii="Times New Roman" w:hAnsi="Times New Roman"/>
          <w:b/>
        </w:rPr>
      </w:pPr>
      <w:r w:rsidRPr="006361C1">
        <w:rPr>
          <w:rFonts w:ascii="Times New Roman" w:hAnsi="Times New Roman"/>
          <w:b/>
        </w:rPr>
        <w:t>Osobitná časť</w:t>
      </w:r>
    </w:p>
    <w:p w:rsidR="00ED6BD2" w:rsidRPr="006361C1" w:rsidP="00ED6BD2">
      <w:pPr>
        <w:bidi w:val="0"/>
        <w:jc w:val="both"/>
        <w:rPr>
          <w:rFonts w:ascii="Times New Roman" w:hAnsi="Times New Roman"/>
          <w:b/>
        </w:rPr>
      </w:pPr>
    </w:p>
    <w:p w:rsidR="00ED6BD2" w:rsidRPr="006361C1" w:rsidP="00ED6BD2">
      <w:pPr>
        <w:bidi w:val="0"/>
        <w:jc w:val="both"/>
        <w:rPr>
          <w:rFonts w:ascii="Times New Roman" w:hAnsi="Times New Roman"/>
          <w:b/>
        </w:rPr>
      </w:pPr>
      <w:r w:rsidRPr="006361C1">
        <w:rPr>
          <w:rFonts w:ascii="Times New Roman" w:hAnsi="Times New Roman"/>
          <w:b/>
        </w:rPr>
        <w:t>K čl. I</w:t>
      </w:r>
    </w:p>
    <w:p w:rsidR="00ED6BD2" w:rsidP="00ED6BD2">
      <w:pPr>
        <w:bidi w:val="0"/>
        <w:jc w:val="both"/>
        <w:rPr>
          <w:rFonts w:ascii="Times New Roman" w:hAnsi="Times New Roman"/>
          <w:b/>
        </w:rPr>
      </w:pPr>
    </w:p>
    <w:p w:rsidR="00ED6BD2" w:rsidP="00ED6BD2">
      <w:pPr>
        <w:bidi w:val="0"/>
        <w:jc w:val="both"/>
        <w:rPr>
          <w:rFonts w:ascii="Times New Roman" w:hAnsi="Times New Roman"/>
          <w:u w:val="single"/>
        </w:rPr>
      </w:pPr>
      <w:r w:rsidRPr="00EB62A0">
        <w:rPr>
          <w:rFonts w:ascii="Times New Roman" w:hAnsi="Times New Roman"/>
          <w:u w:val="single"/>
        </w:rPr>
        <w:t>K bodu 1</w:t>
      </w:r>
    </w:p>
    <w:p w:rsidR="00ED6BD2" w:rsidRPr="00AF216E" w:rsidP="00ED6BD2">
      <w:pPr>
        <w:bidi w:val="0"/>
        <w:jc w:val="both"/>
        <w:rPr>
          <w:rFonts w:ascii="Times New Roman" w:hAnsi="Times New Roman"/>
          <w:u w:val="single"/>
        </w:rPr>
      </w:pPr>
    </w:p>
    <w:p w:rsidR="00ED6BD2" w:rsidP="00ED6BD2">
      <w:pPr>
        <w:bidi w:val="0"/>
        <w:jc w:val="both"/>
        <w:rPr>
          <w:rFonts w:ascii="Times New Roman" w:hAnsi="Times New Roman"/>
        </w:rPr>
      </w:pPr>
      <w:r>
        <w:rPr>
          <w:rFonts w:ascii="Times New Roman" w:hAnsi="Times New Roman"/>
        </w:rPr>
        <w:t>Koprodukčné štatúty udeľoval do 30. septembra 2017 Audiovizuálny fond (ďalej len „AVF“), na základe Európskeho dohovoru o filmovej koprodukcii z roku 1992. Od 1. októbra 2017 bude AVF priznávať štatúty oficiálnej koprodukcie aj podľa jeho revidovanej verzie - Dohovoru Rady Európy o filmovej koprodukcii (revidovaný) (ďalej len „revidovaný dohovor“).</w:t>
      </w:r>
    </w:p>
    <w:p w:rsidR="00ED6BD2" w:rsidP="00ED6BD2">
      <w:pPr>
        <w:bidi w:val="0"/>
        <w:jc w:val="both"/>
        <w:rPr>
          <w:rFonts w:ascii="Times New Roman" w:hAnsi="Times New Roman"/>
          <w:u w:val="single"/>
        </w:rPr>
      </w:pPr>
    </w:p>
    <w:p w:rsidR="00ED6BD2" w:rsidRPr="0039541F" w:rsidP="00ED6BD2">
      <w:pPr>
        <w:bidi w:val="0"/>
        <w:jc w:val="both"/>
        <w:rPr>
          <w:rFonts w:ascii="Times New Roman" w:hAnsi="Times New Roman"/>
          <w:u w:val="single"/>
        </w:rPr>
      </w:pPr>
      <w:r>
        <w:rPr>
          <w:rFonts w:ascii="Times New Roman" w:hAnsi="Times New Roman"/>
          <w:u w:val="single"/>
        </w:rPr>
        <w:t>K bodom</w:t>
      </w:r>
      <w:r w:rsidRPr="0039541F">
        <w:rPr>
          <w:rFonts w:ascii="Times New Roman" w:hAnsi="Times New Roman"/>
          <w:u w:val="single"/>
        </w:rPr>
        <w:t xml:space="preserve"> 2</w:t>
      </w:r>
      <w:r>
        <w:rPr>
          <w:rFonts w:ascii="Times New Roman" w:hAnsi="Times New Roman"/>
          <w:u w:val="single"/>
        </w:rPr>
        <w:t>, 18 a 23</w:t>
      </w:r>
    </w:p>
    <w:p w:rsidR="00ED6BD2" w:rsidP="00ED6BD2">
      <w:pPr>
        <w:bidi w:val="0"/>
        <w:jc w:val="both"/>
        <w:rPr>
          <w:rFonts w:ascii="Times New Roman" w:hAnsi="Times New Roman"/>
        </w:rPr>
      </w:pPr>
      <w:r>
        <w:rPr>
          <w:rFonts w:ascii="Times New Roman" w:hAnsi="Times New Roman"/>
        </w:rPr>
        <w:t>V texte zákona sa nahrádza pojem „koprodukčný štatút“ novozavedeným pojmom „štatút oficiálnej koprodukcie“, ktorý vychádza z pojmu „oficiálne koprodukované filmové dielo“ definované v čl. 3 písm. b) revidovaného dohovoru.</w:t>
      </w:r>
    </w:p>
    <w:p w:rsidR="00ED6BD2" w:rsidP="00ED6BD2">
      <w:pPr>
        <w:bidi w:val="0"/>
        <w:jc w:val="both"/>
        <w:rPr>
          <w:rFonts w:ascii="Times New Roman" w:hAnsi="Times New Roman"/>
          <w:u w:val="single"/>
        </w:rPr>
      </w:pPr>
    </w:p>
    <w:p w:rsidR="00ED6BD2" w:rsidRPr="00DB3540" w:rsidP="00ED6BD2">
      <w:pPr>
        <w:bidi w:val="0"/>
        <w:jc w:val="both"/>
        <w:rPr>
          <w:rFonts w:ascii="Times New Roman" w:hAnsi="Times New Roman"/>
          <w:u w:val="single"/>
        </w:rPr>
      </w:pPr>
      <w:r w:rsidRPr="00E51954">
        <w:rPr>
          <w:rFonts w:ascii="Times New Roman" w:hAnsi="Times New Roman"/>
          <w:u w:val="single"/>
        </w:rPr>
        <w:t>K bodom 3 a 4</w:t>
      </w:r>
    </w:p>
    <w:p w:rsidR="00ED6BD2" w:rsidRPr="00E51954" w:rsidP="00ED6BD2">
      <w:pPr>
        <w:bidi w:val="0"/>
        <w:jc w:val="both"/>
        <w:rPr>
          <w:rFonts w:ascii="Times New Roman" w:hAnsi="Times New Roman"/>
        </w:rPr>
      </w:pPr>
      <w:r>
        <w:rPr>
          <w:rFonts w:ascii="Times New Roman" w:hAnsi="Times New Roman"/>
        </w:rPr>
        <w:t xml:space="preserve">Ustanovenie § 2 vymedzuje činnosti AVF, ktoré spočívajú predovšetkým v podpore audiovizuálnej kultúry a priemyslu. Z povahy týchto činností tak ako sú vymedzené v § 2 vyplýva, že podpora AVF sa môže realizovať tak prostredníctvom poskytnutia finančných prostriedkov (tzv. finančná podpora), ako aj prostredníctvom poskytnutia služieb ako napr. vzdelávanie alebo poradenstvo (tzv. nefinančná podpora). Navrhuje sa teda spresnenie vymedzenia činností V </w:t>
      </w:r>
      <w:r w:rsidRPr="00E51954">
        <w:rPr>
          <w:rFonts w:ascii="Times New Roman" w:hAnsi="Times New Roman"/>
        </w:rPr>
        <w:t>súvisiac</w:t>
      </w:r>
      <w:r>
        <w:rPr>
          <w:rFonts w:ascii="Times New Roman" w:hAnsi="Times New Roman"/>
        </w:rPr>
        <w:t>ich</w:t>
      </w:r>
      <w:r w:rsidRPr="00E51954">
        <w:rPr>
          <w:rFonts w:ascii="Times New Roman" w:hAnsi="Times New Roman"/>
        </w:rPr>
        <w:t xml:space="preserve"> s prezentáciou a propagáciou aud</w:t>
      </w:r>
      <w:r>
        <w:rPr>
          <w:rFonts w:ascii="Times New Roman" w:hAnsi="Times New Roman"/>
        </w:rPr>
        <w:t xml:space="preserve">iovizuálnej kultúry a priemyslu, ako aj činností, v rámci ktorých AVF poskytuje osobitné </w:t>
      </w:r>
      <w:r w:rsidRPr="00E51954">
        <w:rPr>
          <w:rFonts w:ascii="Times New Roman" w:hAnsi="Times New Roman"/>
        </w:rPr>
        <w:t xml:space="preserve">služby osobám pôsobiacim v audiovízii prostredníctvom uskutočňovania vzdelávacích aktivít alebo prezentačných aktivít, metodicko-poradenskej činnosti </w:t>
      </w:r>
      <w:r>
        <w:rPr>
          <w:rFonts w:ascii="Times New Roman" w:hAnsi="Times New Roman"/>
        </w:rPr>
        <w:t xml:space="preserve">a sprostredkovateľskej činnosti, a to tak, aby bolo zrejmé, že aj tieto činnosti AVF predstavujú realizáciu jeho podpornej činnosti vo forme tzv. nefinančnej podpory. </w:t>
      </w:r>
    </w:p>
    <w:p w:rsidR="00ED6BD2" w:rsidP="00ED6BD2">
      <w:pPr>
        <w:bidi w:val="0"/>
        <w:jc w:val="both"/>
        <w:rPr>
          <w:rFonts w:ascii="Times New Roman" w:hAnsi="Times New Roman"/>
          <w:u w:val="single"/>
        </w:rPr>
      </w:pPr>
    </w:p>
    <w:p w:rsidR="00ED6BD2" w:rsidRPr="0039541F" w:rsidP="00ED6BD2">
      <w:pPr>
        <w:bidi w:val="0"/>
        <w:jc w:val="both"/>
        <w:rPr>
          <w:rFonts w:ascii="Times New Roman" w:hAnsi="Times New Roman"/>
          <w:u w:val="single"/>
        </w:rPr>
      </w:pPr>
      <w:r>
        <w:rPr>
          <w:rFonts w:ascii="Times New Roman" w:hAnsi="Times New Roman"/>
          <w:u w:val="single"/>
        </w:rPr>
        <w:t>K bodu 5</w:t>
      </w:r>
    </w:p>
    <w:p w:rsidR="00ED6BD2" w:rsidP="00ED6BD2">
      <w:pPr>
        <w:bidi w:val="0"/>
        <w:jc w:val="both"/>
        <w:rPr>
          <w:rFonts w:ascii="Times New Roman" w:hAnsi="Times New Roman"/>
        </w:rPr>
      </w:pPr>
      <w:r w:rsidRPr="00E54543">
        <w:rPr>
          <w:rFonts w:ascii="Times New Roman" w:hAnsi="Times New Roman"/>
        </w:rPr>
        <w:t>Navrhuje sa nová</w:t>
      </w:r>
      <w:r>
        <w:rPr>
          <w:rFonts w:ascii="Times New Roman" w:hAnsi="Times New Roman"/>
        </w:rPr>
        <w:t xml:space="preserve"> kompetencia rady AVF schvaľovať vnútorný predpis AVF, ktorý bude upravovať postup</w:t>
      </w:r>
      <w:r w:rsidRPr="0039541F">
        <w:rPr>
          <w:rFonts w:ascii="Times New Roman" w:hAnsi="Times New Roman"/>
        </w:rPr>
        <w:t> prizn</w:t>
      </w:r>
      <w:r>
        <w:rPr>
          <w:rFonts w:ascii="Times New Roman" w:hAnsi="Times New Roman"/>
        </w:rPr>
        <w:t>ávania</w:t>
      </w:r>
      <w:r w:rsidRPr="0039541F">
        <w:rPr>
          <w:rFonts w:ascii="Times New Roman" w:hAnsi="Times New Roman"/>
        </w:rPr>
        <w:t xml:space="preserve"> štatútu oficiálnej koprodukcie</w:t>
      </w:r>
      <w:r>
        <w:rPr>
          <w:rFonts w:ascii="Times New Roman" w:hAnsi="Times New Roman"/>
        </w:rPr>
        <w:t>. Súčasné znenie § 4 ods. 2 písm. v), ktoré oprávňuje radu poverovať riaditeľa AVF rozhodovaním o udelení koprodukčného štatútu sa tak prenesie do vnútorného predpisu AVF.</w:t>
      </w:r>
    </w:p>
    <w:p w:rsidR="00ED6BD2" w:rsidP="00ED6BD2">
      <w:pPr>
        <w:bidi w:val="0"/>
        <w:jc w:val="both"/>
        <w:rPr>
          <w:rFonts w:ascii="Times New Roman" w:hAnsi="Times New Roman"/>
          <w:u w:val="single"/>
        </w:rPr>
      </w:pPr>
    </w:p>
    <w:p w:rsidR="00ED6BD2" w:rsidRPr="00337548" w:rsidP="00ED6BD2">
      <w:pPr>
        <w:bidi w:val="0"/>
        <w:jc w:val="both"/>
        <w:rPr>
          <w:rFonts w:ascii="Times New Roman" w:hAnsi="Times New Roman"/>
          <w:u w:val="single"/>
        </w:rPr>
      </w:pPr>
      <w:r>
        <w:rPr>
          <w:rFonts w:ascii="Times New Roman" w:hAnsi="Times New Roman"/>
          <w:u w:val="single"/>
        </w:rPr>
        <w:t>K bodu 6</w:t>
      </w:r>
    </w:p>
    <w:p w:rsidR="00ED6BD2" w:rsidP="00ED6BD2">
      <w:pPr>
        <w:bidi w:val="0"/>
        <w:jc w:val="both"/>
        <w:rPr>
          <w:rFonts w:ascii="Times New Roman" w:hAnsi="Times New Roman"/>
        </w:rPr>
      </w:pPr>
      <w:r w:rsidRPr="0014150D">
        <w:rPr>
          <w:rFonts w:ascii="Times New Roman" w:hAnsi="Times New Roman"/>
        </w:rPr>
        <w:t xml:space="preserve">Vzhľadom </w:t>
      </w:r>
      <w:r>
        <w:rPr>
          <w:rFonts w:ascii="Times New Roman" w:hAnsi="Times New Roman"/>
        </w:rPr>
        <w:t xml:space="preserve">na znenie § 18 ods. 11 zákona, v zmysle ktorého </w:t>
      </w:r>
      <w:r w:rsidRPr="003C6ECA">
        <w:rPr>
          <w:rFonts w:ascii="Times New Roman" w:hAnsi="Times New Roman"/>
        </w:rPr>
        <w:t xml:space="preserve">o poskytnutí finančných prostriedkov </w:t>
      </w:r>
      <w:r>
        <w:rPr>
          <w:rFonts w:ascii="Times New Roman" w:hAnsi="Times New Roman"/>
        </w:rPr>
        <w:t>AVF</w:t>
      </w:r>
      <w:r w:rsidRPr="003C6ECA">
        <w:rPr>
          <w:rFonts w:ascii="Times New Roman" w:hAnsi="Times New Roman"/>
        </w:rPr>
        <w:t xml:space="preserve"> na podporu audiovizuálnej kultúry rozhod</w:t>
      </w:r>
      <w:r>
        <w:rPr>
          <w:rFonts w:ascii="Times New Roman" w:hAnsi="Times New Roman"/>
        </w:rPr>
        <w:t xml:space="preserve">uje </w:t>
      </w:r>
      <w:r w:rsidRPr="003C6ECA">
        <w:rPr>
          <w:rFonts w:ascii="Times New Roman" w:hAnsi="Times New Roman"/>
        </w:rPr>
        <w:t>riaditeľ</w:t>
      </w:r>
      <w:r>
        <w:rPr>
          <w:rFonts w:ascii="Times New Roman" w:hAnsi="Times New Roman"/>
        </w:rPr>
        <w:t>, sa vypúšťa kompetencia rady poverovať riaditeľa rozhodovaním o poskytnutí finančných prostriedkov AVF.</w:t>
      </w:r>
    </w:p>
    <w:p w:rsidR="00ED6BD2" w:rsidP="00ED6BD2">
      <w:pPr>
        <w:bidi w:val="0"/>
        <w:jc w:val="both"/>
        <w:rPr>
          <w:rFonts w:ascii="Times New Roman" w:hAnsi="Times New Roman"/>
          <w:u w:val="single"/>
        </w:rPr>
      </w:pPr>
    </w:p>
    <w:p w:rsidR="00ED6BD2" w:rsidRPr="006B2B17" w:rsidP="00ED6BD2">
      <w:pPr>
        <w:bidi w:val="0"/>
        <w:jc w:val="both"/>
        <w:rPr>
          <w:rFonts w:ascii="Times New Roman" w:hAnsi="Times New Roman"/>
          <w:u w:val="single"/>
        </w:rPr>
      </w:pPr>
      <w:r w:rsidRPr="006B2B17">
        <w:rPr>
          <w:rFonts w:ascii="Times New Roman" w:hAnsi="Times New Roman"/>
          <w:u w:val="single"/>
        </w:rPr>
        <w:t>K bodu 7</w:t>
      </w:r>
    </w:p>
    <w:p w:rsidR="00ED6BD2" w:rsidRPr="003C6ECA" w:rsidP="00ED6BD2">
      <w:pPr>
        <w:bidi w:val="0"/>
        <w:jc w:val="both"/>
        <w:rPr>
          <w:rFonts w:ascii="Times New Roman" w:hAnsi="Times New Roman"/>
        </w:rPr>
      </w:pPr>
      <w:r>
        <w:rPr>
          <w:rFonts w:ascii="Times New Roman" w:hAnsi="Times New Roman"/>
        </w:rPr>
        <w:t xml:space="preserve">Z dôvodu zavedenia nového pojmu pre služobne najvyššieho vedúceho štátneho zamestnanca v príslušnom služobnom úrade zákonom č. 55/2017 Z. z. o štátnej </w:t>
      </w:r>
      <w:r w:rsidRPr="00DB725A">
        <w:rPr>
          <w:rFonts w:ascii="Times New Roman" w:hAnsi="Times New Roman"/>
        </w:rPr>
        <w:t>službe a o zmene a doplnení niektorých zákonov</w:t>
      </w:r>
      <w:r>
        <w:rPr>
          <w:rFonts w:ascii="Times New Roman" w:hAnsi="Times New Roman"/>
        </w:rPr>
        <w:t xml:space="preserve"> v znení neskorších predpisov sa navrhuje zosúladiť ustanovenie § 5 ods. 5 písm. e) s novou právnou úpravou a pojem vedúci služobného úradu nahradiť pojmom generálny tajomník služobného úradu.</w:t>
      </w:r>
    </w:p>
    <w:p w:rsidR="00ED6BD2" w:rsidP="00ED6BD2">
      <w:pPr>
        <w:bidi w:val="0"/>
        <w:jc w:val="both"/>
        <w:rPr>
          <w:rFonts w:ascii="Times New Roman" w:hAnsi="Times New Roman"/>
          <w:u w:val="single"/>
        </w:rPr>
      </w:pPr>
    </w:p>
    <w:p w:rsidR="00ED6BD2" w:rsidP="00ED6BD2">
      <w:pPr>
        <w:bidi w:val="0"/>
        <w:jc w:val="both"/>
        <w:rPr>
          <w:rFonts w:ascii="Times New Roman" w:hAnsi="Times New Roman"/>
          <w:u w:val="single"/>
        </w:rPr>
      </w:pPr>
      <w:r>
        <w:rPr>
          <w:rFonts w:ascii="Times New Roman" w:hAnsi="Times New Roman"/>
          <w:u w:val="single"/>
        </w:rPr>
        <w:t>K bodom 8, 14 a 16</w:t>
      </w:r>
    </w:p>
    <w:p w:rsidR="00ED6BD2" w:rsidRPr="00C67083" w:rsidP="00ED6BD2">
      <w:pPr>
        <w:bidi w:val="0"/>
        <w:jc w:val="both"/>
        <w:rPr>
          <w:rFonts w:ascii="Times New Roman" w:hAnsi="Times New Roman"/>
        </w:rPr>
      </w:pPr>
      <w:r w:rsidRPr="00C67083">
        <w:rPr>
          <w:rFonts w:ascii="Times New Roman" w:hAnsi="Times New Roman"/>
        </w:rPr>
        <w:t>Legislatívno-technická úprava súvisiaca s bodom 1</w:t>
      </w:r>
      <w:r>
        <w:rPr>
          <w:rFonts w:ascii="Times New Roman" w:hAnsi="Times New Roman"/>
        </w:rPr>
        <w:t>3</w:t>
      </w:r>
      <w:r w:rsidRPr="00C67083">
        <w:rPr>
          <w:rFonts w:ascii="Times New Roman" w:hAnsi="Times New Roman"/>
        </w:rPr>
        <w:t>.</w:t>
      </w:r>
    </w:p>
    <w:p w:rsidR="00ED6BD2" w:rsidP="00ED6BD2">
      <w:pPr>
        <w:bidi w:val="0"/>
        <w:jc w:val="both"/>
        <w:rPr>
          <w:rFonts w:ascii="Times New Roman" w:hAnsi="Times New Roman"/>
          <w:u w:val="single"/>
        </w:rPr>
      </w:pPr>
    </w:p>
    <w:p w:rsidR="00ED6BD2" w:rsidP="00ED6BD2">
      <w:pPr>
        <w:bidi w:val="0"/>
        <w:jc w:val="both"/>
        <w:rPr>
          <w:rFonts w:ascii="Times New Roman" w:hAnsi="Times New Roman"/>
          <w:u w:val="single"/>
        </w:rPr>
      </w:pPr>
      <w:r w:rsidRPr="00E54543">
        <w:rPr>
          <w:rFonts w:ascii="Times New Roman" w:hAnsi="Times New Roman"/>
          <w:u w:val="single"/>
        </w:rPr>
        <w:t>K</w:t>
      </w:r>
      <w:r>
        <w:rPr>
          <w:rFonts w:ascii="Times New Roman" w:hAnsi="Times New Roman"/>
          <w:u w:val="single"/>
        </w:rPr>
        <w:t> </w:t>
      </w:r>
      <w:r w:rsidRPr="00E54543">
        <w:rPr>
          <w:rFonts w:ascii="Times New Roman" w:hAnsi="Times New Roman"/>
          <w:u w:val="single"/>
        </w:rPr>
        <w:t>bodu</w:t>
      </w:r>
      <w:r>
        <w:rPr>
          <w:rFonts w:ascii="Times New Roman" w:hAnsi="Times New Roman"/>
          <w:u w:val="single"/>
        </w:rPr>
        <w:t xml:space="preserve"> 9</w:t>
      </w:r>
      <w:r w:rsidRPr="00E54543">
        <w:rPr>
          <w:rFonts w:ascii="Times New Roman" w:hAnsi="Times New Roman"/>
          <w:u w:val="single"/>
        </w:rPr>
        <w:t xml:space="preserve">  </w:t>
      </w:r>
    </w:p>
    <w:p w:rsidR="00ED6BD2" w:rsidP="00ED6BD2">
      <w:pPr>
        <w:bidi w:val="0"/>
        <w:jc w:val="both"/>
        <w:rPr>
          <w:rFonts w:ascii="Times New Roman" w:hAnsi="Times New Roman"/>
        </w:rPr>
      </w:pPr>
      <w:r w:rsidRPr="00E54543">
        <w:rPr>
          <w:rFonts w:ascii="Times New Roman" w:hAnsi="Times New Roman"/>
        </w:rPr>
        <w:t>Navrhuje sa vypustenie</w:t>
      </w:r>
      <w:r>
        <w:rPr>
          <w:rFonts w:ascii="Times New Roman" w:hAnsi="Times New Roman"/>
        </w:rPr>
        <w:t xml:space="preserve"> ustanovenia, ktoré upravuje, že žiadosti o udelenie koprodukčného štatútu spracúva a predkladá AVF v nadväznosti na návrh, aby všetky podrobnosti o priznávaní  štatútu oficiálnej koprodukcie upravoval vnútorný predpis AVF.</w:t>
      </w:r>
    </w:p>
    <w:p w:rsidR="00ED6BD2" w:rsidP="00ED6BD2">
      <w:pPr>
        <w:bidi w:val="0"/>
        <w:jc w:val="both"/>
        <w:rPr>
          <w:rFonts w:ascii="Times New Roman" w:hAnsi="Times New Roman"/>
          <w:u w:val="single"/>
        </w:rPr>
      </w:pPr>
    </w:p>
    <w:p w:rsidR="00ED6BD2" w:rsidP="00ED6BD2">
      <w:pPr>
        <w:bidi w:val="0"/>
        <w:jc w:val="both"/>
        <w:rPr>
          <w:rFonts w:ascii="Times New Roman" w:hAnsi="Times New Roman"/>
          <w:u w:val="single"/>
        </w:rPr>
      </w:pPr>
      <w:r w:rsidRPr="00CE7202">
        <w:rPr>
          <w:rFonts w:ascii="Times New Roman" w:hAnsi="Times New Roman"/>
          <w:u w:val="single"/>
        </w:rPr>
        <w:t>K bodu 1</w:t>
      </w:r>
      <w:r>
        <w:rPr>
          <w:rFonts w:ascii="Times New Roman" w:hAnsi="Times New Roman"/>
          <w:u w:val="single"/>
        </w:rPr>
        <w:t>0</w:t>
      </w:r>
    </w:p>
    <w:p w:rsidR="00ED6BD2" w:rsidRPr="00CE7202" w:rsidP="00ED6BD2">
      <w:pPr>
        <w:bidi w:val="0"/>
        <w:jc w:val="both"/>
        <w:rPr>
          <w:rFonts w:ascii="Times New Roman" w:hAnsi="Times New Roman"/>
        </w:rPr>
      </w:pPr>
      <w:r>
        <w:rPr>
          <w:rFonts w:ascii="Times New Roman" w:hAnsi="Times New Roman"/>
        </w:rPr>
        <w:t xml:space="preserve">Navrhuje sa vypustenie časti ustanovenia § 17 ods. 7, ktorá ustanovuje, že odborné komisie, ktoré AVF zriaďuje na posudzovanie žiadostí o </w:t>
      </w:r>
      <w:r w:rsidRPr="00813F7F">
        <w:rPr>
          <w:rFonts w:ascii="Times New Roman" w:hAnsi="Times New Roman"/>
        </w:rPr>
        <w:t>podporu audiovizuálnej kultúry</w:t>
      </w:r>
      <w:r>
        <w:rPr>
          <w:rFonts w:ascii="Times New Roman" w:hAnsi="Times New Roman"/>
        </w:rPr>
        <w:t>, v hodnotení žiadosti o podporu audiovizuálnej kultúry navrhnú sumu finančných prostriedkov v súlade so schváleným rozpočtom f</w:t>
      </w:r>
      <w:r w:rsidRPr="004A6D8B">
        <w:rPr>
          <w:rFonts w:ascii="Times New Roman" w:hAnsi="Times New Roman"/>
        </w:rPr>
        <w:t>ondu a základný časový rámec pre poskytnutie a použitie finančných prostriedkov</w:t>
      </w:r>
      <w:r>
        <w:rPr>
          <w:rFonts w:ascii="Times New Roman" w:hAnsi="Times New Roman"/>
        </w:rPr>
        <w:t xml:space="preserve">, a to z dôvodu, že </w:t>
      </w:r>
      <w:r w:rsidRPr="004A6D8B">
        <w:rPr>
          <w:rFonts w:ascii="Times New Roman" w:hAnsi="Times New Roman"/>
        </w:rPr>
        <w:t xml:space="preserve">odborné komisie nezodpovedajú za rozpočet </w:t>
      </w:r>
      <w:r>
        <w:rPr>
          <w:rFonts w:ascii="Times New Roman" w:hAnsi="Times New Roman"/>
        </w:rPr>
        <w:t>AVF</w:t>
      </w:r>
      <w:r w:rsidRPr="004A6D8B">
        <w:rPr>
          <w:rFonts w:ascii="Times New Roman" w:hAnsi="Times New Roman"/>
        </w:rPr>
        <w:t xml:space="preserve">, ani nemajú k dispozícii žiadnu sumu „na rozdelenie“. </w:t>
      </w:r>
      <w:r>
        <w:rPr>
          <w:rFonts w:ascii="Times New Roman" w:hAnsi="Times New Roman"/>
        </w:rPr>
        <w:t>Sumu</w:t>
      </w:r>
      <w:r w:rsidRPr="004A6D8B">
        <w:rPr>
          <w:rFonts w:ascii="Times New Roman" w:hAnsi="Times New Roman"/>
        </w:rPr>
        <w:t xml:space="preserve"> podpory k jednotlivým projektom majú </w:t>
      </w:r>
      <w:r>
        <w:rPr>
          <w:rFonts w:ascii="Times New Roman" w:hAnsi="Times New Roman"/>
        </w:rPr>
        <w:t xml:space="preserve">odborné komisie </w:t>
      </w:r>
      <w:r w:rsidRPr="004A6D8B">
        <w:rPr>
          <w:rFonts w:ascii="Times New Roman" w:hAnsi="Times New Roman"/>
        </w:rPr>
        <w:t>navrhovať tak, aby tá</w:t>
      </w:r>
      <w:r>
        <w:rPr>
          <w:rFonts w:ascii="Times New Roman" w:hAnsi="Times New Roman"/>
        </w:rPr>
        <w:t>to</w:t>
      </w:r>
      <w:r w:rsidRPr="004A6D8B">
        <w:rPr>
          <w:rFonts w:ascii="Times New Roman" w:hAnsi="Times New Roman"/>
        </w:rPr>
        <w:t xml:space="preserve"> suma umožňovala žiadateľovi o podporu audiovizuálnej kultúry</w:t>
      </w:r>
      <w:r>
        <w:rPr>
          <w:rFonts w:ascii="Times New Roman" w:hAnsi="Times New Roman"/>
        </w:rPr>
        <w:t xml:space="preserve"> </w:t>
      </w:r>
      <w:r w:rsidRPr="004A6D8B">
        <w:rPr>
          <w:rFonts w:ascii="Times New Roman" w:hAnsi="Times New Roman"/>
        </w:rPr>
        <w:t xml:space="preserve">účelnú a efektívnu realizáciu podporeného projektu. Rozpočet </w:t>
      </w:r>
      <w:r>
        <w:rPr>
          <w:rFonts w:ascii="Times New Roman" w:hAnsi="Times New Roman"/>
        </w:rPr>
        <w:t>AVF</w:t>
      </w:r>
      <w:r w:rsidRPr="004A6D8B">
        <w:rPr>
          <w:rFonts w:ascii="Times New Roman" w:hAnsi="Times New Roman"/>
        </w:rPr>
        <w:t xml:space="preserve"> schvaľuje rada </w:t>
      </w:r>
      <w:r>
        <w:rPr>
          <w:rFonts w:ascii="Times New Roman" w:hAnsi="Times New Roman"/>
        </w:rPr>
        <w:t xml:space="preserve">AVF </w:t>
      </w:r>
      <w:r w:rsidRPr="004A6D8B">
        <w:rPr>
          <w:rFonts w:ascii="Times New Roman" w:hAnsi="Times New Roman"/>
        </w:rPr>
        <w:t xml:space="preserve">a za jeho čerpanie zodpovedá </w:t>
      </w:r>
      <w:r>
        <w:rPr>
          <w:rFonts w:ascii="Times New Roman" w:hAnsi="Times New Roman"/>
        </w:rPr>
        <w:t xml:space="preserve">priamo </w:t>
      </w:r>
      <w:r w:rsidRPr="004A6D8B">
        <w:rPr>
          <w:rFonts w:ascii="Times New Roman" w:hAnsi="Times New Roman"/>
        </w:rPr>
        <w:t>riaditeľ</w:t>
      </w:r>
      <w:r>
        <w:rPr>
          <w:rFonts w:ascii="Times New Roman" w:hAnsi="Times New Roman"/>
        </w:rPr>
        <w:t xml:space="preserve"> AVF. Vo vzťahu k základnému časovému rám</w:t>
      </w:r>
      <w:r w:rsidRPr="004A6D8B">
        <w:rPr>
          <w:rFonts w:ascii="Times New Roman" w:hAnsi="Times New Roman"/>
        </w:rPr>
        <w:t>c</w:t>
      </w:r>
      <w:r>
        <w:rPr>
          <w:rFonts w:ascii="Times New Roman" w:hAnsi="Times New Roman"/>
        </w:rPr>
        <w:t>u</w:t>
      </w:r>
      <w:r w:rsidRPr="004A6D8B">
        <w:rPr>
          <w:rFonts w:ascii="Times New Roman" w:hAnsi="Times New Roman"/>
        </w:rPr>
        <w:t xml:space="preserve"> pre poskytnutie a použitie finančných prostriedkov</w:t>
      </w:r>
      <w:r>
        <w:rPr>
          <w:rFonts w:ascii="Times New Roman" w:hAnsi="Times New Roman"/>
        </w:rPr>
        <w:t xml:space="preserve"> platí, že ten</w:t>
      </w:r>
      <w:r w:rsidRPr="004A6D8B">
        <w:rPr>
          <w:rFonts w:ascii="Times New Roman" w:hAnsi="Times New Roman"/>
        </w:rPr>
        <w:t xml:space="preserve"> musí vychádzať z harmonogramu realizácie projektu, ktorý navrhuje žiadateľ</w:t>
      </w:r>
      <w:r>
        <w:rPr>
          <w:rFonts w:ascii="Times New Roman" w:hAnsi="Times New Roman"/>
        </w:rPr>
        <w:t xml:space="preserve"> </w:t>
      </w:r>
      <w:r w:rsidRPr="004A6D8B">
        <w:rPr>
          <w:rFonts w:ascii="Times New Roman" w:hAnsi="Times New Roman"/>
        </w:rPr>
        <w:t xml:space="preserve">o podporu audiovizuálnej kultúry a posudzuje ho </w:t>
      </w:r>
      <w:r>
        <w:rPr>
          <w:rFonts w:ascii="Times New Roman" w:hAnsi="Times New Roman"/>
        </w:rPr>
        <w:t xml:space="preserve">odborná </w:t>
      </w:r>
      <w:r w:rsidRPr="004A6D8B">
        <w:rPr>
          <w:rFonts w:ascii="Times New Roman" w:hAnsi="Times New Roman"/>
        </w:rPr>
        <w:t>komisia v hodnotení žiadosti.</w:t>
      </w:r>
    </w:p>
    <w:p w:rsidR="00ED6BD2" w:rsidP="00ED6BD2">
      <w:pPr>
        <w:bidi w:val="0"/>
        <w:jc w:val="both"/>
        <w:rPr>
          <w:rFonts w:ascii="Times New Roman" w:hAnsi="Times New Roman"/>
          <w:u w:val="single"/>
        </w:rPr>
      </w:pPr>
    </w:p>
    <w:p w:rsidR="00ED6BD2" w:rsidP="00ED6BD2">
      <w:pPr>
        <w:bidi w:val="0"/>
        <w:jc w:val="both"/>
        <w:rPr>
          <w:rFonts w:ascii="Times New Roman" w:hAnsi="Times New Roman"/>
          <w:u w:val="single"/>
        </w:rPr>
      </w:pPr>
      <w:r>
        <w:rPr>
          <w:rFonts w:ascii="Times New Roman" w:hAnsi="Times New Roman"/>
          <w:u w:val="single"/>
        </w:rPr>
        <w:t>K bodu 11</w:t>
      </w:r>
    </w:p>
    <w:p w:rsidR="00ED6BD2" w:rsidP="00ED6BD2">
      <w:pPr>
        <w:bidi w:val="0"/>
        <w:jc w:val="both"/>
        <w:rPr>
          <w:rFonts w:ascii="Times New Roman" w:hAnsi="Times New Roman"/>
        </w:rPr>
      </w:pPr>
      <w:r w:rsidRPr="00AA575A">
        <w:rPr>
          <w:rFonts w:ascii="Times New Roman" w:hAnsi="Times New Roman"/>
        </w:rPr>
        <w:t xml:space="preserve">V zmysle </w:t>
      </w:r>
      <w:r>
        <w:rPr>
          <w:rFonts w:ascii="Times New Roman" w:hAnsi="Times New Roman"/>
        </w:rPr>
        <w:t xml:space="preserve">navrhovaného znenia § 18 ods. 6 nebude na poskytnutie nefinančnej podpory podľa § 2 písm. p) a q) právny nárok, rovnako ako je tomu aj v prípade poskytovania finančných prostriedkov na podporu audiovizuálnej kultúry. </w:t>
      </w:r>
    </w:p>
    <w:p w:rsidR="00ED6BD2" w:rsidP="00ED6BD2">
      <w:pPr>
        <w:bidi w:val="0"/>
        <w:jc w:val="both"/>
        <w:rPr>
          <w:rFonts w:ascii="Times New Roman" w:hAnsi="Times New Roman"/>
          <w:u w:val="single"/>
        </w:rPr>
      </w:pPr>
    </w:p>
    <w:p w:rsidR="00ED6BD2" w:rsidP="00ED6BD2">
      <w:pPr>
        <w:bidi w:val="0"/>
        <w:jc w:val="both"/>
        <w:rPr>
          <w:rFonts w:ascii="Times New Roman" w:hAnsi="Times New Roman"/>
          <w:u w:val="single"/>
        </w:rPr>
      </w:pPr>
      <w:r>
        <w:rPr>
          <w:rFonts w:ascii="Times New Roman" w:hAnsi="Times New Roman"/>
          <w:u w:val="single"/>
        </w:rPr>
        <w:t>K bodu 12</w:t>
      </w:r>
    </w:p>
    <w:p w:rsidR="00ED6BD2" w:rsidRPr="008D493D" w:rsidP="00ED6BD2">
      <w:pPr>
        <w:bidi w:val="0"/>
        <w:jc w:val="both"/>
        <w:rPr>
          <w:rFonts w:ascii="Times New Roman" w:hAnsi="Times New Roman"/>
        </w:rPr>
      </w:pPr>
      <w:r w:rsidRPr="008D493D">
        <w:rPr>
          <w:rFonts w:ascii="Times New Roman" w:hAnsi="Times New Roman"/>
        </w:rPr>
        <w:t xml:space="preserve">Z dôvodu potreby zosúladenia ustanovení zákona s pravidlami pre poskytovanie štátnej pomoci obsiahnutými v Nariadení Komisie (EÚ) č. 651/2014 zo 17. júna 2014 o vyhlásení určitých kategórií pomoci za zlučiteľné s vnútorným trhom podľa článkov 107 a 108 zmluvy (Ú. v. EÚ L 187, 26.6.2014) sa navrhuje v § 18 ods. 8 upraviť, že maximálnu výšku dotácie, ktorú môže AVF poskytnúť na výrobu audiovizuálneho diela, určí AVF vo svojom vnútornom predpise, pričom pri určovaní tejto maximálnej výšky dotácie je povinný rešpektovať ustanovenia uvedeného nariadenia upravujúce maximálnu intenzitu pomoci na produkciu audiovizuálneho diela.  </w:t>
      </w:r>
    </w:p>
    <w:p w:rsidR="00ED6BD2" w:rsidP="00ED6BD2">
      <w:pPr>
        <w:bidi w:val="0"/>
        <w:jc w:val="both"/>
        <w:rPr>
          <w:rFonts w:ascii="Times New Roman" w:hAnsi="Times New Roman"/>
          <w:u w:val="single"/>
        </w:rPr>
      </w:pPr>
    </w:p>
    <w:p w:rsidR="00ED6BD2" w:rsidP="00ED6BD2">
      <w:pPr>
        <w:bidi w:val="0"/>
        <w:jc w:val="both"/>
        <w:rPr>
          <w:rFonts w:ascii="Times New Roman" w:hAnsi="Times New Roman"/>
          <w:u w:val="single"/>
        </w:rPr>
      </w:pPr>
      <w:r>
        <w:rPr>
          <w:rFonts w:ascii="Times New Roman" w:hAnsi="Times New Roman"/>
          <w:u w:val="single"/>
        </w:rPr>
        <w:t>K bodu 13</w:t>
      </w:r>
    </w:p>
    <w:p w:rsidR="00ED6BD2" w:rsidP="00ED6BD2">
      <w:pPr>
        <w:bidi w:val="0"/>
        <w:jc w:val="both"/>
        <w:rPr>
          <w:rFonts w:ascii="Times New Roman" w:hAnsi="Times New Roman"/>
          <w:u w:val="single"/>
        </w:rPr>
      </w:pPr>
      <w:r w:rsidRPr="008D493D">
        <w:rPr>
          <w:rFonts w:ascii="Times New Roman" w:hAnsi="Times New Roman"/>
        </w:rPr>
        <w:t>Z dôvodu potreby zosúladenia ustanovení zákona s pravidlami pre poskytovanie štátnej pomoci obsiahnutými v Nariadení Komisie (EÚ) č. 651/2014 zo 17. júna 2014 o vyhlásení určitých kategórií pomoci za zlučiteľné s vnútorným trhom podľa článkov 107 a 108 zmluvy (Ú. v. EÚ L 187, 26.6.2014) sa navrhuje v</w:t>
      </w:r>
      <w:r>
        <w:rPr>
          <w:rFonts w:ascii="Times New Roman" w:hAnsi="Times New Roman"/>
        </w:rPr>
        <w:t>ypustenie odseku 9 v</w:t>
      </w:r>
      <w:r w:rsidRPr="008D493D">
        <w:rPr>
          <w:rFonts w:ascii="Times New Roman" w:hAnsi="Times New Roman"/>
        </w:rPr>
        <w:t xml:space="preserve"> § 18</w:t>
      </w:r>
      <w:r>
        <w:rPr>
          <w:rFonts w:ascii="Times New Roman" w:hAnsi="Times New Roman"/>
        </w:rPr>
        <w:t>.</w:t>
      </w:r>
      <w:r w:rsidRPr="008D493D">
        <w:rPr>
          <w:rFonts w:ascii="Times New Roman" w:hAnsi="Times New Roman"/>
        </w:rPr>
        <w:t xml:space="preserve"> </w:t>
      </w:r>
    </w:p>
    <w:p w:rsidR="00ED6BD2" w:rsidP="00ED6BD2">
      <w:pPr>
        <w:bidi w:val="0"/>
        <w:jc w:val="both"/>
        <w:rPr>
          <w:rFonts w:ascii="Times New Roman" w:hAnsi="Times New Roman"/>
          <w:u w:val="single"/>
        </w:rPr>
      </w:pPr>
    </w:p>
    <w:p w:rsidR="00ED6BD2" w:rsidRPr="0039541F" w:rsidP="00ED6BD2">
      <w:pPr>
        <w:bidi w:val="0"/>
        <w:jc w:val="both"/>
        <w:rPr>
          <w:rFonts w:ascii="Times New Roman" w:hAnsi="Times New Roman"/>
          <w:u w:val="single"/>
        </w:rPr>
      </w:pPr>
      <w:r>
        <w:rPr>
          <w:rFonts w:ascii="Times New Roman" w:hAnsi="Times New Roman"/>
          <w:u w:val="single"/>
        </w:rPr>
        <w:t>K bodu 15</w:t>
      </w:r>
    </w:p>
    <w:p w:rsidR="00ED6BD2" w:rsidRPr="00A254D6" w:rsidP="00ED6BD2">
      <w:pPr>
        <w:bidi w:val="0"/>
        <w:jc w:val="both"/>
        <w:rPr>
          <w:rFonts w:ascii="Times New Roman" w:hAnsi="Times New Roman"/>
        </w:rPr>
      </w:pPr>
      <w:r w:rsidRPr="00195605">
        <w:rPr>
          <w:rFonts w:ascii="Times New Roman" w:hAnsi="Times New Roman"/>
        </w:rPr>
        <w:t xml:space="preserve">Navrhuje sa </w:t>
      </w:r>
      <w:r>
        <w:rPr>
          <w:rFonts w:ascii="Times New Roman" w:hAnsi="Times New Roman"/>
        </w:rPr>
        <w:t>rozšíriť okruh žiadateľov o podporu audiovizuálnej kultúry, ktorým nie je možné poskytnúť finančné prostriedky AVF aj o žiadateľa, ktorý je majetkovo alebo personálne prepojený s osobou, ktorá nemá vysporiadané vzťahy s AVF. Dôvodom takéhoto návrhu je eliminovať v praxi sa vyskytujúce prípady, kedy si žiadateľ, ktorý nemá vysporiadané vzťahy s AVF, účelovo založí obchodnú spoločnosť, prípadne sa stane spoločníkom alebo konateľom právnickej osoby, cez ktorú následne žiada o poskytnutie finančných prostriedkov z AVF.</w:t>
      </w:r>
    </w:p>
    <w:p w:rsidR="00ED6BD2" w:rsidP="00ED6BD2">
      <w:pPr>
        <w:bidi w:val="0"/>
        <w:jc w:val="both"/>
        <w:rPr>
          <w:rFonts w:ascii="Times New Roman" w:hAnsi="Times New Roman"/>
          <w:u w:val="single"/>
        </w:rPr>
      </w:pPr>
    </w:p>
    <w:p w:rsidR="00ED6BD2" w:rsidP="00ED6BD2">
      <w:pPr>
        <w:bidi w:val="0"/>
        <w:jc w:val="both"/>
        <w:rPr>
          <w:rFonts w:ascii="Times New Roman" w:hAnsi="Times New Roman"/>
          <w:u w:val="single"/>
        </w:rPr>
      </w:pPr>
      <w:r>
        <w:rPr>
          <w:rFonts w:ascii="Times New Roman" w:hAnsi="Times New Roman"/>
          <w:u w:val="single"/>
        </w:rPr>
        <w:t>K bodu 17</w:t>
      </w:r>
    </w:p>
    <w:p w:rsidR="00ED6BD2" w:rsidRPr="004A1C17" w:rsidP="00ED6BD2">
      <w:pPr>
        <w:pStyle w:val="CommentText"/>
        <w:bidi w:val="0"/>
        <w:spacing w:line="276" w:lineRule="auto"/>
        <w:jc w:val="both"/>
        <w:rPr>
          <w:rFonts w:ascii="Times New Roman" w:hAnsi="Times New Roman"/>
        </w:rPr>
      </w:pPr>
      <w:r>
        <w:rPr>
          <w:rFonts w:ascii="Times New Roman" w:hAnsi="Times New Roman"/>
          <w:sz w:val="24"/>
          <w:szCs w:val="24"/>
        </w:rPr>
        <w:t xml:space="preserve">Platné znenie § 22 ods. 7 zákona upravuje, že </w:t>
      </w:r>
      <w:r w:rsidRPr="00064DBD">
        <w:rPr>
          <w:rFonts w:ascii="Times New Roman" w:hAnsi="Times New Roman"/>
          <w:sz w:val="24"/>
          <w:szCs w:val="24"/>
        </w:rPr>
        <w:t>v prípade pou</w:t>
      </w:r>
      <w:r>
        <w:rPr>
          <w:rFonts w:ascii="Times New Roman" w:hAnsi="Times New Roman"/>
          <w:sz w:val="24"/>
          <w:szCs w:val="24"/>
        </w:rPr>
        <w:t xml:space="preserve">žitia finančných prostriedkov v rozpore s účelom uvedeným v zmluve, je prijímateľ finančných prostriedkov na podporu audiovizuálnej </w:t>
      </w:r>
      <w:r w:rsidRPr="00064DBD">
        <w:rPr>
          <w:rFonts w:ascii="Times New Roman" w:hAnsi="Times New Roman"/>
          <w:sz w:val="24"/>
          <w:szCs w:val="24"/>
        </w:rPr>
        <w:t xml:space="preserve">kultúry </w:t>
      </w:r>
      <w:r>
        <w:rPr>
          <w:rFonts w:ascii="Times New Roman" w:hAnsi="Times New Roman"/>
          <w:sz w:val="24"/>
          <w:szCs w:val="24"/>
        </w:rPr>
        <w:t xml:space="preserve">povinný vrátiť všetky neoprávnene použité finančné prostriedky a zároveň zaplatiť AVF pokutu za každý začatý deň neoprávneného použitia poskytnutých finančných prostriedkov. Z dôvodu výkladových problémov, týkajúcich sa určenia momentu od ktorého sú poskytnuté finančné prostriedky použité neoprávnene, sa navrhuje preformulovať znenie uvedeného ustanovenia zákona tak, aby bolo jednoznačné od ktorého dňa sa má počítať výška pokuty. V zmysle navrhovaného znenia bude prijímateľ </w:t>
      </w:r>
      <w:r w:rsidRPr="00AB2224">
        <w:rPr>
          <w:rFonts w:ascii="Times New Roman" w:hAnsi="Times New Roman"/>
          <w:sz w:val="24"/>
          <w:szCs w:val="24"/>
        </w:rPr>
        <w:t xml:space="preserve">finančných prostriedkov povinný vrátiť </w:t>
      </w:r>
      <w:r>
        <w:rPr>
          <w:rFonts w:ascii="Times New Roman" w:hAnsi="Times New Roman"/>
          <w:sz w:val="24"/>
          <w:szCs w:val="24"/>
        </w:rPr>
        <w:t xml:space="preserve">AVF </w:t>
      </w:r>
      <w:r w:rsidRPr="00AB2224">
        <w:rPr>
          <w:rFonts w:ascii="Times New Roman" w:hAnsi="Times New Roman"/>
          <w:sz w:val="24"/>
          <w:szCs w:val="24"/>
        </w:rPr>
        <w:t>všetky neoprávnene použité finančné prostriedky</w:t>
      </w:r>
      <w:r w:rsidRPr="003C6ECA">
        <w:rPr>
          <w:rFonts w:ascii="Times New Roman" w:hAnsi="Times New Roman"/>
          <w:sz w:val="24"/>
          <w:szCs w:val="24"/>
        </w:rPr>
        <w:t xml:space="preserve"> v lehote určenej </w:t>
      </w:r>
      <w:r>
        <w:rPr>
          <w:rFonts w:ascii="Times New Roman" w:hAnsi="Times New Roman"/>
          <w:sz w:val="24"/>
          <w:szCs w:val="24"/>
        </w:rPr>
        <w:t>AVF</w:t>
      </w:r>
      <w:r w:rsidRPr="00AB2224">
        <w:rPr>
          <w:rFonts w:ascii="Times New Roman" w:hAnsi="Times New Roman"/>
          <w:sz w:val="24"/>
          <w:szCs w:val="24"/>
        </w:rPr>
        <w:t xml:space="preserve">. V prípade </w:t>
      </w:r>
      <w:r>
        <w:rPr>
          <w:rFonts w:ascii="Times New Roman" w:hAnsi="Times New Roman"/>
          <w:sz w:val="24"/>
          <w:szCs w:val="24"/>
        </w:rPr>
        <w:t>nesplnenia tejto povinnosti</w:t>
      </w:r>
      <w:r w:rsidRPr="00AB2224">
        <w:rPr>
          <w:rFonts w:ascii="Times New Roman" w:hAnsi="Times New Roman"/>
          <w:sz w:val="24"/>
          <w:szCs w:val="24"/>
        </w:rPr>
        <w:t xml:space="preserve"> </w:t>
      </w:r>
      <w:r>
        <w:rPr>
          <w:rFonts w:ascii="Times New Roman" w:hAnsi="Times New Roman"/>
          <w:sz w:val="24"/>
          <w:szCs w:val="24"/>
        </w:rPr>
        <w:t>bude</w:t>
      </w:r>
      <w:r w:rsidRPr="00AB2224">
        <w:rPr>
          <w:rFonts w:ascii="Times New Roman" w:hAnsi="Times New Roman"/>
          <w:sz w:val="24"/>
          <w:szCs w:val="24"/>
        </w:rPr>
        <w:t xml:space="preserve"> </w:t>
      </w:r>
      <w:r>
        <w:rPr>
          <w:rFonts w:ascii="Times New Roman" w:hAnsi="Times New Roman"/>
          <w:sz w:val="24"/>
          <w:szCs w:val="24"/>
        </w:rPr>
        <w:t>prijímateľ povinný</w:t>
      </w:r>
      <w:r w:rsidRPr="00AB2224">
        <w:rPr>
          <w:rFonts w:ascii="Times New Roman" w:hAnsi="Times New Roman"/>
          <w:sz w:val="24"/>
          <w:szCs w:val="24"/>
        </w:rPr>
        <w:t xml:space="preserve"> zaplatiť </w:t>
      </w:r>
      <w:r>
        <w:rPr>
          <w:rFonts w:ascii="Times New Roman" w:hAnsi="Times New Roman"/>
          <w:sz w:val="24"/>
          <w:szCs w:val="24"/>
        </w:rPr>
        <w:t>AVF</w:t>
      </w:r>
      <w:r w:rsidRPr="00AB2224">
        <w:rPr>
          <w:rFonts w:ascii="Times New Roman" w:hAnsi="Times New Roman"/>
          <w:sz w:val="24"/>
          <w:szCs w:val="24"/>
        </w:rPr>
        <w:t xml:space="preserve"> pokutu v</w:t>
      </w:r>
      <w:r>
        <w:rPr>
          <w:rFonts w:ascii="Times New Roman" w:hAnsi="Times New Roman"/>
          <w:sz w:val="24"/>
          <w:szCs w:val="24"/>
        </w:rPr>
        <w:t>o výške</w:t>
      </w:r>
      <w:r w:rsidRPr="00AB2224">
        <w:rPr>
          <w:rFonts w:ascii="Times New Roman" w:hAnsi="Times New Roman"/>
          <w:sz w:val="24"/>
          <w:szCs w:val="24"/>
        </w:rPr>
        <w:t xml:space="preserve"> 0,05</w:t>
      </w:r>
      <w:r>
        <w:rPr>
          <w:rFonts w:ascii="Times New Roman" w:hAnsi="Times New Roman"/>
          <w:sz w:val="24"/>
          <w:szCs w:val="24"/>
        </w:rPr>
        <w:t xml:space="preserve"> </w:t>
      </w:r>
      <w:r w:rsidRPr="00AB2224">
        <w:rPr>
          <w:rFonts w:ascii="Times New Roman" w:hAnsi="Times New Roman"/>
          <w:sz w:val="24"/>
          <w:szCs w:val="24"/>
        </w:rPr>
        <w:t>% z neoprávnene použitých finančných prostriedkov za každý začatý deň omeškania až do ich vrátenia</w:t>
      </w:r>
      <w:r w:rsidRPr="004A2631">
        <w:rPr>
          <w:rFonts w:ascii="Times New Roman" w:hAnsi="Times New Roman"/>
          <w:sz w:val="24"/>
          <w:szCs w:val="24"/>
        </w:rPr>
        <w:t xml:space="preserve"> </w:t>
      </w:r>
      <w:r>
        <w:rPr>
          <w:rFonts w:ascii="Times New Roman" w:hAnsi="Times New Roman"/>
          <w:sz w:val="24"/>
          <w:szCs w:val="24"/>
        </w:rPr>
        <w:t xml:space="preserve">AVF. </w:t>
      </w:r>
      <w:r w:rsidRPr="004A1C17">
        <w:rPr>
          <w:rFonts w:ascii="Times New Roman" w:hAnsi="Times New Roman"/>
          <w:sz w:val="24"/>
          <w:szCs w:val="24"/>
        </w:rPr>
        <w:t xml:space="preserve">Prvým dňom omeškania je deň nasledujúci po uplynutí lehoty určenej </w:t>
      </w:r>
      <w:r>
        <w:rPr>
          <w:rFonts w:ascii="Times New Roman" w:hAnsi="Times New Roman"/>
          <w:sz w:val="24"/>
          <w:szCs w:val="24"/>
        </w:rPr>
        <w:t>AVF</w:t>
      </w:r>
      <w:r w:rsidRPr="004A1C17">
        <w:rPr>
          <w:rFonts w:ascii="Times New Roman" w:hAnsi="Times New Roman"/>
          <w:sz w:val="24"/>
          <w:szCs w:val="24"/>
        </w:rPr>
        <w:t xml:space="preserve">. </w:t>
      </w:r>
    </w:p>
    <w:p w:rsidR="00ED6BD2" w:rsidP="00ED6BD2">
      <w:pPr>
        <w:bidi w:val="0"/>
        <w:jc w:val="both"/>
        <w:rPr>
          <w:rFonts w:ascii="Times New Roman" w:hAnsi="Times New Roman"/>
          <w:u w:val="single"/>
        </w:rPr>
      </w:pPr>
    </w:p>
    <w:p w:rsidR="00ED6BD2" w:rsidP="00ED6BD2">
      <w:pPr>
        <w:bidi w:val="0"/>
        <w:jc w:val="both"/>
        <w:rPr>
          <w:rFonts w:ascii="Times New Roman" w:hAnsi="Times New Roman"/>
          <w:u w:val="single"/>
        </w:rPr>
      </w:pPr>
      <w:r w:rsidRPr="00E54543">
        <w:rPr>
          <w:rFonts w:ascii="Times New Roman" w:hAnsi="Times New Roman"/>
          <w:u w:val="single"/>
        </w:rPr>
        <w:t xml:space="preserve">K bodu </w:t>
      </w:r>
      <w:r>
        <w:rPr>
          <w:rFonts w:ascii="Times New Roman" w:hAnsi="Times New Roman"/>
          <w:u w:val="single"/>
        </w:rPr>
        <w:t>19</w:t>
      </w:r>
      <w:r w:rsidRPr="00E54543">
        <w:rPr>
          <w:rFonts w:ascii="Times New Roman" w:hAnsi="Times New Roman"/>
          <w:u w:val="single"/>
        </w:rPr>
        <w:t xml:space="preserve"> </w:t>
      </w:r>
    </w:p>
    <w:p w:rsidR="00ED6BD2" w:rsidRPr="004A1C17" w:rsidP="00ED6BD2">
      <w:pPr>
        <w:bidi w:val="0"/>
        <w:jc w:val="both"/>
        <w:rPr>
          <w:rFonts w:ascii="Times New Roman" w:hAnsi="Times New Roman"/>
        </w:rPr>
      </w:pPr>
      <w:r>
        <w:rPr>
          <w:rFonts w:ascii="Times New Roman" w:hAnsi="Times New Roman"/>
        </w:rPr>
        <w:t>Navrhuje sa, aby všeobecne záväzný právny predpis, ktorý vydá ministerstvo, neupravoval len minimálny časový rozsah filmového projektu, ale aby mohol ustanoviť aj jeho maximálny rozsah, napríklad ustanovením maximálneho počtu častí audiovizuálneho diela.</w:t>
      </w:r>
    </w:p>
    <w:p w:rsidR="00ED6BD2" w:rsidP="00ED6BD2">
      <w:pPr>
        <w:bidi w:val="0"/>
        <w:jc w:val="both"/>
        <w:rPr>
          <w:rFonts w:ascii="Times New Roman" w:hAnsi="Times New Roman"/>
          <w:u w:val="single"/>
        </w:rPr>
      </w:pPr>
    </w:p>
    <w:p w:rsidR="00ED6BD2" w:rsidP="00ED6BD2">
      <w:pPr>
        <w:bidi w:val="0"/>
        <w:jc w:val="both"/>
        <w:rPr>
          <w:rFonts w:ascii="Times New Roman" w:hAnsi="Times New Roman"/>
          <w:u w:val="single"/>
        </w:rPr>
      </w:pPr>
      <w:r w:rsidRPr="00E54543">
        <w:rPr>
          <w:rFonts w:ascii="Times New Roman" w:hAnsi="Times New Roman"/>
          <w:u w:val="single"/>
        </w:rPr>
        <w:t xml:space="preserve">K bodu </w:t>
      </w:r>
      <w:r>
        <w:rPr>
          <w:rFonts w:ascii="Times New Roman" w:hAnsi="Times New Roman"/>
          <w:u w:val="single"/>
        </w:rPr>
        <w:t>20</w:t>
      </w:r>
    </w:p>
    <w:p w:rsidR="00ED6BD2" w:rsidP="00ED6BD2">
      <w:pPr>
        <w:bidi w:val="0"/>
        <w:jc w:val="both"/>
        <w:rPr>
          <w:rFonts w:ascii="Times New Roman" w:hAnsi="Times New Roman"/>
        </w:rPr>
      </w:pPr>
      <w:r>
        <w:rPr>
          <w:rFonts w:ascii="Times New Roman" w:hAnsi="Times New Roman"/>
        </w:rPr>
        <w:t xml:space="preserve">Opravuje sa nejednotné používanie pojmov „realizácia“ a „vytvorenie“ filmového projektu v ustanovení § 22a.  </w:t>
      </w:r>
    </w:p>
    <w:p w:rsidR="00ED6BD2" w:rsidP="00ED6BD2">
      <w:pPr>
        <w:bidi w:val="0"/>
        <w:jc w:val="both"/>
        <w:rPr>
          <w:rFonts w:ascii="Times New Roman" w:hAnsi="Times New Roman"/>
          <w:u w:val="single"/>
        </w:rPr>
      </w:pPr>
    </w:p>
    <w:p w:rsidR="00ED6BD2" w:rsidP="00ED6BD2">
      <w:pPr>
        <w:bidi w:val="0"/>
        <w:jc w:val="both"/>
        <w:rPr>
          <w:rFonts w:ascii="Times New Roman" w:hAnsi="Times New Roman"/>
          <w:u w:val="single"/>
        </w:rPr>
      </w:pPr>
      <w:r w:rsidRPr="000736D4">
        <w:rPr>
          <w:rFonts w:ascii="Times New Roman" w:hAnsi="Times New Roman"/>
          <w:u w:val="single"/>
        </w:rPr>
        <w:t xml:space="preserve">K bodu </w:t>
      </w:r>
      <w:r>
        <w:rPr>
          <w:rFonts w:ascii="Times New Roman" w:hAnsi="Times New Roman"/>
          <w:u w:val="single"/>
        </w:rPr>
        <w:t>21</w:t>
      </w:r>
    </w:p>
    <w:p w:rsidR="00ED6BD2" w:rsidRPr="000736D4" w:rsidP="00ED6BD2">
      <w:pPr>
        <w:bidi w:val="0"/>
        <w:jc w:val="both"/>
        <w:rPr>
          <w:rFonts w:ascii="Times New Roman" w:hAnsi="Times New Roman"/>
        </w:rPr>
      </w:pPr>
      <w:r>
        <w:rPr>
          <w:rFonts w:ascii="Times New Roman" w:hAnsi="Times New Roman"/>
        </w:rPr>
        <w:t xml:space="preserve">Navrhuje sa precizovať, čo možno rozumieť pod oprávnenými výdavkami na účely poskytovania </w:t>
      </w:r>
      <w:r w:rsidRPr="00D64861">
        <w:rPr>
          <w:rFonts w:ascii="Times New Roman" w:hAnsi="Times New Roman"/>
        </w:rPr>
        <w:t>finančných prostriedkov na podporu audiovizuálneho priemyslu</w:t>
      </w:r>
      <w:r>
        <w:rPr>
          <w:rFonts w:ascii="Times New Roman" w:hAnsi="Times New Roman"/>
        </w:rPr>
        <w:t>. Výdavkom, ktorý priamo súvisí</w:t>
      </w:r>
      <w:r w:rsidRPr="00D64861">
        <w:rPr>
          <w:rFonts w:ascii="Times New Roman" w:hAnsi="Times New Roman"/>
        </w:rPr>
        <w:t xml:space="preserve"> s realizáciou filmového projektu</w:t>
      </w:r>
      <w:r>
        <w:rPr>
          <w:rFonts w:ascii="Times New Roman" w:hAnsi="Times New Roman"/>
        </w:rPr>
        <w:t xml:space="preserve"> je popri úhrade odmeny nielen úhrada mzdy fyzickej osobe, ale úhrada celkovej ceny práce, ktorú v zmysle § 130 ods. 5 Zákonníka práce tvorí </w:t>
      </w:r>
      <w:r w:rsidRPr="001D009B">
        <w:rPr>
          <w:rFonts w:ascii="Times New Roman" w:hAnsi="Times New Roman"/>
        </w:rPr>
        <w:t>mzda vrátane náhrady mzdy a náhrady za pracovnú pohotovosť a osobitne v členení preddavok poistného na zdravotné poistenie, poistné na nemocenské poistenie, poistné na starobné poistenie, poistné na invalidné poistenie, poistné na poistenie v nezamestnanosti, poistné na garančné poistenie, poistné na úrazové poistenie, poistné do rezervného fondu solidarity a príspevok na starobné dôchodkové sporenie, ktoré platí zamestnávateľ</w:t>
      </w:r>
      <w:r>
        <w:rPr>
          <w:rFonts w:ascii="Times New Roman" w:hAnsi="Times New Roman"/>
        </w:rPr>
        <w:t xml:space="preserve">. Z toho vyplýva, že pojem celková cena práce, na rozdiel od doteraz používaného pojmu mzda, adekvátnejšie zodpovedá výdavkom vynaloženým v súvislosti s </w:t>
      </w:r>
      <w:r w:rsidRPr="001E3D5A">
        <w:rPr>
          <w:rFonts w:ascii="Times New Roman" w:hAnsi="Times New Roman"/>
        </w:rPr>
        <w:t>realizáciou filmového projektu</w:t>
      </w:r>
      <w:r>
        <w:rPr>
          <w:rFonts w:ascii="Times New Roman" w:hAnsi="Times New Roman"/>
        </w:rPr>
        <w:t>. Podmienka zdaňovania fyzickej osoby v Slovenskej republike zostáva zachovaná.</w:t>
      </w:r>
    </w:p>
    <w:p w:rsidR="00ED6BD2" w:rsidP="00ED6BD2">
      <w:pPr>
        <w:bidi w:val="0"/>
        <w:jc w:val="both"/>
        <w:rPr>
          <w:rFonts w:ascii="Times New Roman" w:hAnsi="Times New Roman"/>
          <w:u w:val="single"/>
        </w:rPr>
      </w:pPr>
    </w:p>
    <w:p w:rsidR="00ED6BD2" w:rsidRPr="002E3151" w:rsidP="00ED6BD2">
      <w:pPr>
        <w:bidi w:val="0"/>
        <w:jc w:val="both"/>
        <w:rPr>
          <w:rFonts w:ascii="Times New Roman" w:hAnsi="Times New Roman"/>
          <w:u w:val="single"/>
        </w:rPr>
      </w:pPr>
      <w:r w:rsidRPr="002E3151">
        <w:rPr>
          <w:rFonts w:ascii="Times New Roman" w:hAnsi="Times New Roman"/>
          <w:u w:val="single"/>
        </w:rPr>
        <w:t xml:space="preserve">K bodu </w:t>
      </w:r>
      <w:r>
        <w:rPr>
          <w:rFonts w:ascii="Times New Roman" w:hAnsi="Times New Roman"/>
          <w:u w:val="single"/>
        </w:rPr>
        <w:t>22</w:t>
      </w:r>
    </w:p>
    <w:p w:rsidR="00ED6BD2" w:rsidP="00ED6BD2">
      <w:pPr>
        <w:bidi w:val="0"/>
        <w:jc w:val="both"/>
        <w:rPr>
          <w:rFonts w:ascii="Times New Roman" w:hAnsi="Times New Roman"/>
        </w:rPr>
      </w:pPr>
      <w:r>
        <w:rPr>
          <w:rFonts w:ascii="Times New Roman" w:hAnsi="Times New Roman"/>
        </w:rPr>
        <w:t xml:space="preserve">Dôvodom navrhovanej úpravy je precizovať, čo možno započítať do celkovej sumy oprávnených výdavkov. Finančné prostriedky poskytnuté formou pôžičky, bez ohľadu na to z akých zdrojov boli poskytnuté, sa momentom ich prenechania veriteľom dlžníkovi stávajú vlastníctvom dlžníka a </w:t>
      </w:r>
      <w:r w:rsidRPr="0016781F">
        <w:rPr>
          <w:rFonts w:ascii="Times New Roman" w:hAnsi="Times New Roman"/>
        </w:rPr>
        <w:t>dlžník sa zaväzuje vrátiť</w:t>
      </w:r>
      <w:r>
        <w:rPr>
          <w:rFonts w:ascii="Times New Roman" w:hAnsi="Times New Roman"/>
        </w:rPr>
        <w:t xml:space="preserve"> ich</w:t>
      </w:r>
      <w:r w:rsidRPr="0016781F">
        <w:rPr>
          <w:rFonts w:ascii="Times New Roman" w:hAnsi="Times New Roman"/>
        </w:rPr>
        <w:t xml:space="preserve"> po uplynutí dohodnutej doby</w:t>
      </w:r>
      <w:r>
        <w:rPr>
          <w:rFonts w:ascii="Times New Roman" w:hAnsi="Times New Roman"/>
        </w:rPr>
        <w:t xml:space="preserve">. Dlžník nie je povinný veriteľovi vyúčtovať na aký účel požičané finančné prostriedky použil. Preto výdavky uhradené z pôžičky možno započítať do celkovej sumy oprávnených výdavkov, ak spĺňajú podmienky podľa § 22a ods. 3 zákona.  </w:t>
      </w:r>
    </w:p>
    <w:p w:rsidR="00ED6BD2" w:rsidP="00ED6BD2">
      <w:pPr>
        <w:bidi w:val="0"/>
        <w:jc w:val="both"/>
        <w:rPr>
          <w:rFonts w:ascii="Times New Roman" w:hAnsi="Times New Roman"/>
          <w:u w:val="single"/>
        </w:rPr>
      </w:pPr>
    </w:p>
    <w:p w:rsidR="00ED6BD2" w:rsidP="00ED6BD2">
      <w:pPr>
        <w:bidi w:val="0"/>
        <w:jc w:val="both"/>
        <w:rPr>
          <w:rFonts w:ascii="Times New Roman" w:hAnsi="Times New Roman"/>
          <w:u w:val="single"/>
        </w:rPr>
      </w:pPr>
      <w:r>
        <w:rPr>
          <w:rFonts w:ascii="Times New Roman" w:hAnsi="Times New Roman"/>
          <w:u w:val="single"/>
        </w:rPr>
        <w:t>K bodu 24</w:t>
      </w:r>
    </w:p>
    <w:p w:rsidR="00ED6BD2" w:rsidP="00ED6BD2">
      <w:pPr>
        <w:bidi w:val="0"/>
        <w:jc w:val="both"/>
        <w:rPr>
          <w:rFonts w:ascii="Times New Roman" w:hAnsi="Times New Roman"/>
        </w:rPr>
      </w:pPr>
      <w:r w:rsidRPr="00AF216E">
        <w:rPr>
          <w:rFonts w:ascii="Times New Roman" w:hAnsi="Times New Roman"/>
        </w:rPr>
        <w:t xml:space="preserve">Z dôvodu zníženia administratívnej záťaže </w:t>
      </w:r>
      <w:r>
        <w:rPr>
          <w:rFonts w:ascii="Times New Roman" w:hAnsi="Times New Roman"/>
        </w:rPr>
        <w:t>AVF</w:t>
      </w:r>
      <w:r w:rsidRPr="00AF216E">
        <w:rPr>
          <w:rFonts w:ascii="Times New Roman" w:hAnsi="Times New Roman"/>
        </w:rPr>
        <w:t xml:space="preserve"> sa navrhuje, aby potvrdenie o oprávnených výdavkoch mohlo byť priamo súčasťou zmluvy o poskytnutí finančných prostriedkov na podporu audiovizuálneho priemyslu, keďže </w:t>
      </w:r>
      <w:r>
        <w:rPr>
          <w:rFonts w:ascii="Times New Roman" w:hAnsi="Times New Roman"/>
        </w:rPr>
        <w:t>AVF</w:t>
      </w:r>
      <w:r w:rsidRPr="00AF216E">
        <w:rPr>
          <w:rFonts w:ascii="Times New Roman" w:hAnsi="Times New Roman"/>
        </w:rPr>
        <w:t xml:space="preserve"> toto potvrdenie a návrh zmluvy zasiela žiadateľovi o podporu audiovizuálneho priemyslu súčasne. </w:t>
      </w:r>
    </w:p>
    <w:p w:rsidR="00ED6BD2" w:rsidP="00ED6BD2">
      <w:pPr>
        <w:bidi w:val="0"/>
        <w:jc w:val="both"/>
        <w:rPr>
          <w:rFonts w:ascii="Times New Roman" w:hAnsi="Times New Roman"/>
          <w:u w:val="single"/>
        </w:rPr>
      </w:pPr>
    </w:p>
    <w:p w:rsidR="00ED6BD2" w:rsidRPr="00DA05FE" w:rsidP="00ED6BD2">
      <w:pPr>
        <w:bidi w:val="0"/>
        <w:jc w:val="both"/>
        <w:rPr>
          <w:rFonts w:ascii="Times New Roman" w:hAnsi="Times New Roman"/>
          <w:u w:val="single"/>
        </w:rPr>
      </w:pPr>
      <w:r>
        <w:rPr>
          <w:rFonts w:ascii="Times New Roman" w:hAnsi="Times New Roman"/>
          <w:u w:val="single"/>
        </w:rPr>
        <w:t>K bodu 25</w:t>
      </w:r>
    </w:p>
    <w:p w:rsidR="00ED6BD2" w:rsidRPr="001E3D5A" w:rsidP="00ED6BD2">
      <w:pPr>
        <w:bidi w:val="0"/>
        <w:jc w:val="both"/>
        <w:rPr>
          <w:rFonts w:ascii="Times New Roman" w:hAnsi="Times New Roman"/>
        </w:rPr>
      </w:pPr>
      <w:r w:rsidRPr="00DA05FE">
        <w:rPr>
          <w:rFonts w:ascii="Times New Roman" w:hAnsi="Times New Roman"/>
        </w:rPr>
        <w:t xml:space="preserve">Upravuje sa účel spracúvania osobných údajov, okruh dotknutých osôb a zoznam osobných údajov, ktoré je </w:t>
      </w:r>
      <w:r>
        <w:rPr>
          <w:rFonts w:ascii="Times New Roman" w:hAnsi="Times New Roman"/>
        </w:rPr>
        <w:t>AVF</w:t>
      </w:r>
      <w:r w:rsidRPr="00DA05FE">
        <w:rPr>
          <w:rFonts w:ascii="Times New Roman" w:hAnsi="Times New Roman"/>
        </w:rPr>
        <w:t xml:space="preserve"> oprávnený spracúvať tak</w:t>
      </w:r>
      <w:r>
        <w:rPr>
          <w:rFonts w:ascii="Times New Roman" w:hAnsi="Times New Roman"/>
        </w:rPr>
        <w:t>,</w:t>
      </w:r>
      <w:r w:rsidRPr="00DA05FE">
        <w:rPr>
          <w:rFonts w:ascii="Times New Roman" w:hAnsi="Times New Roman"/>
        </w:rPr>
        <w:t xml:space="preserve"> aby spracúvanie osobných údajov </w:t>
      </w:r>
      <w:r>
        <w:rPr>
          <w:rFonts w:ascii="Times New Roman" w:hAnsi="Times New Roman"/>
        </w:rPr>
        <w:t>AVF</w:t>
      </w:r>
      <w:r w:rsidRPr="00DA05FE">
        <w:rPr>
          <w:rFonts w:ascii="Times New Roman" w:hAnsi="Times New Roman"/>
        </w:rPr>
        <w:t xml:space="preserve"> bolo v súlade so zákonom č. 1</w:t>
      </w:r>
      <w:r>
        <w:rPr>
          <w:rFonts w:ascii="Times New Roman" w:hAnsi="Times New Roman"/>
        </w:rPr>
        <w:t>8</w:t>
      </w:r>
      <w:r w:rsidRPr="00DA05FE">
        <w:rPr>
          <w:rFonts w:ascii="Times New Roman" w:hAnsi="Times New Roman"/>
        </w:rPr>
        <w:t>/201</w:t>
      </w:r>
      <w:r>
        <w:rPr>
          <w:rFonts w:ascii="Times New Roman" w:hAnsi="Times New Roman"/>
        </w:rPr>
        <w:t>8</w:t>
      </w:r>
      <w:r w:rsidRPr="00DA05FE">
        <w:rPr>
          <w:rFonts w:ascii="Times New Roman" w:hAnsi="Times New Roman"/>
        </w:rPr>
        <w:t xml:space="preserve"> Z.</w:t>
      </w:r>
      <w:r>
        <w:rPr>
          <w:rFonts w:ascii="Times New Roman" w:hAnsi="Times New Roman"/>
        </w:rPr>
        <w:t xml:space="preserve"> </w:t>
      </w:r>
      <w:r w:rsidRPr="00DA05FE">
        <w:rPr>
          <w:rFonts w:ascii="Times New Roman" w:hAnsi="Times New Roman"/>
        </w:rPr>
        <w:t>z. o ochrane osobných údajov</w:t>
      </w:r>
      <w:r>
        <w:rPr>
          <w:rFonts w:ascii="Times New Roman" w:hAnsi="Times New Roman"/>
        </w:rPr>
        <w:t xml:space="preserve"> </w:t>
      </w:r>
      <w:r w:rsidRPr="001E3D5A">
        <w:rPr>
          <w:rFonts w:ascii="Times New Roman" w:hAnsi="Times New Roman"/>
        </w:rPr>
        <w:t>a o zmene</w:t>
      </w:r>
      <w:r>
        <w:rPr>
          <w:rFonts w:ascii="Times New Roman" w:hAnsi="Times New Roman"/>
        </w:rPr>
        <w:t xml:space="preserve"> a doplnení niektorých zákonov a nariadením</w:t>
      </w:r>
      <w:r w:rsidRPr="001E3D5A">
        <w:rPr>
          <w:rFonts w:ascii="Times New Roman" w:hAnsi="Times New Roman"/>
        </w:rPr>
        <w:t xml:space="preserve"> Európskeho parlamentu a Rady (EÚ) 2016/679 z 27. apríla 2016 o ochrane fyzických osôb pri spracúvaní osobných údajov a o voľnom pohybe takýchto údajov, ktorým sa zrušuje smernica 95/46/ES (všeobecné nariadenie o ochrane údajov) (Ú. v. EÚ L 119, 4. 5. 2016)</w:t>
      </w:r>
      <w:r w:rsidRPr="00DA05FE">
        <w:rPr>
          <w:rFonts w:ascii="Times New Roman" w:hAnsi="Times New Roman"/>
        </w:rPr>
        <w:t>.</w:t>
      </w:r>
    </w:p>
    <w:p w:rsidR="00ED6BD2" w:rsidP="00ED6BD2">
      <w:pPr>
        <w:bidi w:val="0"/>
        <w:jc w:val="both"/>
        <w:rPr>
          <w:rFonts w:ascii="Times New Roman" w:hAnsi="Times New Roman"/>
          <w:u w:val="single"/>
        </w:rPr>
      </w:pPr>
    </w:p>
    <w:p w:rsidR="00ED6BD2" w:rsidP="00ED6BD2">
      <w:pPr>
        <w:bidi w:val="0"/>
        <w:jc w:val="both"/>
        <w:rPr>
          <w:rFonts w:ascii="Times New Roman" w:hAnsi="Times New Roman"/>
          <w:u w:val="single"/>
        </w:rPr>
      </w:pPr>
      <w:r w:rsidRPr="00344B87">
        <w:rPr>
          <w:rFonts w:ascii="Times New Roman" w:hAnsi="Times New Roman"/>
          <w:u w:val="single"/>
        </w:rPr>
        <w:t>K bodu 2</w:t>
      </w:r>
      <w:r>
        <w:rPr>
          <w:rFonts w:ascii="Times New Roman" w:hAnsi="Times New Roman"/>
          <w:u w:val="single"/>
        </w:rPr>
        <w:t>6</w:t>
      </w:r>
    </w:p>
    <w:p w:rsidR="00ED6BD2" w:rsidP="00ED6BD2">
      <w:pPr>
        <w:bidi w:val="0"/>
        <w:jc w:val="both"/>
        <w:rPr>
          <w:rFonts w:ascii="Times New Roman" w:hAnsi="Times New Roman"/>
        </w:rPr>
      </w:pPr>
      <w:r>
        <w:rPr>
          <w:rFonts w:ascii="Times New Roman" w:hAnsi="Times New Roman"/>
        </w:rPr>
        <w:t>Dopĺňa sa pomenovanie (</w:t>
      </w:r>
      <w:r w:rsidRPr="004802C9">
        <w:rPr>
          <w:rFonts w:ascii="Times New Roman" w:hAnsi="Times New Roman"/>
          <w:i/>
        </w:rPr>
        <w:t>expressis verbis</w:t>
      </w:r>
      <w:r>
        <w:rPr>
          <w:rFonts w:ascii="Times New Roman" w:hAnsi="Times New Roman"/>
        </w:rPr>
        <w:t xml:space="preserve">) dvoch príjmov AVF, ktoré boli doteraz zahrnuté pod tzv. iné príjmy, a to </w:t>
      </w:r>
      <w:r w:rsidRPr="00E50E86">
        <w:rPr>
          <w:rFonts w:ascii="Times New Roman" w:hAnsi="Times New Roman"/>
        </w:rPr>
        <w:t xml:space="preserve">vratky nepoužitých alebo neoprávnene použitých finančných prostriedkov poskytnutých </w:t>
      </w:r>
      <w:r>
        <w:rPr>
          <w:rFonts w:ascii="Times New Roman" w:hAnsi="Times New Roman"/>
        </w:rPr>
        <w:t>AVF</w:t>
      </w:r>
      <w:r w:rsidRPr="00E50E86">
        <w:rPr>
          <w:rFonts w:ascii="Times New Roman" w:hAnsi="Times New Roman"/>
        </w:rPr>
        <w:t xml:space="preserve"> podľa tohto zákona</w:t>
      </w:r>
      <w:r>
        <w:rPr>
          <w:rFonts w:ascii="Times New Roman" w:hAnsi="Times New Roman"/>
        </w:rPr>
        <w:t xml:space="preserve"> a</w:t>
      </w:r>
      <w:r w:rsidRPr="00E50E86">
        <w:rPr>
          <w:rFonts w:ascii="Times New Roman" w:hAnsi="Times New Roman"/>
        </w:rPr>
        <w:t xml:space="preserve"> splátky istiny pôžičiek poskytnutých </w:t>
      </w:r>
      <w:r>
        <w:rPr>
          <w:rFonts w:ascii="Times New Roman" w:hAnsi="Times New Roman"/>
        </w:rPr>
        <w:t>z finančných prostriedkov</w:t>
      </w:r>
      <w:r w:rsidRPr="00276685">
        <w:rPr>
          <w:rFonts w:ascii="Times New Roman" w:hAnsi="Times New Roman"/>
        </w:rPr>
        <w:t xml:space="preserve"> </w:t>
      </w:r>
      <w:r>
        <w:rPr>
          <w:rFonts w:ascii="Times New Roman" w:hAnsi="Times New Roman"/>
        </w:rPr>
        <w:t>AVF. Zároveň sa spresňuje vymedzenie jednotlivých príjmov AVF z hľadiska ich použitia AVF na podpornú činnosť, resp. na vlastnú prevádzku AVF.</w:t>
      </w:r>
    </w:p>
    <w:p w:rsidR="00ED6BD2" w:rsidP="00ED6BD2">
      <w:pPr>
        <w:bidi w:val="0"/>
        <w:jc w:val="both"/>
        <w:rPr>
          <w:rFonts w:ascii="Times New Roman" w:hAnsi="Times New Roman"/>
        </w:rPr>
      </w:pPr>
      <w:r w:rsidRPr="0061724F">
        <w:rPr>
          <w:rFonts w:ascii="Times New Roman" w:hAnsi="Times New Roman"/>
        </w:rPr>
        <w:t xml:space="preserve">Zároveň sa spresňuje režim príspevku zo štátneho rozpočtu s tým, že príspevky zo štátneho rozpočtu poskytnuté </w:t>
      </w:r>
      <w:r>
        <w:rPr>
          <w:rFonts w:ascii="Times New Roman" w:hAnsi="Times New Roman"/>
        </w:rPr>
        <w:t>AVF</w:t>
      </w:r>
      <w:r w:rsidRPr="0061724F">
        <w:rPr>
          <w:rFonts w:ascii="Times New Roman" w:hAnsi="Times New Roman"/>
        </w:rPr>
        <w:t xml:space="preserve"> sa okamihom ich pripísania na účet </w:t>
      </w:r>
      <w:r>
        <w:rPr>
          <w:rFonts w:ascii="Times New Roman" w:hAnsi="Times New Roman"/>
        </w:rPr>
        <w:t>AVF</w:t>
      </w:r>
      <w:r w:rsidRPr="0061724F">
        <w:rPr>
          <w:rFonts w:ascii="Times New Roman" w:hAnsi="Times New Roman"/>
        </w:rPr>
        <w:t xml:space="preserve"> už nepovažujú za prostriedky štátneho rozpočtu, nakoľko na účely podľa zákona č. 523/2004 Z. z. o rozpočtových pravidlách verejnej správy a o zmene a doplnení niektorých zákonov v znení neskorších predpisov sa považujú za vyčerpané na určený účel. Tieto finančné prostriedky sú príjmom </w:t>
      </w:r>
      <w:r>
        <w:rPr>
          <w:rFonts w:ascii="Times New Roman" w:hAnsi="Times New Roman"/>
        </w:rPr>
        <w:t>AVF</w:t>
      </w:r>
      <w:r w:rsidRPr="0061724F">
        <w:rPr>
          <w:rFonts w:ascii="Times New Roman" w:hAnsi="Times New Roman"/>
        </w:rPr>
        <w:t xml:space="preserve">, ktorý ho spolu s ďalšími príjmami rozpočtuje </w:t>
      </w:r>
      <w:r w:rsidRPr="00BB1654">
        <w:rPr>
          <w:rFonts w:ascii="Times New Roman" w:hAnsi="Times New Roman"/>
        </w:rPr>
        <w:t>najmenej na tri rozpočtové roky</w:t>
      </w:r>
      <w:r w:rsidRPr="0061724F">
        <w:rPr>
          <w:rFonts w:ascii="Times New Roman" w:hAnsi="Times New Roman"/>
        </w:rPr>
        <w:t xml:space="preserve">, </w:t>
      </w:r>
      <w:r>
        <w:rPr>
          <w:rFonts w:ascii="Times New Roman" w:hAnsi="Times New Roman"/>
        </w:rPr>
        <w:t xml:space="preserve">pričom príslušný kalendárny rok </w:t>
      </w:r>
      <w:r w:rsidRPr="0061724F">
        <w:rPr>
          <w:rFonts w:ascii="Times New Roman" w:hAnsi="Times New Roman"/>
        </w:rPr>
        <w:t xml:space="preserve">je rozpočtovým rokom </w:t>
      </w:r>
      <w:r>
        <w:rPr>
          <w:rFonts w:ascii="Times New Roman" w:hAnsi="Times New Roman"/>
        </w:rPr>
        <w:t>AVF</w:t>
      </w:r>
      <w:r w:rsidRPr="0061724F">
        <w:rPr>
          <w:rFonts w:ascii="Times New Roman" w:hAnsi="Times New Roman"/>
        </w:rPr>
        <w:t xml:space="preserve">. Ak </w:t>
      </w:r>
      <w:r>
        <w:rPr>
          <w:rFonts w:ascii="Times New Roman" w:hAnsi="Times New Roman"/>
        </w:rPr>
        <w:t>AVF</w:t>
      </w:r>
      <w:r w:rsidRPr="0061724F">
        <w:rPr>
          <w:rFonts w:ascii="Times New Roman" w:hAnsi="Times New Roman"/>
        </w:rPr>
        <w:t xml:space="preserve"> v príslušnom rozpočtovom roku nepoužije všetky finančné prostriedky, môže nevyčerpaný zostatok finančných prostriedkov použiť v nasledujúcich rozpočtových rokoch.</w:t>
      </w:r>
      <w:r>
        <w:rPr>
          <w:rFonts w:ascii="Times New Roman" w:hAnsi="Times New Roman"/>
        </w:rPr>
        <w:t xml:space="preserve"> Z hľadiska početných štrukturálnych zmien v § 23, ktoré vyplývajú z vyššie uvedených obsahových doplnení sa navrhuje nové úplné znenie § 23. </w:t>
      </w:r>
    </w:p>
    <w:p w:rsidR="00ED6BD2" w:rsidP="00ED6BD2">
      <w:pPr>
        <w:bidi w:val="0"/>
        <w:jc w:val="both"/>
        <w:rPr>
          <w:rFonts w:ascii="Times New Roman" w:hAnsi="Times New Roman"/>
          <w:u w:val="single"/>
        </w:rPr>
      </w:pPr>
    </w:p>
    <w:p w:rsidR="00ED6BD2" w:rsidP="00ED6BD2">
      <w:pPr>
        <w:bidi w:val="0"/>
        <w:jc w:val="both"/>
        <w:rPr>
          <w:rFonts w:ascii="Times New Roman" w:hAnsi="Times New Roman"/>
          <w:u w:val="single"/>
        </w:rPr>
      </w:pPr>
      <w:r w:rsidRPr="002E3151">
        <w:rPr>
          <w:rFonts w:ascii="Times New Roman" w:hAnsi="Times New Roman"/>
          <w:u w:val="single"/>
        </w:rPr>
        <w:t>K</w:t>
      </w:r>
      <w:r>
        <w:rPr>
          <w:rFonts w:ascii="Times New Roman" w:hAnsi="Times New Roman"/>
          <w:u w:val="single"/>
        </w:rPr>
        <w:t> </w:t>
      </w:r>
      <w:r w:rsidRPr="002E3151">
        <w:rPr>
          <w:rFonts w:ascii="Times New Roman" w:hAnsi="Times New Roman"/>
          <w:u w:val="single"/>
        </w:rPr>
        <w:t>bodu</w:t>
      </w:r>
      <w:r>
        <w:rPr>
          <w:rFonts w:ascii="Times New Roman" w:hAnsi="Times New Roman"/>
          <w:u w:val="single"/>
        </w:rPr>
        <w:t xml:space="preserve"> 27</w:t>
      </w:r>
      <w:r w:rsidRPr="002E3151">
        <w:rPr>
          <w:rFonts w:ascii="Times New Roman" w:hAnsi="Times New Roman"/>
          <w:u w:val="single"/>
        </w:rPr>
        <w:t xml:space="preserve"> </w:t>
      </w:r>
    </w:p>
    <w:p w:rsidR="00ED6BD2" w:rsidP="00ED6BD2">
      <w:pPr>
        <w:bidi w:val="0"/>
        <w:jc w:val="both"/>
        <w:rPr>
          <w:rFonts w:ascii="Times New Roman" w:hAnsi="Times New Roman"/>
        </w:rPr>
      </w:pPr>
      <w:r>
        <w:rPr>
          <w:rFonts w:ascii="Times New Roman" w:hAnsi="Times New Roman"/>
        </w:rPr>
        <w:t>Návrh zákona odráža potrebu vysporiadať sa so situáciou, keď</w:t>
      </w:r>
      <w:r w:rsidRPr="004A2631">
        <w:rPr>
          <w:rFonts w:ascii="Times New Roman" w:hAnsi="Times New Roman"/>
        </w:rPr>
        <w:t xml:space="preserve"> </w:t>
      </w:r>
      <w:r>
        <w:rPr>
          <w:rFonts w:ascii="Times New Roman" w:hAnsi="Times New Roman"/>
        </w:rPr>
        <w:t xml:space="preserve">AVF priznáva štatúty oficiálnej koprodukcie  na základe Európskeho dohovoru o filmovej koprodukcii z roku 1992, na základe revidovaného dohovoru, prípadne aj na základe dvojstranných medzinárodných zmlúv. </w:t>
      </w:r>
      <w:r w:rsidRPr="00125CC8">
        <w:rPr>
          <w:rFonts w:ascii="Times New Roman" w:hAnsi="Times New Roman"/>
        </w:rPr>
        <w:t>Dohovor z roku 1992 ratifikovalo 43 štátov. V čase predkladania tohto návrhu zákona podpísalo revidovaný dohovor 1</w:t>
      </w:r>
      <w:r>
        <w:rPr>
          <w:rFonts w:ascii="Times New Roman" w:hAnsi="Times New Roman"/>
        </w:rPr>
        <w:t>8</w:t>
      </w:r>
      <w:r w:rsidRPr="00125CC8">
        <w:rPr>
          <w:rFonts w:ascii="Times New Roman" w:hAnsi="Times New Roman"/>
        </w:rPr>
        <w:t xml:space="preserve"> krajín</w:t>
      </w:r>
      <w:r>
        <w:rPr>
          <w:rFonts w:ascii="Times New Roman" w:hAnsi="Times New Roman"/>
        </w:rPr>
        <w:t xml:space="preserve">, </w:t>
      </w:r>
      <w:r w:rsidRPr="00125CC8">
        <w:rPr>
          <w:rFonts w:ascii="Times New Roman" w:hAnsi="Times New Roman"/>
        </w:rPr>
        <w:t xml:space="preserve"> ratifikoval</w:t>
      </w:r>
      <w:r>
        <w:rPr>
          <w:rFonts w:ascii="Times New Roman" w:hAnsi="Times New Roman"/>
        </w:rPr>
        <w:t>o</w:t>
      </w:r>
      <w:r w:rsidRPr="00125CC8">
        <w:rPr>
          <w:rFonts w:ascii="Times New Roman" w:hAnsi="Times New Roman"/>
        </w:rPr>
        <w:t xml:space="preserve"> ho </w:t>
      </w:r>
      <w:r>
        <w:rPr>
          <w:rFonts w:ascii="Times New Roman" w:hAnsi="Times New Roman"/>
        </w:rPr>
        <w:t>päť</w:t>
      </w:r>
      <w:r w:rsidRPr="00125CC8">
        <w:rPr>
          <w:rFonts w:ascii="Times New Roman" w:hAnsi="Times New Roman"/>
        </w:rPr>
        <w:t xml:space="preserve"> kraj</w:t>
      </w:r>
      <w:r>
        <w:rPr>
          <w:rFonts w:ascii="Times New Roman" w:hAnsi="Times New Roman"/>
        </w:rPr>
        <w:t>í</w:t>
      </w:r>
      <w:r w:rsidRPr="00125CC8">
        <w:rPr>
          <w:rFonts w:ascii="Times New Roman" w:hAnsi="Times New Roman"/>
        </w:rPr>
        <w:t>n</w:t>
      </w:r>
      <w:r>
        <w:rPr>
          <w:rFonts w:ascii="Times New Roman" w:hAnsi="Times New Roman"/>
        </w:rPr>
        <w:t xml:space="preserve"> a platnosť nadobudol voči štyrom krajinám</w:t>
      </w:r>
      <w:r w:rsidRPr="00125CC8">
        <w:rPr>
          <w:rFonts w:ascii="Times New Roman" w:hAnsi="Times New Roman"/>
        </w:rPr>
        <w:t xml:space="preserve"> (Slovensko, Nórsko, Švédsko</w:t>
      </w:r>
      <w:r>
        <w:rPr>
          <w:rFonts w:ascii="Times New Roman" w:hAnsi="Times New Roman"/>
        </w:rPr>
        <w:t xml:space="preserve"> a Holandsko</w:t>
      </w:r>
      <w:r w:rsidRPr="00125CC8">
        <w:rPr>
          <w:rFonts w:ascii="Times New Roman" w:hAnsi="Times New Roman"/>
        </w:rPr>
        <w:t xml:space="preserve">). Hlavný koprodukčný partner Slovenska, Česká republika, revidovaný dohovor zatiaľ nepodpísala. </w:t>
      </w:r>
      <w:r>
        <w:rPr>
          <w:rFonts w:ascii="Times New Roman" w:hAnsi="Times New Roman"/>
        </w:rPr>
        <w:t xml:space="preserve">Podľa </w:t>
      </w:r>
      <w:r w:rsidRPr="00717846">
        <w:rPr>
          <w:rFonts w:ascii="Times New Roman" w:hAnsi="Times New Roman"/>
        </w:rPr>
        <w:t>čl. 16 ods. 2 revidovaného dohovoru vo vzťahoch medzi zmluvnou st</w:t>
      </w:r>
      <w:r>
        <w:rPr>
          <w:rFonts w:ascii="Times New Roman" w:hAnsi="Times New Roman"/>
        </w:rPr>
        <w:t>r</w:t>
      </w:r>
      <w:r w:rsidRPr="00717846">
        <w:rPr>
          <w:rFonts w:ascii="Times New Roman" w:hAnsi="Times New Roman"/>
        </w:rPr>
        <w:t xml:space="preserve">anou tohto dohovoru a zmluvnou stranou dohovoru z roku 1992, ktorá neratifikovala </w:t>
      </w:r>
      <w:r>
        <w:rPr>
          <w:rFonts w:ascii="Times New Roman" w:hAnsi="Times New Roman"/>
        </w:rPr>
        <w:t>revidovaný</w:t>
      </w:r>
      <w:r w:rsidRPr="00717846">
        <w:rPr>
          <w:rFonts w:ascii="Times New Roman" w:hAnsi="Times New Roman"/>
        </w:rPr>
        <w:t xml:space="preserve"> dohovor, bude naďa</w:t>
      </w:r>
      <w:r>
        <w:rPr>
          <w:rFonts w:ascii="Times New Roman" w:hAnsi="Times New Roman"/>
        </w:rPr>
        <w:t>lej platiť dohovor z roku 1992.</w:t>
      </w:r>
      <w:r w:rsidRPr="00125CC8">
        <w:rPr>
          <w:rFonts w:ascii="Times New Roman" w:hAnsi="Times New Roman"/>
        </w:rPr>
        <w:t xml:space="preserve"> Vo vzťahu k určitým štátom tak bude platiť pôvodný dohovor z roku 1992, vo vzťahu k iným revidovaný dohovor. </w:t>
      </w:r>
      <w:r w:rsidRPr="00717846">
        <w:rPr>
          <w:rFonts w:ascii="Times New Roman" w:hAnsi="Times New Roman"/>
        </w:rPr>
        <w:t xml:space="preserve">Jednotlivé štáty majú rôzne zložité procesy viažuce sa k podpisu a ratifikácii medzinárodných zmlúv, preto aj keď zmluvné strany revidovaného dohovoru budú postupne pribúdať, je v momentálnej situácii ťažké predpokladať v akom časovom horizonte. </w:t>
      </w:r>
      <w:r w:rsidRPr="002237C5">
        <w:rPr>
          <w:rFonts w:ascii="Times New Roman" w:hAnsi="Times New Roman"/>
        </w:rPr>
        <w:t>Z </w:t>
      </w:r>
      <w:r w:rsidRPr="00717846">
        <w:rPr>
          <w:rFonts w:ascii="Times New Roman" w:hAnsi="Times New Roman"/>
        </w:rPr>
        <w:t>dôvodu zjednodušen</w:t>
      </w:r>
      <w:r>
        <w:rPr>
          <w:rFonts w:ascii="Times New Roman" w:hAnsi="Times New Roman"/>
        </w:rPr>
        <w:t>ia situácie navrhujeme</w:t>
      </w:r>
      <w:r w:rsidRPr="00717846">
        <w:rPr>
          <w:rFonts w:ascii="Times New Roman" w:hAnsi="Times New Roman"/>
        </w:rPr>
        <w:t xml:space="preserve"> vypustiť </w:t>
      </w:r>
      <w:r>
        <w:rPr>
          <w:rFonts w:ascii="Times New Roman" w:hAnsi="Times New Roman"/>
        </w:rPr>
        <w:t xml:space="preserve">zo zákona </w:t>
      </w:r>
      <w:r w:rsidRPr="00717846">
        <w:rPr>
          <w:rFonts w:ascii="Times New Roman" w:hAnsi="Times New Roman"/>
        </w:rPr>
        <w:t xml:space="preserve">podrobný mechanizmus </w:t>
      </w:r>
      <w:r>
        <w:rPr>
          <w:rFonts w:ascii="Times New Roman" w:hAnsi="Times New Roman"/>
        </w:rPr>
        <w:t>priznávania</w:t>
      </w:r>
      <w:r w:rsidRPr="00717846">
        <w:rPr>
          <w:rFonts w:ascii="Times New Roman" w:hAnsi="Times New Roman"/>
        </w:rPr>
        <w:t xml:space="preserve"> štatútu</w:t>
      </w:r>
      <w:r>
        <w:rPr>
          <w:rFonts w:ascii="Times New Roman" w:hAnsi="Times New Roman"/>
        </w:rPr>
        <w:t xml:space="preserve"> oficiálnej koprodukcie</w:t>
      </w:r>
      <w:r w:rsidRPr="00717846">
        <w:rPr>
          <w:rFonts w:ascii="Times New Roman" w:hAnsi="Times New Roman"/>
        </w:rPr>
        <w:t xml:space="preserve"> a prenecha</w:t>
      </w:r>
      <w:r>
        <w:rPr>
          <w:rFonts w:ascii="Times New Roman" w:hAnsi="Times New Roman"/>
        </w:rPr>
        <w:t>ť</w:t>
      </w:r>
      <w:r w:rsidRPr="00717846">
        <w:rPr>
          <w:rFonts w:ascii="Times New Roman" w:hAnsi="Times New Roman"/>
        </w:rPr>
        <w:t xml:space="preserve"> jeho úprav</w:t>
      </w:r>
      <w:r>
        <w:rPr>
          <w:rFonts w:ascii="Times New Roman" w:hAnsi="Times New Roman"/>
        </w:rPr>
        <w:t>u</w:t>
      </w:r>
      <w:r w:rsidRPr="00717846">
        <w:rPr>
          <w:rFonts w:ascii="Times New Roman" w:hAnsi="Times New Roman"/>
        </w:rPr>
        <w:t xml:space="preserve"> na interný predpis </w:t>
      </w:r>
      <w:r>
        <w:rPr>
          <w:rFonts w:ascii="Times New Roman" w:hAnsi="Times New Roman"/>
        </w:rPr>
        <w:t>AVF</w:t>
      </w:r>
      <w:r w:rsidRPr="00717846">
        <w:rPr>
          <w:rFonts w:ascii="Times New Roman" w:hAnsi="Times New Roman"/>
        </w:rPr>
        <w:t xml:space="preserve">, ktorý bude schvaľovať rada </w:t>
      </w:r>
      <w:r>
        <w:rPr>
          <w:rFonts w:ascii="Times New Roman" w:hAnsi="Times New Roman"/>
        </w:rPr>
        <w:t>AVF</w:t>
      </w:r>
      <w:r w:rsidRPr="00717846">
        <w:rPr>
          <w:rFonts w:ascii="Times New Roman" w:hAnsi="Times New Roman"/>
        </w:rPr>
        <w:t xml:space="preserve">. Navrhovaná úprava zabezpečí väčšiu flexibilitu pri </w:t>
      </w:r>
      <w:r>
        <w:rPr>
          <w:rFonts w:ascii="Times New Roman" w:hAnsi="Times New Roman"/>
        </w:rPr>
        <w:t>priznávaní</w:t>
      </w:r>
      <w:r w:rsidRPr="00717846">
        <w:rPr>
          <w:rFonts w:ascii="Times New Roman" w:hAnsi="Times New Roman"/>
        </w:rPr>
        <w:t xml:space="preserve"> štatútov</w:t>
      </w:r>
      <w:r>
        <w:rPr>
          <w:rFonts w:ascii="Times New Roman" w:hAnsi="Times New Roman"/>
        </w:rPr>
        <w:t xml:space="preserve"> oficiálnej koprodukcie</w:t>
      </w:r>
      <w:r w:rsidRPr="00717846">
        <w:rPr>
          <w:rFonts w:ascii="Times New Roman" w:hAnsi="Times New Roman"/>
        </w:rPr>
        <w:t xml:space="preserve"> a nevyžiada si v budúcnosti zmenu legislatívy v tomto ohľade. </w:t>
      </w:r>
    </w:p>
    <w:p w:rsidR="00ED6BD2" w:rsidP="00ED6BD2">
      <w:pPr>
        <w:bidi w:val="0"/>
        <w:jc w:val="both"/>
        <w:rPr>
          <w:rFonts w:ascii="Times New Roman" w:hAnsi="Times New Roman"/>
        </w:rPr>
      </w:pPr>
    </w:p>
    <w:p w:rsidR="00ED6BD2" w:rsidP="00ED6BD2">
      <w:pPr>
        <w:bidi w:val="0"/>
        <w:jc w:val="both"/>
        <w:rPr>
          <w:rFonts w:ascii="Times New Roman" w:hAnsi="Times New Roman"/>
          <w:u w:val="single"/>
        </w:rPr>
      </w:pPr>
      <w:r>
        <w:rPr>
          <w:rFonts w:ascii="Times New Roman" w:hAnsi="Times New Roman"/>
        </w:rPr>
        <w:t xml:space="preserve"> </w:t>
      </w:r>
      <w:r w:rsidRPr="002E3151">
        <w:rPr>
          <w:rFonts w:ascii="Times New Roman" w:hAnsi="Times New Roman"/>
          <w:u w:val="single"/>
        </w:rPr>
        <w:t>K</w:t>
      </w:r>
      <w:r>
        <w:rPr>
          <w:rFonts w:ascii="Times New Roman" w:hAnsi="Times New Roman"/>
          <w:u w:val="single"/>
        </w:rPr>
        <w:t> </w:t>
      </w:r>
      <w:r w:rsidRPr="002E3151">
        <w:rPr>
          <w:rFonts w:ascii="Times New Roman" w:hAnsi="Times New Roman"/>
          <w:u w:val="single"/>
        </w:rPr>
        <w:t>bodu</w:t>
      </w:r>
      <w:r>
        <w:rPr>
          <w:rFonts w:ascii="Times New Roman" w:hAnsi="Times New Roman"/>
          <w:u w:val="single"/>
        </w:rPr>
        <w:t xml:space="preserve"> 28</w:t>
      </w:r>
      <w:r w:rsidRPr="002E3151">
        <w:rPr>
          <w:rFonts w:ascii="Times New Roman" w:hAnsi="Times New Roman"/>
          <w:u w:val="single"/>
        </w:rPr>
        <w:t xml:space="preserve"> </w:t>
      </w:r>
    </w:p>
    <w:p w:rsidR="00ED6BD2" w:rsidP="00ED6BD2">
      <w:pPr>
        <w:bidi w:val="0"/>
        <w:jc w:val="both"/>
        <w:rPr>
          <w:rFonts w:ascii="Times New Roman" w:hAnsi="Times New Roman"/>
        </w:rPr>
      </w:pPr>
      <w:r>
        <w:rPr>
          <w:rFonts w:ascii="Times New Roman" w:hAnsi="Times New Roman"/>
        </w:rPr>
        <w:t>Pre AVF sa zavádza možnosť využiť na riešenie sporov s prijímateľom finančných prostriedkov poskytnutých AVF inštitút rozhodcovského konania podľa zákona č. 244/2002 Z. z. o rozhodcovskom konaní v znení neskorších predpisov.</w:t>
      </w:r>
    </w:p>
    <w:p w:rsidR="00ED6BD2" w:rsidP="00ED6BD2">
      <w:pPr>
        <w:bidi w:val="0"/>
        <w:jc w:val="both"/>
        <w:rPr>
          <w:rFonts w:ascii="Times New Roman" w:hAnsi="Times New Roman"/>
          <w:b/>
        </w:rPr>
      </w:pPr>
    </w:p>
    <w:p w:rsidR="00ED6BD2" w:rsidRPr="00F71C91" w:rsidP="00ED6BD2">
      <w:pPr>
        <w:bidi w:val="0"/>
        <w:jc w:val="both"/>
        <w:rPr>
          <w:rFonts w:ascii="Times New Roman" w:hAnsi="Times New Roman"/>
          <w:b/>
        </w:rPr>
      </w:pPr>
      <w:r w:rsidRPr="00F71C91">
        <w:rPr>
          <w:rFonts w:ascii="Times New Roman" w:hAnsi="Times New Roman"/>
          <w:b/>
        </w:rPr>
        <w:t>K čl. II</w:t>
      </w:r>
    </w:p>
    <w:p w:rsidR="00ED6BD2" w:rsidRPr="00F71C91" w:rsidP="00ED6BD2">
      <w:pPr>
        <w:bidi w:val="0"/>
        <w:jc w:val="both"/>
        <w:rPr>
          <w:rFonts w:ascii="Times New Roman" w:hAnsi="Times New Roman"/>
          <w:b/>
        </w:rPr>
      </w:pPr>
    </w:p>
    <w:p w:rsidR="00ED6BD2" w:rsidRPr="00F71C91" w:rsidP="00ED6BD2">
      <w:pPr>
        <w:bidi w:val="0"/>
        <w:jc w:val="both"/>
        <w:rPr>
          <w:rFonts w:ascii="Times New Roman" w:hAnsi="Times New Roman"/>
          <w:u w:val="single"/>
        </w:rPr>
      </w:pPr>
      <w:r w:rsidRPr="00F71C91">
        <w:rPr>
          <w:rFonts w:ascii="Times New Roman" w:hAnsi="Times New Roman"/>
          <w:u w:val="single"/>
        </w:rPr>
        <w:t>K bodu 1</w:t>
      </w:r>
    </w:p>
    <w:p w:rsidR="00ED6BD2" w:rsidRPr="00E51954" w:rsidP="00ED6BD2">
      <w:pPr>
        <w:bidi w:val="0"/>
        <w:jc w:val="both"/>
        <w:rPr>
          <w:rFonts w:ascii="Times New Roman" w:hAnsi="Times New Roman"/>
        </w:rPr>
      </w:pPr>
      <w:r w:rsidRPr="00F71C91">
        <w:rPr>
          <w:rFonts w:ascii="Times New Roman" w:hAnsi="Times New Roman"/>
        </w:rPr>
        <w:t>N</w:t>
      </w:r>
      <w:r>
        <w:rPr>
          <w:rFonts w:ascii="Times New Roman" w:hAnsi="Times New Roman"/>
        </w:rPr>
        <w:t>avrhuje sa rozšírenie činnosti F</w:t>
      </w:r>
      <w:r w:rsidRPr="00F71C91">
        <w:rPr>
          <w:rFonts w:ascii="Times New Roman" w:hAnsi="Times New Roman"/>
        </w:rPr>
        <w:t xml:space="preserve">ondu </w:t>
      </w:r>
      <w:r>
        <w:rPr>
          <w:rFonts w:ascii="Times New Roman" w:hAnsi="Times New Roman"/>
        </w:rPr>
        <w:t xml:space="preserve">na podporu umenia (ďalej len „FPU“) </w:t>
      </w:r>
      <w:r w:rsidRPr="00F71C91">
        <w:rPr>
          <w:rFonts w:ascii="Times New Roman" w:hAnsi="Times New Roman"/>
        </w:rPr>
        <w:t xml:space="preserve">o spoluprácu s odbornými a profesijnými organizáciami a ďalšími osobami pôsobiacimi v oblasti umenia, kultúry a kreatívneho priemyslu, poskytovanie vzdelávacích aktivít, metodicko-poradenskej činnosti, o propagáciu a o poskytovanie informácií z oblasti umenia, kultúry a kreatívneho priemyslu. </w:t>
      </w:r>
      <w:r>
        <w:rPr>
          <w:rFonts w:ascii="Times New Roman" w:hAnsi="Times New Roman"/>
        </w:rPr>
        <w:t xml:space="preserve">FPU </w:t>
      </w:r>
      <w:r w:rsidRPr="00F71C91">
        <w:rPr>
          <w:rFonts w:ascii="Times New Roman" w:hAnsi="Times New Roman"/>
        </w:rPr>
        <w:t>je najväčším poskytovateľom verejných zdrojov na Slovensku na podporu umenia, kultúry a kreatívneho priemyslu, preto je nevyhnutné, aby odborne spracovával informácie o podpore, jej efektivit</w:t>
      </w:r>
      <w:r>
        <w:rPr>
          <w:rFonts w:ascii="Times New Roman" w:hAnsi="Times New Roman"/>
        </w:rPr>
        <w:t>e</w:t>
      </w:r>
      <w:r w:rsidRPr="00F71C91">
        <w:rPr>
          <w:rFonts w:ascii="Times New Roman" w:hAnsi="Times New Roman"/>
        </w:rPr>
        <w:t xml:space="preserve"> a opodstatnen</w:t>
      </w:r>
      <w:r>
        <w:rPr>
          <w:rFonts w:ascii="Times New Roman" w:hAnsi="Times New Roman"/>
        </w:rPr>
        <w:t>osti</w:t>
      </w:r>
      <w:r w:rsidRPr="00F71C91">
        <w:rPr>
          <w:rFonts w:ascii="Times New Roman" w:hAnsi="Times New Roman"/>
        </w:rPr>
        <w:t xml:space="preserve"> a rovnako skúmal možnosti je</w:t>
      </w:r>
      <w:r>
        <w:rPr>
          <w:rFonts w:ascii="Times New Roman" w:hAnsi="Times New Roman"/>
        </w:rPr>
        <w:t>j</w:t>
      </w:r>
      <w:r w:rsidRPr="00F71C91">
        <w:rPr>
          <w:rFonts w:ascii="Times New Roman" w:hAnsi="Times New Roman"/>
        </w:rPr>
        <w:t xml:space="preserve"> ďalšieho rozšírenia, či modifikácie z hľadiska strategických cieľov rozvoja umenia, kultúry a kreatívneho priemyslu na Slovensku.</w:t>
      </w:r>
      <w:r>
        <w:rPr>
          <w:rFonts w:ascii="Times New Roman" w:hAnsi="Times New Roman"/>
        </w:rPr>
        <w:t xml:space="preserve"> </w:t>
      </w:r>
      <w:r w:rsidRPr="00F71C91">
        <w:rPr>
          <w:rFonts w:ascii="Times New Roman" w:hAnsi="Times New Roman"/>
        </w:rPr>
        <w:t xml:space="preserve">Práve </w:t>
      </w:r>
      <w:r>
        <w:rPr>
          <w:rFonts w:ascii="Times New Roman" w:hAnsi="Times New Roman"/>
        </w:rPr>
        <w:t>FPU</w:t>
      </w:r>
      <w:r w:rsidRPr="00F71C91">
        <w:rPr>
          <w:rFonts w:ascii="Times New Roman" w:hAnsi="Times New Roman"/>
        </w:rPr>
        <w:t xml:space="preserve"> má k dispozícii údaje o značnej časti slovenského umenia, kultúry a kreatívnom priemysle a jeho činnosť by preto mala zahŕňať aj ich získavanie, sprac</w:t>
      </w:r>
      <w:r>
        <w:rPr>
          <w:rFonts w:ascii="Times New Roman" w:hAnsi="Times New Roman"/>
        </w:rPr>
        <w:t>ú</w:t>
      </w:r>
      <w:r w:rsidRPr="00F71C91">
        <w:rPr>
          <w:rFonts w:ascii="Times New Roman" w:hAnsi="Times New Roman"/>
        </w:rPr>
        <w:t>vanie a vyhodno</w:t>
      </w:r>
      <w:r>
        <w:rPr>
          <w:rFonts w:ascii="Times New Roman" w:hAnsi="Times New Roman"/>
        </w:rPr>
        <w:t>cova</w:t>
      </w:r>
      <w:r w:rsidRPr="00F71C91">
        <w:rPr>
          <w:rFonts w:ascii="Times New Roman" w:hAnsi="Times New Roman"/>
        </w:rPr>
        <w:t>nie.</w:t>
      </w:r>
      <w:r>
        <w:rPr>
          <w:rFonts w:ascii="Times New Roman" w:hAnsi="Times New Roman"/>
        </w:rPr>
        <w:t xml:space="preserve"> Z povahy činností tak ako sú vymedzené v § 2 vyplýva, že podpora FPU sa môže realizovať tak prostredníctvom poskytnutia finančných prostriedkov (tzv. finančná podpora), ako aj prostredníctvom poskytnutia služieb ako napr. vzdelávanie alebo poradenstvo (tzv. nefinančná podpora). Navrhuje sa teda spresnenie vymedzenia činností FPU </w:t>
      </w:r>
      <w:r w:rsidRPr="00E51954">
        <w:rPr>
          <w:rFonts w:ascii="Times New Roman" w:hAnsi="Times New Roman"/>
        </w:rPr>
        <w:t>súvisiac</w:t>
      </w:r>
      <w:r>
        <w:rPr>
          <w:rFonts w:ascii="Times New Roman" w:hAnsi="Times New Roman"/>
        </w:rPr>
        <w:t>ich</w:t>
      </w:r>
      <w:r w:rsidRPr="00E51954">
        <w:rPr>
          <w:rFonts w:ascii="Times New Roman" w:hAnsi="Times New Roman"/>
        </w:rPr>
        <w:t xml:space="preserve"> s prezentáciou a</w:t>
      </w:r>
      <w:r>
        <w:rPr>
          <w:rFonts w:ascii="Times New Roman" w:hAnsi="Times New Roman"/>
        </w:rPr>
        <w:t> </w:t>
      </w:r>
      <w:r w:rsidRPr="00E51954">
        <w:rPr>
          <w:rFonts w:ascii="Times New Roman" w:hAnsi="Times New Roman"/>
        </w:rPr>
        <w:t>propagáciou</w:t>
      </w:r>
      <w:r>
        <w:rPr>
          <w:rFonts w:ascii="Times New Roman" w:hAnsi="Times New Roman"/>
        </w:rPr>
        <w:t xml:space="preserve"> </w:t>
      </w:r>
      <w:r w:rsidRPr="00F71C91">
        <w:rPr>
          <w:rFonts w:ascii="Times New Roman" w:hAnsi="Times New Roman"/>
        </w:rPr>
        <w:t>umenia, kultúry a kreatívneho priemyslu</w:t>
      </w:r>
      <w:r>
        <w:rPr>
          <w:rFonts w:ascii="Times New Roman" w:hAnsi="Times New Roman"/>
        </w:rPr>
        <w:t xml:space="preserve">, ako aj činností, v rámci ktorých FPU poskytuje osobitné </w:t>
      </w:r>
      <w:r w:rsidRPr="00E51954">
        <w:rPr>
          <w:rFonts w:ascii="Times New Roman" w:hAnsi="Times New Roman"/>
        </w:rPr>
        <w:t>služby osobám pôsobiacim v</w:t>
      </w:r>
      <w:r>
        <w:rPr>
          <w:rFonts w:ascii="Times New Roman" w:hAnsi="Times New Roman"/>
        </w:rPr>
        <w:t xml:space="preserve"> oblasti</w:t>
      </w:r>
      <w:r w:rsidRPr="00E51954">
        <w:rPr>
          <w:rFonts w:ascii="Times New Roman" w:hAnsi="Times New Roman"/>
        </w:rPr>
        <w:t xml:space="preserve"> </w:t>
      </w:r>
      <w:r w:rsidRPr="00F71C91">
        <w:rPr>
          <w:rFonts w:ascii="Times New Roman" w:hAnsi="Times New Roman"/>
        </w:rPr>
        <w:t>umenia, kultúry a kreatívneho priemyslu</w:t>
      </w:r>
      <w:r>
        <w:rPr>
          <w:rFonts w:ascii="Times New Roman" w:hAnsi="Times New Roman"/>
        </w:rPr>
        <w:t xml:space="preserve"> </w:t>
      </w:r>
      <w:r w:rsidRPr="00E51954">
        <w:rPr>
          <w:rFonts w:ascii="Times New Roman" w:hAnsi="Times New Roman"/>
        </w:rPr>
        <w:t xml:space="preserve">prostredníctvom uskutočňovania vzdelávacích aktivít alebo prezentačných aktivít, metodicko-poradenskej činnosti </w:t>
      </w:r>
      <w:r>
        <w:rPr>
          <w:rFonts w:ascii="Times New Roman" w:hAnsi="Times New Roman"/>
        </w:rPr>
        <w:t xml:space="preserve">a sprostredkovateľskej činnosti, a to tak, aby bolo zrejmé, že aj tieto činnosti FPU predstavujú realizáciu jeho podpornej činnosti vo forme tzv. nefinančnej podpory. </w:t>
      </w:r>
    </w:p>
    <w:p w:rsidR="00ED6BD2" w:rsidRPr="00F71C91" w:rsidP="00ED6BD2">
      <w:pPr>
        <w:bidi w:val="0"/>
        <w:rPr>
          <w:rFonts w:ascii="Times New Roman" w:hAnsi="Times New Roman"/>
        </w:rPr>
      </w:pPr>
    </w:p>
    <w:p w:rsidR="00ED6BD2" w:rsidRPr="000307BB" w:rsidP="00ED6BD2">
      <w:pPr>
        <w:bidi w:val="0"/>
        <w:jc w:val="both"/>
        <w:rPr>
          <w:rFonts w:ascii="Times New Roman" w:hAnsi="Times New Roman"/>
          <w:u w:val="single"/>
        </w:rPr>
      </w:pPr>
      <w:r w:rsidRPr="000307BB">
        <w:rPr>
          <w:rFonts w:ascii="Times New Roman" w:hAnsi="Times New Roman"/>
          <w:u w:val="single"/>
        </w:rPr>
        <w:t>K bodu 2</w:t>
      </w:r>
    </w:p>
    <w:p w:rsidR="00ED6BD2" w:rsidRPr="00337548" w:rsidP="00ED6BD2">
      <w:pPr>
        <w:bidi w:val="0"/>
        <w:jc w:val="both"/>
        <w:rPr>
          <w:rFonts w:ascii="Times New Roman" w:hAnsi="Times New Roman"/>
        </w:rPr>
      </w:pPr>
      <w:r w:rsidRPr="000307BB">
        <w:rPr>
          <w:rFonts w:ascii="Times New Roman" w:hAnsi="Times New Roman"/>
        </w:rPr>
        <w:t xml:space="preserve">Navrhuje sa </w:t>
      </w:r>
      <w:r>
        <w:rPr>
          <w:rFonts w:ascii="Times New Roman" w:hAnsi="Times New Roman"/>
        </w:rPr>
        <w:t xml:space="preserve">znížiť počet členov rady FPU, ktorých </w:t>
      </w:r>
      <w:r w:rsidRPr="00050018">
        <w:rPr>
          <w:rFonts w:ascii="Times New Roman" w:hAnsi="Times New Roman"/>
        </w:rPr>
        <w:t>vymenúva a odvoláva minister kultúry bez návrhu</w:t>
      </w:r>
      <w:r>
        <w:rPr>
          <w:rFonts w:ascii="Times New Roman" w:hAnsi="Times New Roman"/>
        </w:rPr>
        <w:t xml:space="preserve"> zo štyroch na troch a v nadväznosti na to zvýšiť počet členov rady, ktorých  </w:t>
      </w:r>
      <w:r w:rsidRPr="00050018">
        <w:rPr>
          <w:rFonts w:ascii="Times New Roman" w:hAnsi="Times New Roman"/>
        </w:rPr>
        <w:t xml:space="preserve">vymenúva a odvoláva minister </w:t>
      </w:r>
      <w:r>
        <w:rPr>
          <w:rFonts w:ascii="Times New Roman" w:hAnsi="Times New Roman"/>
        </w:rPr>
        <w:t xml:space="preserve">kultúry </w:t>
      </w:r>
      <w:r w:rsidRPr="00050018">
        <w:rPr>
          <w:rFonts w:ascii="Times New Roman" w:hAnsi="Times New Roman"/>
        </w:rPr>
        <w:t xml:space="preserve">na návrh </w:t>
      </w:r>
      <w:r>
        <w:rPr>
          <w:rFonts w:ascii="Times New Roman" w:hAnsi="Times New Roman"/>
        </w:rPr>
        <w:t>(</w:t>
      </w:r>
      <w:r w:rsidRPr="00050018">
        <w:rPr>
          <w:rFonts w:ascii="Times New Roman" w:hAnsi="Times New Roman"/>
        </w:rPr>
        <w:t>profesijných združení aktívne činných v oblasti umenia, kultúry alebo kreatívneho priemyslu, ktoré sú registrované alebo evidované na Ministerstve vnútra Slovenskej republiky, alebo na návrh právnických osôb zriadených zákonom, ktoré pôsobia v oblasti umenia, kultúry alebo kreatívneho priemyslu</w:t>
      </w:r>
      <w:r>
        <w:rPr>
          <w:rFonts w:ascii="Times New Roman" w:hAnsi="Times New Roman"/>
        </w:rPr>
        <w:t xml:space="preserve">) z piatich na šesť. </w:t>
      </w:r>
    </w:p>
    <w:p w:rsidR="00ED6BD2" w:rsidP="00ED6BD2">
      <w:pPr>
        <w:bidi w:val="0"/>
        <w:jc w:val="both"/>
        <w:rPr>
          <w:rFonts w:ascii="Times New Roman" w:hAnsi="Times New Roman"/>
          <w:u w:val="single"/>
        </w:rPr>
      </w:pPr>
    </w:p>
    <w:p w:rsidR="00ED6BD2" w:rsidRPr="009075C9" w:rsidP="00ED6BD2">
      <w:pPr>
        <w:bidi w:val="0"/>
        <w:jc w:val="both"/>
        <w:rPr>
          <w:rFonts w:ascii="Times New Roman" w:hAnsi="Times New Roman"/>
          <w:u w:val="single"/>
        </w:rPr>
      </w:pPr>
      <w:r w:rsidRPr="009075C9">
        <w:rPr>
          <w:rFonts w:ascii="Times New Roman" w:hAnsi="Times New Roman"/>
          <w:u w:val="single"/>
        </w:rPr>
        <w:t>K bodu 3</w:t>
      </w:r>
    </w:p>
    <w:p w:rsidR="00ED6BD2" w:rsidP="00ED6BD2">
      <w:pPr>
        <w:bidi w:val="0"/>
        <w:jc w:val="both"/>
        <w:rPr>
          <w:rFonts w:ascii="Times New Roman" w:hAnsi="Times New Roman"/>
        </w:rPr>
      </w:pPr>
      <w:r>
        <w:rPr>
          <w:rFonts w:ascii="Times New Roman" w:hAnsi="Times New Roman"/>
        </w:rPr>
        <w:t>Navrhuje sa, aby šiestym členom rady FPU vymenovaným ministrom kultúry na návrh bola osoba pôsobiaca v</w:t>
      </w:r>
      <w:r w:rsidRPr="000307BB">
        <w:rPr>
          <w:rFonts w:ascii="Times New Roman" w:hAnsi="Times New Roman"/>
        </w:rPr>
        <w:t> oblasti pamäťových</w:t>
      </w:r>
      <w:r>
        <w:rPr>
          <w:rFonts w:ascii="Times New Roman" w:hAnsi="Times New Roman"/>
        </w:rPr>
        <w:t xml:space="preserve"> a fondových</w:t>
      </w:r>
      <w:r w:rsidRPr="000307BB">
        <w:rPr>
          <w:rFonts w:ascii="Times New Roman" w:hAnsi="Times New Roman"/>
        </w:rPr>
        <w:t xml:space="preserve"> inštitúcii</w:t>
      </w:r>
      <w:r>
        <w:rPr>
          <w:rFonts w:ascii="Times New Roman" w:hAnsi="Times New Roman"/>
        </w:rPr>
        <w:t>, keďže FPU</w:t>
      </w:r>
      <w:r w:rsidRPr="000307BB">
        <w:rPr>
          <w:rFonts w:ascii="Times New Roman" w:hAnsi="Times New Roman"/>
        </w:rPr>
        <w:t xml:space="preserve"> už čiastočne podporuje aj tento typ inštitúcií v rámci podpory oc</w:t>
      </w:r>
      <w:r>
        <w:rPr>
          <w:rFonts w:ascii="Times New Roman" w:hAnsi="Times New Roman"/>
        </w:rPr>
        <w:t>hrany, rozvoja a sprístupňovania</w:t>
      </w:r>
      <w:r w:rsidRPr="000307BB">
        <w:rPr>
          <w:rFonts w:ascii="Times New Roman" w:hAnsi="Times New Roman"/>
        </w:rPr>
        <w:t xml:space="preserve"> kultúrneho dedičstva. Zástupca z tejto oblasti môže priniesť do rady </w:t>
      </w:r>
      <w:r>
        <w:rPr>
          <w:rFonts w:ascii="Times New Roman" w:hAnsi="Times New Roman"/>
        </w:rPr>
        <w:t>FPU</w:t>
      </w:r>
      <w:r w:rsidRPr="000307BB">
        <w:rPr>
          <w:rFonts w:ascii="Times New Roman" w:hAnsi="Times New Roman"/>
        </w:rPr>
        <w:t xml:space="preserve"> odborný pohľad, ktorý by bez jeho prítomnosti absentoval</w:t>
      </w:r>
      <w:r>
        <w:rPr>
          <w:rFonts w:ascii="Times New Roman" w:hAnsi="Times New Roman"/>
        </w:rPr>
        <w:t>,</w:t>
      </w:r>
      <w:r w:rsidRPr="000307BB">
        <w:rPr>
          <w:rFonts w:ascii="Times New Roman" w:hAnsi="Times New Roman"/>
        </w:rPr>
        <w:t xml:space="preserve"> pri rozšírení doterajšej podpornej činnosti aj o ďalšie oblasti podpory pamäťových</w:t>
      </w:r>
      <w:r>
        <w:rPr>
          <w:rFonts w:ascii="Times New Roman" w:hAnsi="Times New Roman"/>
        </w:rPr>
        <w:t xml:space="preserve"> a </w:t>
      </w:r>
      <w:r w:rsidRPr="000307BB">
        <w:rPr>
          <w:rFonts w:ascii="Times New Roman" w:hAnsi="Times New Roman"/>
        </w:rPr>
        <w:t>fondových inštitúcií, ktoré sú zásadnou súčasťou</w:t>
      </w:r>
      <w:r>
        <w:rPr>
          <w:rFonts w:ascii="Times New Roman" w:hAnsi="Times New Roman"/>
        </w:rPr>
        <w:t xml:space="preserve"> umenia a kultúry na Slovensku.</w:t>
      </w:r>
    </w:p>
    <w:p w:rsidR="00ED6BD2" w:rsidP="00ED6BD2">
      <w:pPr>
        <w:bidi w:val="0"/>
        <w:jc w:val="both"/>
        <w:rPr>
          <w:rFonts w:ascii="Times New Roman" w:hAnsi="Times New Roman"/>
          <w:u w:val="single"/>
        </w:rPr>
      </w:pPr>
    </w:p>
    <w:p w:rsidR="00ED6BD2" w:rsidRPr="00356A7F" w:rsidP="00ED6BD2">
      <w:pPr>
        <w:bidi w:val="0"/>
        <w:jc w:val="both"/>
        <w:rPr>
          <w:rFonts w:ascii="Times New Roman" w:hAnsi="Times New Roman"/>
          <w:u w:val="single"/>
        </w:rPr>
      </w:pPr>
      <w:r w:rsidRPr="00356A7F">
        <w:rPr>
          <w:rFonts w:ascii="Times New Roman" w:hAnsi="Times New Roman"/>
          <w:u w:val="single"/>
        </w:rPr>
        <w:t>K bodu 4</w:t>
      </w:r>
    </w:p>
    <w:p w:rsidR="00ED6BD2" w:rsidRPr="009075C9" w:rsidP="00ED6BD2">
      <w:pPr>
        <w:bidi w:val="0"/>
        <w:jc w:val="both"/>
        <w:rPr>
          <w:rFonts w:ascii="Times New Roman" w:hAnsi="Times New Roman"/>
        </w:rPr>
      </w:pPr>
      <w:r>
        <w:rPr>
          <w:rFonts w:ascii="Times New Roman" w:hAnsi="Times New Roman"/>
        </w:rPr>
        <w:t xml:space="preserve">Z dôvodu zavedenia nového pojmu pre služobne najvyššieho vedúceho štátneho zamestnanca v príslušnom služobnom úrade zákonom č. 55/2017 Z. z. o štátnej </w:t>
      </w:r>
      <w:r w:rsidRPr="00DB725A">
        <w:rPr>
          <w:rFonts w:ascii="Times New Roman" w:hAnsi="Times New Roman"/>
        </w:rPr>
        <w:t>službe a o zmene a doplnení niektorých zákonov</w:t>
      </w:r>
      <w:r>
        <w:rPr>
          <w:rFonts w:ascii="Times New Roman" w:hAnsi="Times New Roman"/>
        </w:rPr>
        <w:t xml:space="preserve"> v znení neskorších predpisov sa navrhuje zosúladiť ustanovenie § 5 ods. 5 písm. e) s novou právnou úpravou a pojem vedúci služobného úradu nahradiť pojmom generálny tajomník služobného úradu.</w:t>
      </w:r>
    </w:p>
    <w:p w:rsidR="00ED6BD2" w:rsidP="00ED6BD2">
      <w:pPr>
        <w:bidi w:val="0"/>
        <w:jc w:val="both"/>
        <w:rPr>
          <w:rFonts w:ascii="Times New Roman" w:hAnsi="Times New Roman"/>
          <w:u w:val="single"/>
        </w:rPr>
      </w:pPr>
    </w:p>
    <w:p w:rsidR="00ED6BD2" w:rsidRPr="009075C9" w:rsidP="00ED6BD2">
      <w:pPr>
        <w:bidi w:val="0"/>
        <w:jc w:val="both"/>
        <w:rPr>
          <w:rFonts w:ascii="Times New Roman" w:hAnsi="Times New Roman"/>
          <w:u w:val="single"/>
        </w:rPr>
      </w:pPr>
      <w:r w:rsidRPr="009075C9">
        <w:rPr>
          <w:rFonts w:ascii="Times New Roman" w:hAnsi="Times New Roman"/>
          <w:u w:val="single"/>
        </w:rPr>
        <w:t xml:space="preserve">K bodu </w:t>
      </w:r>
      <w:r>
        <w:rPr>
          <w:rFonts w:ascii="Times New Roman" w:hAnsi="Times New Roman"/>
          <w:u w:val="single"/>
        </w:rPr>
        <w:t>5</w:t>
      </w:r>
    </w:p>
    <w:p w:rsidR="00ED6BD2" w:rsidRPr="00DA05FE" w:rsidP="00ED6BD2">
      <w:pPr>
        <w:bidi w:val="0"/>
        <w:jc w:val="both"/>
        <w:rPr>
          <w:rFonts w:ascii="Times New Roman" w:hAnsi="Times New Roman"/>
          <w:highlight w:val="yellow"/>
          <w:u w:val="single"/>
        </w:rPr>
      </w:pPr>
      <w:r w:rsidRPr="005A4369">
        <w:rPr>
          <w:rFonts w:ascii="Times New Roman" w:hAnsi="Times New Roman"/>
        </w:rPr>
        <w:t>Z administratívnych dôvodov sa navrhuje predĺženie termínu na zverejnenie zápisnice</w:t>
      </w:r>
      <w:r>
        <w:rPr>
          <w:rFonts w:ascii="Times New Roman" w:hAnsi="Times New Roman"/>
        </w:rPr>
        <w:t xml:space="preserve"> z rokovania rady na päť pracovných dní</w:t>
      </w:r>
      <w:r w:rsidRPr="005A4369">
        <w:rPr>
          <w:rFonts w:ascii="Times New Roman" w:hAnsi="Times New Roman"/>
        </w:rPr>
        <w:t>, keďže podlieha overeniu zo strany dvoch členov rady.</w:t>
      </w:r>
      <w:r>
        <w:rPr>
          <w:rFonts w:ascii="Times New Roman" w:hAnsi="Times New Roman"/>
        </w:rPr>
        <w:t xml:space="preserve"> </w:t>
      </w:r>
    </w:p>
    <w:p w:rsidR="00ED6BD2" w:rsidP="00ED6BD2">
      <w:pPr>
        <w:bidi w:val="0"/>
        <w:jc w:val="both"/>
        <w:rPr>
          <w:rFonts w:ascii="Times New Roman" w:hAnsi="Times New Roman"/>
          <w:u w:val="single"/>
        </w:rPr>
      </w:pPr>
    </w:p>
    <w:p w:rsidR="00ED6BD2" w:rsidP="00ED6BD2">
      <w:pPr>
        <w:bidi w:val="0"/>
        <w:jc w:val="both"/>
        <w:rPr>
          <w:rFonts w:ascii="Times New Roman" w:hAnsi="Times New Roman"/>
          <w:u w:val="single"/>
        </w:rPr>
      </w:pPr>
      <w:r w:rsidRPr="009075C9">
        <w:rPr>
          <w:rFonts w:ascii="Times New Roman" w:hAnsi="Times New Roman"/>
          <w:u w:val="single"/>
        </w:rPr>
        <w:t xml:space="preserve">K bodu </w:t>
      </w:r>
      <w:r>
        <w:rPr>
          <w:rFonts w:ascii="Times New Roman" w:hAnsi="Times New Roman"/>
          <w:u w:val="single"/>
        </w:rPr>
        <w:t>6</w:t>
      </w:r>
    </w:p>
    <w:p w:rsidR="00ED6BD2" w:rsidRPr="004218B7" w:rsidP="00ED6BD2">
      <w:pPr>
        <w:bidi w:val="0"/>
        <w:jc w:val="both"/>
        <w:rPr>
          <w:rFonts w:ascii="Times New Roman" w:hAnsi="Times New Roman"/>
        </w:rPr>
      </w:pPr>
      <w:r w:rsidRPr="00344EC2">
        <w:rPr>
          <w:rFonts w:ascii="Times New Roman" w:hAnsi="Times New Roman"/>
        </w:rPr>
        <w:t xml:space="preserve">Navrhuje sa </w:t>
      </w:r>
      <w:r>
        <w:rPr>
          <w:rFonts w:ascii="Times New Roman" w:hAnsi="Times New Roman"/>
        </w:rPr>
        <w:t xml:space="preserve"> vypustiť zákonné obmedzenie, v zmysle ktorého tá istá osoba môže byť za riaditeľa zvolená najviac v dvoch po sebe nasledujúcich obdobiach. </w:t>
      </w:r>
      <w:r w:rsidRPr="00344EC2">
        <w:rPr>
          <w:rFonts w:ascii="Times New Roman" w:hAnsi="Times New Roman"/>
        </w:rPr>
        <w:t xml:space="preserve">Rovnako ide o zosúladenie s praxou podobných inštitúcií, akými sú </w:t>
      </w:r>
      <w:r>
        <w:rPr>
          <w:rFonts w:ascii="Times New Roman" w:hAnsi="Times New Roman"/>
        </w:rPr>
        <w:t>AVF</w:t>
      </w:r>
      <w:r w:rsidRPr="00344EC2">
        <w:rPr>
          <w:rFonts w:ascii="Times New Roman" w:hAnsi="Times New Roman"/>
        </w:rPr>
        <w:t xml:space="preserve"> alebo Fond na podporu vzdelávania.</w:t>
      </w:r>
      <w:r>
        <w:rPr>
          <w:rFonts w:ascii="Times New Roman" w:hAnsi="Times New Roman"/>
        </w:rPr>
        <w:t xml:space="preserve"> </w:t>
      </w:r>
    </w:p>
    <w:p w:rsidR="00ED6BD2" w:rsidP="00ED6BD2">
      <w:pPr>
        <w:bidi w:val="0"/>
        <w:jc w:val="both"/>
        <w:rPr>
          <w:rFonts w:ascii="Times New Roman" w:hAnsi="Times New Roman"/>
          <w:u w:val="single"/>
        </w:rPr>
      </w:pPr>
    </w:p>
    <w:p w:rsidR="00ED6BD2" w:rsidRPr="00344EC2" w:rsidP="00ED6BD2">
      <w:pPr>
        <w:bidi w:val="0"/>
        <w:jc w:val="both"/>
        <w:rPr>
          <w:rFonts w:ascii="Times New Roman" w:hAnsi="Times New Roman"/>
          <w:u w:val="single"/>
        </w:rPr>
      </w:pPr>
      <w:r>
        <w:rPr>
          <w:rFonts w:ascii="Times New Roman" w:hAnsi="Times New Roman"/>
          <w:u w:val="single"/>
        </w:rPr>
        <w:t>K bodu 7</w:t>
      </w:r>
    </w:p>
    <w:p w:rsidR="00ED6BD2" w:rsidRPr="00344EC2" w:rsidP="00ED6BD2">
      <w:pPr>
        <w:bidi w:val="0"/>
        <w:jc w:val="both"/>
        <w:rPr>
          <w:rFonts w:ascii="Times New Roman" w:hAnsi="Times New Roman"/>
          <w:u w:val="single"/>
        </w:rPr>
      </w:pPr>
      <w:r w:rsidRPr="00344EC2">
        <w:rPr>
          <w:rFonts w:ascii="Times New Roman" w:hAnsi="Times New Roman"/>
        </w:rPr>
        <w:t>Navrhuje sa bližšia a presnejšia š</w:t>
      </w:r>
      <w:r>
        <w:rPr>
          <w:rFonts w:ascii="Times New Roman" w:hAnsi="Times New Roman"/>
        </w:rPr>
        <w:t>pecifikácia činností, na ktoré FPU</w:t>
      </w:r>
      <w:r w:rsidRPr="00344EC2">
        <w:rPr>
          <w:rFonts w:ascii="Times New Roman" w:hAnsi="Times New Roman"/>
        </w:rPr>
        <w:t xml:space="preserve"> poskytuje prostriedky. Jednoznačné rozšírenie podpornej činnosti o</w:t>
      </w:r>
      <w:r>
        <w:rPr>
          <w:rFonts w:ascii="Times New Roman" w:hAnsi="Times New Roman"/>
        </w:rPr>
        <w:t> </w:t>
      </w:r>
      <w:r w:rsidRPr="00344EC2">
        <w:rPr>
          <w:rFonts w:ascii="Times New Roman" w:hAnsi="Times New Roman"/>
        </w:rPr>
        <w:t>pamäťové</w:t>
      </w:r>
      <w:r>
        <w:rPr>
          <w:rFonts w:ascii="Times New Roman" w:hAnsi="Times New Roman"/>
        </w:rPr>
        <w:t xml:space="preserve"> a fondové</w:t>
      </w:r>
      <w:r w:rsidRPr="00344EC2">
        <w:rPr>
          <w:rFonts w:ascii="Times New Roman" w:hAnsi="Times New Roman"/>
        </w:rPr>
        <w:t xml:space="preserve"> inštitúcie vych</w:t>
      </w:r>
      <w:r>
        <w:rPr>
          <w:rFonts w:ascii="Times New Roman" w:hAnsi="Times New Roman"/>
        </w:rPr>
        <w:t>ádza z doterajšej praxe, keďže FPU</w:t>
      </w:r>
      <w:r w:rsidRPr="00344EC2">
        <w:rPr>
          <w:rFonts w:ascii="Times New Roman" w:hAnsi="Times New Roman"/>
        </w:rPr>
        <w:t xml:space="preserve"> už čiastočne podporuje aj tento typ inštitúcií v rámci podpory oc</w:t>
      </w:r>
      <w:r>
        <w:rPr>
          <w:rFonts w:ascii="Times New Roman" w:hAnsi="Times New Roman"/>
        </w:rPr>
        <w:t>hrany, rozvoja a sprístupňovania</w:t>
      </w:r>
      <w:r w:rsidRPr="00344EC2">
        <w:rPr>
          <w:rFonts w:ascii="Times New Roman" w:hAnsi="Times New Roman"/>
        </w:rPr>
        <w:t xml:space="preserve"> kultúrneho dedičstva. Rozšírenie podpornej činnosti o podporu kultúrnych</w:t>
      </w:r>
      <w:r>
        <w:rPr>
          <w:rFonts w:ascii="Times New Roman" w:hAnsi="Times New Roman"/>
        </w:rPr>
        <w:t xml:space="preserve"> </w:t>
      </w:r>
      <w:r w:rsidRPr="00344EC2">
        <w:rPr>
          <w:rFonts w:ascii="Times New Roman" w:hAnsi="Times New Roman"/>
        </w:rPr>
        <w:t>centier, umeleckých</w:t>
      </w:r>
      <w:r>
        <w:rPr>
          <w:rFonts w:ascii="Times New Roman" w:hAnsi="Times New Roman"/>
        </w:rPr>
        <w:t xml:space="preserve"> </w:t>
      </w:r>
      <w:r w:rsidRPr="00344EC2">
        <w:rPr>
          <w:rFonts w:ascii="Times New Roman" w:hAnsi="Times New Roman"/>
        </w:rPr>
        <w:t xml:space="preserve">centier, rezidenčných centier, divadiel, galérií a </w:t>
      </w:r>
      <w:r>
        <w:rPr>
          <w:rFonts w:ascii="Times New Roman" w:hAnsi="Times New Roman"/>
        </w:rPr>
        <w:t>iných</w:t>
      </w:r>
      <w:r w:rsidRPr="00344EC2">
        <w:rPr>
          <w:rFonts w:ascii="Times New Roman" w:hAnsi="Times New Roman"/>
        </w:rPr>
        <w:t xml:space="preserve"> organizácií pôsobiacich v oblasti umenia, kultúry a kreatívneho priemyslu je konkretizáciou existujúceho stavu z dôvodu právnej istoty.</w:t>
      </w:r>
    </w:p>
    <w:p w:rsidR="00ED6BD2" w:rsidP="00ED6BD2">
      <w:pPr>
        <w:shd w:val="clear" w:color="auto" w:fill="FFFFFF"/>
        <w:autoSpaceDE w:val="0"/>
        <w:autoSpaceDN w:val="0"/>
        <w:bidi w:val="0"/>
        <w:jc w:val="both"/>
        <w:rPr>
          <w:rFonts w:ascii="Times New Roman" w:hAnsi="Times New Roman"/>
          <w:u w:val="single"/>
        </w:rPr>
      </w:pPr>
    </w:p>
    <w:p w:rsidR="00ED6BD2" w:rsidRPr="004F3181" w:rsidP="00ED6BD2">
      <w:pPr>
        <w:shd w:val="clear" w:color="auto" w:fill="FFFFFF"/>
        <w:autoSpaceDE w:val="0"/>
        <w:autoSpaceDN w:val="0"/>
        <w:bidi w:val="0"/>
        <w:jc w:val="both"/>
        <w:rPr>
          <w:rFonts w:ascii="Times New Roman" w:hAnsi="Times New Roman"/>
          <w:u w:val="single"/>
        </w:rPr>
      </w:pPr>
      <w:r w:rsidRPr="004F3181">
        <w:rPr>
          <w:rFonts w:ascii="Times New Roman" w:hAnsi="Times New Roman"/>
          <w:u w:val="single"/>
        </w:rPr>
        <w:t xml:space="preserve">K bodu </w:t>
      </w:r>
      <w:r>
        <w:rPr>
          <w:rFonts w:ascii="Times New Roman" w:hAnsi="Times New Roman"/>
          <w:u w:val="single"/>
        </w:rPr>
        <w:t>8</w:t>
      </w:r>
    </w:p>
    <w:p w:rsidR="00ED6BD2" w:rsidRPr="004F3181" w:rsidP="00ED6BD2">
      <w:pPr>
        <w:autoSpaceDE w:val="0"/>
        <w:autoSpaceDN w:val="0"/>
        <w:bidi w:val="0"/>
        <w:jc w:val="both"/>
        <w:rPr>
          <w:rFonts w:ascii="Times New Roman" w:hAnsi="Times New Roman"/>
        </w:rPr>
      </w:pPr>
      <w:r w:rsidRPr="004F3181">
        <w:rPr>
          <w:rFonts w:ascii="Times New Roman" w:hAnsi="Times New Roman"/>
        </w:rPr>
        <w:t>Navrhuje sa presnejšia špecifikácia projektov, na ktoré FPU poskytuje prostriedky v nadväznosti na jeho doterajšiu činnosť. Rozšírenie rámca podporených projektov jednoznačnejšie zadefinuje rámec podpornej činnosti FPU. Konkrétne ide o rozšírenie o tvorbu, realizáciu a verejnú prezentáciu umeleckého diela, ktorým bude aj multimediálne dielo. Multimediálne diela sa stali novou a zásadnou oblasťou podpornej činnosti FPU, ktorá reaguje na širšie potreby umenia, kultúry a kreatívneho priemyslu na Slovensku.</w:t>
      </w:r>
    </w:p>
    <w:p w:rsidR="00ED6BD2" w:rsidP="00ED6BD2">
      <w:pPr>
        <w:autoSpaceDE w:val="0"/>
        <w:autoSpaceDN w:val="0"/>
        <w:bidi w:val="0"/>
        <w:jc w:val="both"/>
        <w:rPr>
          <w:rFonts w:ascii="Times New Roman" w:hAnsi="Times New Roman"/>
          <w:u w:val="single"/>
        </w:rPr>
      </w:pPr>
    </w:p>
    <w:p w:rsidR="00ED6BD2" w:rsidRPr="004F3181" w:rsidP="00ED6BD2">
      <w:pPr>
        <w:autoSpaceDE w:val="0"/>
        <w:autoSpaceDN w:val="0"/>
        <w:bidi w:val="0"/>
        <w:jc w:val="both"/>
        <w:rPr>
          <w:rFonts w:ascii="Times New Roman" w:hAnsi="Times New Roman"/>
          <w:u w:val="single"/>
        </w:rPr>
      </w:pPr>
      <w:r>
        <w:rPr>
          <w:rFonts w:ascii="Times New Roman" w:hAnsi="Times New Roman"/>
          <w:u w:val="single"/>
        </w:rPr>
        <w:t>K bodu 9</w:t>
      </w:r>
    </w:p>
    <w:p w:rsidR="00ED6BD2" w:rsidRPr="004F3181" w:rsidP="00ED6BD2">
      <w:pPr>
        <w:autoSpaceDE w:val="0"/>
        <w:autoSpaceDN w:val="0"/>
        <w:bidi w:val="0"/>
        <w:jc w:val="both"/>
        <w:rPr>
          <w:rFonts w:ascii="Times New Roman" w:hAnsi="Times New Roman"/>
          <w:u w:val="single"/>
        </w:rPr>
      </w:pPr>
      <w:r w:rsidRPr="004F3181">
        <w:rPr>
          <w:rFonts w:ascii="Times New Roman" w:hAnsi="Times New Roman"/>
        </w:rPr>
        <w:t xml:space="preserve">Navrhuje sa presnejšia špecifikácia a rozšírenie projektov, na ktoré </w:t>
      </w:r>
      <w:r>
        <w:rPr>
          <w:rFonts w:ascii="Times New Roman" w:hAnsi="Times New Roman"/>
        </w:rPr>
        <w:t>FPU</w:t>
      </w:r>
      <w:r w:rsidRPr="004F3181">
        <w:rPr>
          <w:rFonts w:ascii="Times New Roman" w:hAnsi="Times New Roman"/>
        </w:rPr>
        <w:t xml:space="preserve"> poskytuje prostriedky v nadväznosti na </w:t>
      </w:r>
      <w:r>
        <w:rPr>
          <w:rFonts w:ascii="Times New Roman" w:hAnsi="Times New Roman"/>
        </w:rPr>
        <w:t xml:space="preserve">jeho </w:t>
      </w:r>
      <w:r w:rsidRPr="004F3181">
        <w:rPr>
          <w:rFonts w:ascii="Times New Roman" w:hAnsi="Times New Roman"/>
        </w:rPr>
        <w:t xml:space="preserve">doterajšiu činnosť. Rozšírenie projektov aj o realizáciu odborných reflexií a výskumných aktivít v oblasti umenia, kultúry a kreatívneho priemyslu a verejná prezentácia alebo publikovanie ich výsledkov jednoznačnejšie definuje rozmanitosť možných výstupov projektov. </w:t>
      </w:r>
    </w:p>
    <w:p w:rsidR="00ED6BD2" w:rsidP="00ED6BD2">
      <w:pPr>
        <w:autoSpaceDE w:val="0"/>
        <w:autoSpaceDN w:val="0"/>
        <w:bidi w:val="0"/>
        <w:jc w:val="both"/>
        <w:rPr>
          <w:rFonts w:ascii="Times New Roman" w:hAnsi="Times New Roman"/>
          <w:u w:val="single"/>
        </w:rPr>
      </w:pPr>
    </w:p>
    <w:p w:rsidR="00ED6BD2" w:rsidP="00ED6BD2">
      <w:pPr>
        <w:autoSpaceDE w:val="0"/>
        <w:autoSpaceDN w:val="0"/>
        <w:bidi w:val="0"/>
        <w:jc w:val="both"/>
        <w:rPr>
          <w:rFonts w:ascii="Times New Roman" w:hAnsi="Times New Roman"/>
          <w:u w:val="single"/>
        </w:rPr>
      </w:pPr>
    </w:p>
    <w:p w:rsidR="00ED6BD2" w:rsidRPr="004F3181" w:rsidP="00ED6BD2">
      <w:pPr>
        <w:autoSpaceDE w:val="0"/>
        <w:autoSpaceDN w:val="0"/>
        <w:bidi w:val="0"/>
        <w:jc w:val="both"/>
        <w:rPr>
          <w:rFonts w:ascii="Times New Roman" w:hAnsi="Times New Roman"/>
          <w:u w:val="single"/>
        </w:rPr>
      </w:pPr>
      <w:r>
        <w:rPr>
          <w:rFonts w:ascii="Times New Roman" w:hAnsi="Times New Roman"/>
          <w:u w:val="single"/>
        </w:rPr>
        <w:t>K bodu 10</w:t>
      </w:r>
    </w:p>
    <w:p w:rsidR="00ED6BD2" w:rsidRPr="004F3181" w:rsidP="00ED6BD2">
      <w:pPr>
        <w:autoSpaceDE w:val="0"/>
        <w:autoSpaceDN w:val="0"/>
        <w:bidi w:val="0"/>
        <w:jc w:val="both"/>
        <w:rPr>
          <w:rFonts w:ascii="Times New Roman" w:hAnsi="Times New Roman"/>
          <w:u w:val="single"/>
        </w:rPr>
      </w:pPr>
      <w:r w:rsidRPr="004F3181">
        <w:rPr>
          <w:rFonts w:ascii="Times New Roman" w:hAnsi="Times New Roman"/>
        </w:rPr>
        <w:t xml:space="preserve">Navrhuje sa presnejšia špecifikácia a rozšírenie projektov, na ktoré </w:t>
      </w:r>
      <w:r>
        <w:rPr>
          <w:rFonts w:ascii="Times New Roman" w:hAnsi="Times New Roman"/>
        </w:rPr>
        <w:t>FPU</w:t>
      </w:r>
      <w:r w:rsidRPr="004F3181">
        <w:rPr>
          <w:rFonts w:ascii="Times New Roman" w:hAnsi="Times New Roman"/>
        </w:rPr>
        <w:t xml:space="preserve"> poskytuje prostriedky v nadväznosti na </w:t>
      </w:r>
      <w:r>
        <w:rPr>
          <w:rFonts w:ascii="Times New Roman" w:hAnsi="Times New Roman"/>
        </w:rPr>
        <w:t xml:space="preserve">jeho </w:t>
      </w:r>
      <w:r w:rsidRPr="004F3181">
        <w:rPr>
          <w:rFonts w:ascii="Times New Roman" w:hAnsi="Times New Roman"/>
        </w:rPr>
        <w:t xml:space="preserve">doterajšiu činnosť. Rozšírenie a spresnenie projektov aj o systematické nadobúdanie a uchovávanie zbierkových predmetov, zbierok a knižničných fondov vychádza z doterajšej praxe, keďže </w:t>
      </w:r>
      <w:r>
        <w:rPr>
          <w:rFonts w:ascii="Times New Roman" w:hAnsi="Times New Roman"/>
        </w:rPr>
        <w:t>FPU</w:t>
      </w:r>
      <w:r w:rsidRPr="004F3181">
        <w:rPr>
          <w:rFonts w:ascii="Times New Roman" w:hAnsi="Times New Roman"/>
        </w:rPr>
        <w:t xml:space="preserve"> už čiastočne podporuje tento typ činnosti pamäťových </w:t>
      </w:r>
      <w:r>
        <w:rPr>
          <w:rFonts w:ascii="Times New Roman" w:hAnsi="Times New Roman"/>
        </w:rPr>
        <w:t xml:space="preserve">a  </w:t>
      </w:r>
      <w:r w:rsidRPr="004F3181">
        <w:rPr>
          <w:rFonts w:ascii="Times New Roman" w:hAnsi="Times New Roman"/>
        </w:rPr>
        <w:t xml:space="preserve">fondových inštitúcií v rámci podpory ochrany, rozvoja a sprístupňovania kultúrneho dedičstva. </w:t>
      </w:r>
    </w:p>
    <w:p w:rsidR="00ED6BD2" w:rsidP="00ED6BD2">
      <w:pPr>
        <w:autoSpaceDE w:val="0"/>
        <w:autoSpaceDN w:val="0"/>
        <w:bidi w:val="0"/>
        <w:jc w:val="both"/>
        <w:rPr>
          <w:rFonts w:ascii="Times New Roman" w:hAnsi="Times New Roman"/>
          <w:u w:val="single"/>
        </w:rPr>
      </w:pPr>
    </w:p>
    <w:p w:rsidR="00ED6BD2" w:rsidP="00ED6BD2">
      <w:pPr>
        <w:autoSpaceDE w:val="0"/>
        <w:autoSpaceDN w:val="0"/>
        <w:bidi w:val="0"/>
        <w:jc w:val="both"/>
        <w:rPr>
          <w:rFonts w:ascii="Times New Roman" w:hAnsi="Times New Roman"/>
          <w:u w:val="single"/>
        </w:rPr>
      </w:pPr>
      <w:r>
        <w:rPr>
          <w:rFonts w:ascii="Times New Roman" w:hAnsi="Times New Roman"/>
          <w:u w:val="single"/>
        </w:rPr>
        <w:t>K bodu 11</w:t>
      </w:r>
    </w:p>
    <w:p w:rsidR="00ED6BD2" w:rsidRPr="004218B7" w:rsidP="00ED6BD2">
      <w:pPr>
        <w:bidi w:val="0"/>
        <w:jc w:val="both"/>
        <w:rPr>
          <w:rFonts w:ascii="Times New Roman" w:hAnsi="Times New Roman"/>
        </w:rPr>
      </w:pPr>
      <w:r w:rsidRPr="00AA575A">
        <w:rPr>
          <w:rFonts w:ascii="Times New Roman" w:hAnsi="Times New Roman"/>
        </w:rPr>
        <w:t xml:space="preserve">V zmysle </w:t>
      </w:r>
      <w:r>
        <w:rPr>
          <w:rFonts w:ascii="Times New Roman" w:hAnsi="Times New Roman"/>
        </w:rPr>
        <w:t>navrhovaného znenia nebude na poskytnutie nefinančnej podpory podľa § 2 písm. m) a n) právny nárok, rovnako ako je tomu aj v prípade poskytovania finančných prostriedkov FPU.</w:t>
      </w:r>
    </w:p>
    <w:p w:rsidR="00ED6BD2" w:rsidP="00ED6BD2">
      <w:pPr>
        <w:shd w:val="clear" w:color="auto" w:fill="FFFFFF"/>
        <w:bidi w:val="0"/>
        <w:jc w:val="both"/>
        <w:rPr>
          <w:rFonts w:ascii="Times New Roman" w:hAnsi="Times New Roman"/>
          <w:u w:val="single"/>
        </w:rPr>
      </w:pPr>
    </w:p>
    <w:p w:rsidR="00ED6BD2" w:rsidP="00ED6BD2">
      <w:pPr>
        <w:shd w:val="clear" w:color="auto" w:fill="FFFFFF"/>
        <w:bidi w:val="0"/>
        <w:jc w:val="both"/>
        <w:rPr>
          <w:rFonts w:ascii="Times New Roman" w:hAnsi="Times New Roman"/>
          <w:u w:val="single"/>
        </w:rPr>
      </w:pPr>
      <w:r>
        <w:rPr>
          <w:rFonts w:ascii="Times New Roman" w:hAnsi="Times New Roman"/>
          <w:u w:val="single"/>
        </w:rPr>
        <w:t>K bodu 12</w:t>
      </w:r>
    </w:p>
    <w:p w:rsidR="00ED6BD2" w:rsidRPr="00A63436" w:rsidP="00ED6BD2">
      <w:pPr>
        <w:shd w:val="clear" w:color="auto" w:fill="FFFFFF"/>
        <w:bidi w:val="0"/>
        <w:jc w:val="both"/>
        <w:rPr>
          <w:rFonts w:ascii="Times New Roman" w:hAnsi="Times New Roman"/>
          <w:u w:val="single"/>
        </w:rPr>
      </w:pPr>
      <w:r w:rsidRPr="00A63436">
        <w:rPr>
          <w:rFonts w:ascii="Times New Roman" w:hAnsi="Times New Roman"/>
        </w:rPr>
        <w:t>Na základe požiadaviek vyplývajúcich z aplikačnej praxe pri uplatňovaní zákona sa navrhuje optimalizácia procesov pri posudzovaní žiadostí o podporu, schvaľovaní žiado</w:t>
      </w:r>
      <w:r>
        <w:rPr>
          <w:rFonts w:ascii="Times New Roman" w:hAnsi="Times New Roman"/>
        </w:rPr>
        <w:t xml:space="preserve">stí a vypracúvaní návrhu zmluvy tým spôsobom, že zákonom ustanovená lehota na prijatie rozhodnutia riaditeľa o poskytnutí finančných prostriedkov začne plynúť od posledného dňa obdobia určeného FPU na predkladanie žiadostí.  </w:t>
      </w:r>
    </w:p>
    <w:p w:rsidR="00ED6BD2" w:rsidP="00ED6BD2">
      <w:pPr>
        <w:shd w:val="clear" w:color="auto" w:fill="FFFFFF"/>
        <w:bidi w:val="0"/>
        <w:jc w:val="both"/>
        <w:rPr>
          <w:rFonts w:ascii="Times New Roman" w:hAnsi="Times New Roman"/>
          <w:u w:val="single"/>
        </w:rPr>
      </w:pPr>
    </w:p>
    <w:p w:rsidR="00ED6BD2" w:rsidP="00ED6BD2">
      <w:pPr>
        <w:shd w:val="clear" w:color="auto" w:fill="FFFFFF"/>
        <w:bidi w:val="0"/>
        <w:jc w:val="both"/>
        <w:rPr>
          <w:rFonts w:ascii="Times New Roman" w:hAnsi="Times New Roman"/>
          <w:u w:val="single"/>
        </w:rPr>
      </w:pPr>
      <w:r>
        <w:rPr>
          <w:rFonts w:ascii="Times New Roman" w:hAnsi="Times New Roman"/>
          <w:u w:val="single"/>
        </w:rPr>
        <w:t>K bodu 13</w:t>
      </w:r>
    </w:p>
    <w:p w:rsidR="00ED6BD2" w:rsidRPr="00A63436" w:rsidP="00ED6BD2">
      <w:pPr>
        <w:bidi w:val="0"/>
        <w:jc w:val="both"/>
        <w:rPr>
          <w:rFonts w:ascii="Times New Roman" w:hAnsi="Times New Roman"/>
        </w:rPr>
      </w:pPr>
      <w:r w:rsidRPr="00195605">
        <w:rPr>
          <w:rFonts w:ascii="Times New Roman" w:hAnsi="Times New Roman"/>
        </w:rPr>
        <w:t xml:space="preserve">Navrhuje sa </w:t>
      </w:r>
      <w:r>
        <w:rPr>
          <w:rFonts w:ascii="Times New Roman" w:hAnsi="Times New Roman"/>
        </w:rPr>
        <w:t>rozšíriť okruh žiadateľov , ktorým nie je možné poskytnúť finančné prostriedky FPU aj o žiadateľa, ktorý je majetkovo alebo personálne prepojený s osobou, ktorá nemá vysporiadané vzťahy s FPU. Dôvodom takéhoto návrhu je eliminovať v praxi sa vyskytujúce prípady, kedy si žiadateľ, ktorý nemá vysporiadané vzťahy s FPU, účelovo založí obchodnú spoločnosť, prípadne sa stane spoločníkom alebo konateľom právnickej osoby, cez ktorú následne žiada o poskytnutie finančných prostriedkov z FPU.</w:t>
      </w:r>
    </w:p>
    <w:p w:rsidR="00ED6BD2" w:rsidP="00ED6BD2">
      <w:pPr>
        <w:shd w:val="clear" w:color="auto" w:fill="FFFFFF"/>
        <w:bidi w:val="0"/>
        <w:jc w:val="both"/>
        <w:rPr>
          <w:rFonts w:ascii="Times New Roman" w:hAnsi="Times New Roman"/>
          <w:u w:val="single"/>
        </w:rPr>
      </w:pPr>
    </w:p>
    <w:p w:rsidR="00ED6BD2" w:rsidP="00ED6BD2">
      <w:pPr>
        <w:shd w:val="clear" w:color="auto" w:fill="FFFFFF"/>
        <w:bidi w:val="0"/>
        <w:jc w:val="both"/>
        <w:rPr>
          <w:rFonts w:ascii="Times New Roman" w:hAnsi="Times New Roman"/>
          <w:u w:val="single"/>
        </w:rPr>
      </w:pPr>
      <w:r>
        <w:rPr>
          <w:rFonts w:ascii="Times New Roman" w:hAnsi="Times New Roman"/>
          <w:u w:val="single"/>
        </w:rPr>
        <w:t>K bodu 14</w:t>
      </w:r>
    </w:p>
    <w:p w:rsidR="00ED6BD2" w:rsidRPr="00A63436" w:rsidP="00ED6BD2">
      <w:pPr>
        <w:shd w:val="clear" w:color="auto" w:fill="FFFFFF"/>
        <w:bidi w:val="0"/>
        <w:jc w:val="both"/>
        <w:rPr>
          <w:rFonts w:ascii="Times New Roman" w:hAnsi="Times New Roman"/>
        </w:rPr>
      </w:pPr>
      <w:r w:rsidRPr="00A63436">
        <w:rPr>
          <w:rFonts w:ascii="Times New Roman" w:hAnsi="Times New Roman"/>
        </w:rPr>
        <w:t xml:space="preserve">Nesprávne </w:t>
      </w:r>
      <w:r>
        <w:rPr>
          <w:rFonts w:ascii="Times New Roman" w:hAnsi="Times New Roman"/>
        </w:rPr>
        <w:t>použitý pojem „odborná rada“ sa nahrádza správnym pojmom „ odborná komisia“.</w:t>
      </w:r>
    </w:p>
    <w:p w:rsidR="00ED6BD2" w:rsidP="00ED6BD2">
      <w:pPr>
        <w:shd w:val="clear" w:color="auto" w:fill="FFFFFF"/>
        <w:bidi w:val="0"/>
        <w:jc w:val="both"/>
        <w:rPr>
          <w:rFonts w:ascii="Times New Roman" w:hAnsi="Times New Roman"/>
          <w:u w:val="single"/>
        </w:rPr>
      </w:pPr>
    </w:p>
    <w:p w:rsidR="00ED6BD2" w:rsidP="00ED6BD2">
      <w:pPr>
        <w:shd w:val="clear" w:color="auto" w:fill="FFFFFF"/>
        <w:bidi w:val="0"/>
        <w:jc w:val="both"/>
        <w:rPr>
          <w:rFonts w:ascii="Times New Roman" w:hAnsi="Times New Roman"/>
          <w:u w:val="single"/>
        </w:rPr>
      </w:pPr>
      <w:r>
        <w:rPr>
          <w:rFonts w:ascii="Times New Roman" w:hAnsi="Times New Roman"/>
          <w:u w:val="single"/>
        </w:rPr>
        <w:t>K bodu 15</w:t>
      </w:r>
    </w:p>
    <w:p w:rsidR="00ED6BD2" w:rsidRPr="004218B7" w:rsidP="00ED6BD2">
      <w:pPr>
        <w:shd w:val="clear" w:color="auto" w:fill="FFFFFF"/>
        <w:bidi w:val="0"/>
        <w:jc w:val="both"/>
        <w:rPr>
          <w:rFonts w:ascii="Times New Roman" w:hAnsi="Times New Roman"/>
        </w:rPr>
      </w:pPr>
      <w:r w:rsidRPr="00C32C6C">
        <w:rPr>
          <w:rFonts w:ascii="Times New Roman" w:hAnsi="Times New Roman"/>
        </w:rPr>
        <w:t xml:space="preserve">Na základe požiadaviek vyplývajúcich z aplikačnej praxe pri uplatňovaní zákona sa navrhuje vypustiť </w:t>
      </w:r>
      <w:r>
        <w:rPr>
          <w:rFonts w:ascii="Times New Roman" w:hAnsi="Times New Roman"/>
        </w:rPr>
        <w:t xml:space="preserve">obmedzenie, v zmysle ktorého žiadateľom nemôže byť právnická  </w:t>
      </w:r>
      <w:r w:rsidRPr="00A8453A">
        <w:rPr>
          <w:rFonts w:ascii="Times New Roman" w:hAnsi="Times New Roman"/>
        </w:rPr>
        <w:t xml:space="preserve">osoba, ktorej členom riadiacich, kontrolných alebo členom dozorných orgánov, štatutárnym orgánom alebo členom štatutárnych orgánov je </w:t>
      </w:r>
      <w:r>
        <w:rPr>
          <w:rFonts w:ascii="Times New Roman" w:hAnsi="Times New Roman"/>
        </w:rPr>
        <w:t xml:space="preserve">blízka osoba </w:t>
      </w:r>
      <w:r w:rsidRPr="00A8453A">
        <w:rPr>
          <w:rFonts w:ascii="Times New Roman" w:hAnsi="Times New Roman"/>
        </w:rPr>
        <w:t>člen</w:t>
      </w:r>
      <w:r>
        <w:rPr>
          <w:rFonts w:ascii="Times New Roman" w:hAnsi="Times New Roman"/>
        </w:rPr>
        <w:t>ovi</w:t>
      </w:r>
      <w:r w:rsidRPr="00A8453A">
        <w:rPr>
          <w:rFonts w:ascii="Times New Roman" w:hAnsi="Times New Roman"/>
        </w:rPr>
        <w:t xml:space="preserve"> rady, člen</w:t>
      </w:r>
      <w:r>
        <w:rPr>
          <w:rFonts w:ascii="Times New Roman" w:hAnsi="Times New Roman"/>
        </w:rPr>
        <w:t>ovi</w:t>
      </w:r>
      <w:r w:rsidRPr="00A8453A">
        <w:rPr>
          <w:rFonts w:ascii="Times New Roman" w:hAnsi="Times New Roman"/>
        </w:rPr>
        <w:t xml:space="preserve"> dozornej komisie, riaditeľ</w:t>
      </w:r>
      <w:r>
        <w:rPr>
          <w:rFonts w:ascii="Times New Roman" w:hAnsi="Times New Roman"/>
        </w:rPr>
        <w:t xml:space="preserve">ovi alebo zamestnancovi FPU. </w:t>
      </w:r>
      <w:r w:rsidRPr="00C32C6C">
        <w:rPr>
          <w:rFonts w:ascii="Times New Roman" w:hAnsi="Times New Roman"/>
        </w:rPr>
        <w:t xml:space="preserve">Ide o prílišnú reštrikciu, keďže uvedené </w:t>
      </w:r>
      <w:r>
        <w:rPr>
          <w:rFonts w:ascii="Times New Roman" w:hAnsi="Times New Roman"/>
        </w:rPr>
        <w:t xml:space="preserve">blízke </w:t>
      </w:r>
      <w:r w:rsidRPr="00C32C6C">
        <w:rPr>
          <w:rFonts w:ascii="Times New Roman" w:hAnsi="Times New Roman"/>
        </w:rPr>
        <w:t>osoby sa nezúčastňujú na priamom rozhodovaní o pridelení finančných prostriedkov z</w:t>
      </w:r>
      <w:r>
        <w:rPr>
          <w:rFonts w:ascii="Times New Roman" w:hAnsi="Times New Roman"/>
        </w:rPr>
        <w:t> FPU</w:t>
      </w:r>
      <w:r w:rsidRPr="00C32C6C">
        <w:rPr>
          <w:rFonts w:ascii="Times New Roman" w:hAnsi="Times New Roman"/>
        </w:rPr>
        <w:t xml:space="preserve">, čo sa ukázalo aj v praxi doterajšieho fungovania </w:t>
      </w:r>
      <w:r>
        <w:rPr>
          <w:rFonts w:ascii="Times New Roman" w:hAnsi="Times New Roman"/>
        </w:rPr>
        <w:t>FPU.</w:t>
      </w:r>
    </w:p>
    <w:p w:rsidR="00ED6BD2" w:rsidP="00ED6BD2">
      <w:pPr>
        <w:shd w:val="clear" w:color="auto" w:fill="FFFFFF"/>
        <w:bidi w:val="0"/>
        <w:jc w:val="both"/>
        <w:rPr>
          <w:rFonts w:ascii="Times New Roman" w:hAnsi="Times New Roman"/>
          <w:u w:val="single"/>
        </w:rPr>
      </w:pPr>
    </w:p>
    <w:p w:rsidR="00ED6BD2" w:rsidP="00ED6BD2">
      <w:pPr>
        <w:shd w:val="clear" w:color="auto" w:fill="FFFFFF"/>
        <w:bidi w:val="0"/>
        <w:jc w:val="both"/>
        <w:rPr>
          <w:rFonts w:ascii="Times New Roman" w:hAnsi="Times New Roman"/>
          <w:u w:val="single"/>
        </w:rPr>
      </w:pPr>
      <w:r>
        <w:rPr>
          <w:rFonts w:ascii="Times New Roman" w:hAnsi="Times New Roman"/>
          <w:u w:val="single"/>
        </w:rPr>
        <w:t>K bodu 16</w:t>
      </w:r>
    </w:p>
    <w:p w:rsidR="00ED6BD2" w:rsidRPr="008B4721" w:rsidP="00ED6BD2">
      <w:pPr>
        <w:shd w:val="clear" w:color="auto" w:fill="FFFFFF"/>
        <w:bidi w:val="0"/>
        <w:jc w:val="both"/>
        <w:rPr>
          <w:rFonts w:ascii="Times New Roman" w:hAnsi="Times New Roman"/>
        </w:rPr>
      </w:pPr>
      <w:r w:rsidRPr="008B4721">
        <w:rPr>
          <w:rFonts w:ascii="Times New Roman" w:hAnsi="Times New Roman"/>
        </w:rPr>
        <w:t xml:space="preserve">Upravuje sa začiatok plynutia </w:t>
      </w:r>
      <w:r>
        <w:rPr>
          <w:rFonts w:ascii="Times New Roman" w:hAnsi="Times New Roman"/>
        </w:rPr>
        <w:t xml:space="preserve">30 dňovej </w:t>
      </w:r>
      <w:r w:rsidRPr="008B4721">
        <w:rPr>
          <w:rFonts w:ascii="Times New Roman" w:hAnsi="Times New Roman"/>
        </w:rPr>
        <w:t>lehoty</w:t>
      </w:r>
      <w:r>
        <w:rPr>
          <w:rFonts w:ascii="Times New Roman" w:hAnsi="Times New Roman"/>
        </w:rPr>
        <w:t xml:space="preserve"> na doručenie návrhu zmluvy žiadateľovi. V zmysle navrhovanej právnej úpravy FPU</w:t>
      </w:r>
      <w:r w:rsidRPr="00A8453A">
        <w:rPr>
          <w:rFonts w:ascii="Times New Roman" w:hAnsi="Times New Roman"/>
        </w:rPr>
        <w:t xml:space="preserve"> doručí žiadateľovi návrh zmluvy do 30</w:t>
      </w:r>
      <w:r>
        <w:rPr>
          <w:rFonts w:ascii="Times New Roman" w:hAnsi="Times New Roman"/>
        </w:rPr>
        <w:t xml:space="preserve"> pracovných</w:t>
      </w:r>
      <w:r w:rsidRPr="00A8453A">
        <w:rPr>
          <w:rFonts w:ascii="Times New Roman" w:hAnsi="Times New Roman"/>
        </w:rPr>
        <w:t xml:space="preserve"> dní </w:t>
      </w:r>
      <w:r w:rsidRPr="00F21342">
        <w:rPr>
          <w:rFonts w:ascii="Times New Roman" w:hAnsi="Times New Roman"/>
        </w:rPr>
        <w:t>odo dňa doručenia všetkých náležitostí potrebných pre vyhotovenie návrhu zmluvy</w:t>
      </w:r>
      <w:r w:rsidRPr="00A8453A">
        <w:rPr>
          <w:rFonts w:ascii="Times New Roman" w:hAnsi="Times New Roman"/>
        </w:rPr>
        <w:t>.</w:t>
      </w:r>
    </w:p>
    <w:p w:rsidR="00ED6BD2" w:rsidP="00ED6BD2">
      <w:pPr>
        <w:shd w:val="clear" w:color="auto" w:fill="FFFFFF"/>
        <w:bidi w:val="0"/>
        <w:jc w:val="both"/>
        <w:rPr>
          <w:rFonts w:ascii="Times New Roman" w:hAnsi="Times New Roman"/>
          <w:u w:val="single"/>
        </w:rPr>
      </w:pPr>
    </w:p>
    <w:p w:rsidR="00ED6BD2" w:rsidP="00ED6BD2">
      <w:pPr>
        <w:shd w:val="clear" w:color="auto" w:fill="FFFFFF"/>
        <w:bidi w:val="0"/>
        <w:jc w:val="both"/>
        <w:rPr>
          <w:rFonts w:ascii="Times New Roman" w:hAnsi="Times New Roman"/>
          <w:u w:val="single"/>
        </w:rPr>
      </w:pPr>
      <w:r>
        <w:rPr>
          <w:rFonts w:ascii="Times New Roman" w:hAnsi="Times New Roman"/>
          <w:u w:val="single"/>
        </w:rPr>
        <w:t>K bodu 17</w:t>
      </w:r>
    </w:p>
    <w:p w:rsidR="00ED6BD2" w:rsidRPr="00E67B2B" w:rsidP="00ED6BD2">
      <w:pPr>
        <w:shd w:val="clear" w:color="auto" w:fill="FFFFFF"/>
        <w:bidi w:val="0"/>
        <w:jc w:val="both"/>
        <w:rPr>
          <w:rFonts w:ascii="Times New Roman" w:hAnsi="Times New Roman"/>
        </w:rPr>
      </w:pPr>
      <w:r>
        <w:rPr>
          <w:rFonts w:ascii="Times New Roman" w:hAnsi="Times New Roman"/>
        </w:rPr>
        <w:t>Navrhuje sa rozšíriť povinnosť doručiť FPU pred podpisom zmluvy zákonom ustanovené potvrdenia z právnických osôb a fyzických osôb - podnikateľov na všetkých žiadateľov, teda aj na fyzické osoby nepodnikateľov.</w:t>
      </w:r>
    </w:p>
    <w:p w:rsidR="00ED6BD2" w:rsidRPr="003D2F95" w:rsidP="00ED6BD2">
      <w:pPr>
        <w:shd w:val="clear" w:color="auto" w:fill="FFFFFF"/>
        <w:bidi w:val="0"/>
        <w:jc w:val="both"/>
        <w:rPr>
          <w:rFonts w:ascii="Times New Roman" w:hAnsi="Times New Roman"/>
          <w:u w:val="single"/>
        </w:rPr>
      </w:pPr>
      <w:r>
        <w:rPr>
          <w:rFonts w:ascii="Times New Roman" w:hAnsi="Times New Roman"/>
          <w:u w:val="single"/>
        </w:rPr>
        <w:t>K bodu 18</w:t>
      </w:r>
    </w:p>
    <w:p w:rsidR="00ED6BD2" w:rsidRPr="003506CA" w:rsidP="00ED6BD2">
      <w:pPr>
        <w:shd w:val="clear" w:color="auto" w:fill="FFFFFF"/>
        <w:autoSpaceDE w:val="0"/>
        <w:autoSpaceDN w:val="0"/>
        <w:bidi w:val="0"/>
        <w:jc w:val="both"/>
        <w:rPr>
          <w:rFonts w:ascii="Times New Roman" w:hAnsi="Times New Roman"/>
        </w:rPr>
      </w:pPr>
      <w:r w:rsidRPr="003D2F95">
        <w:rPr>
          <w:rFonts w:ascii="Times New Roman" w:hAnsi="Times New Roman"/>
        </w:rPr>
        <w:t xml:space="preserve">Na základe požiadaviek vyplývajúcich z aplikačnej praxe pri uplatňovaní zákona a z dôvodu výkladových problémov, týkajúcich sa určenia momentu, od ktorého sú poskytnuté finančné prostriedky použité neoprávnene a čo presne pokladať za </w:t>
      </w:r>
      <w:r w:rsidRPr="00923126">
        <w:rPr>
          <w:rFonts w:ascii="Times New Roman" w:hAnsi="Times New Roman"/>
        </w:rPr>
        <w:t>moment ukončenia realizácie projektu, sa navrhuje preformulovať znenie uvedeného ustanovenia zákona tak, aby bolo jednoznačné, v akej lehote je prijímateľ finančných prostriedkov povinný vrátiť finančné prostriedky. V zmysle navrhovaného znenia bude prijímateľ finančných prostriedkov povinný</w:t>
      </w:r>
      <w:r w:rsidRPr="003D2F95">
        <w:rPr>
          <w:rFonts w:ascii="Times New Roman" w:hAnsi="Times New Roman"/>
        </w:rPr>
        <w:t xml:space="preserve"> vrátiť </w:t>
      </w:r>
      <w:r>
        <w:rPr>
          <w:rFonts w:ascii="Times New Roman" w:hAnsi="Times New Roman"/>
        </w:rPr>
        <w:t>FPU</w:t>
      </w:r>
      <w:r w:rsidRPr="003D2F95">
        <w:rPr>
          <w:rFonts w:ascii="Times New Roman" w:hAnsi="Times New Roman"/>
        </w:rPr>
        <w:t xml:space="preserve"> finančné prostriedky v lehote určenej </w:t>
      </w:r>
      <w:r>
        <w:rPr>
          <w:rFonts w:ascii="Times New Roman" w:hAnsi="Times New Roman"/>
        </w:rPr>
        <w:t>FPU</w:t>
      </w:r>
      <w:r w:rsidRPr="003D2F95">
        <w:rPr>
          <w:rFonts w:ascii="Times New Roman" w:hAnsi="Times New Roman"/>
        </w:rPr>
        <w:t>. Zároveň sa navrhuje optimalizácia procesov pri finančnom vyúčtovaní a vecnom vyhodnotení projektov tým spôsobom, že zákonom stanovená pokuta bude uplatnená pri každom projekte za nepredloženie vyúčtovania bez ohľadu na to, či bude prijímateľ vyzvaný</w:t>
      </w:r>
      <w:r>
        <w:rPr>
          <w:rFonts w:ascii="Times New Roman" w:hAnsi="Times New Roman"/>
        </w:rPr>
        <w:t xml:space="preserve"> FPU</w:t>
      </w:r>
      <w:r w:rsidRPr="003D2F95">
        <w:rPr>
          <w:rFonts w:ascii="Times New Roman" w:hAnsi="Times New Roman"/>
        </w:rPr>
        <w:t xml:space="preserve">, alebo vyúčtovanie predloží oneskorene. Rovnako lehota šesť mesiacov za nepredloženie vyúčtovania sa skracuje na jeden mesiac, aby bolo možné vytvoriť primeraný tlak na súčinnosť </w:t>
      </w:r>
      <w:r w:rsidRPr="00923126">
        <w:rPr>
          <w:rFonts w:ascii="Times New Roman" w:hAnsi="Times New Roman"/>
        </w:rPr>
        <w:t>prijímateľa s FPU. V súvislosti so skrátením lehoty pri nepre</w:t>
      </w:r>
      <w:r>
        <w:rPr>
          <w:rFonts w:ascii="Times New Roman" w:hAnsi="Times New Roman"/>
        </w:rPr>
        <w:t>dložení</w:t>
      </w:r>
      <w:r w:rsidRPr="00923126">
        <w:rPr>
          <w:rFonts w:ascii="Times New Roman" w:hAnsi="Times New Roman"/>
        </w:rPr>
        <w:t xml:space="preserve"> vyúčtovania sa primerane znižuje suma pokuty za každý ukončený mesiac </w:t>
      </w:r>
      <w:r>
        <w:rPr>
          <w:rFonts w:ascii="Times New Roman" w:hAnsi="Times New Roman"/>
        </w:rPr>
        <w:t>o</w:t>
      </w:r>
      <w:r w:rsidRPr="00923126">
        <w:rPr>
          <w:rFonts w:ascii="Times New Roman" w:hAnsi="Times New Roman"/>
        </w:rPr>
        <w:t>meškania.  Z dôvodu výkladových problémov, týkajúcich sa určenia momentu, od ktorého je potrebné počítať pokutu za neoprávnené po</w:t>
      </w:r>
      <w:r>
        <w:rPr>
          <w:rFonts w:ascii="Times New Roman" w:hAnsi="Times New Roman"/>
        </w:rPr>
        <w:t>u</w:t>
      </w:r>
      <w:r w:rsidRPr="00923126">
        <w:rPr>
          <w:rFonts w:ascii="Times New Roman" w:hAnsi="Times New Roman"/>
        </w:rPr>
        <w:t>žitie finančných prostriedkov a neoprávnené zadržiavanie finančných prostriedkov sa navrhuje, aby prijímateľ finančných prostriedkov platil pokutu vo výške 0,05 % z</w:t>
      </w:r>
      <w:r>
        <w:rPr>
          <w:rFonts w:ascii="Times New Roman" w:hAnsi="Times New Roman"/>
        </w:rPr>
        <w:t xml:space="preserve"> </w:t>
      </w:r>
      <w:r w:rsidRPr="00923126">
        <w:rPr>
          <w:rFonts w:ascii="Times New Roman" w:hAnsi="Times New Roman"/>
        </w:rPr>
        <w:t>neoprávnene použitých alebo neoprávnene zadržaných finančných prostriedkov za každý začatý deň omeškania až do ich vrátenia FPU. Prvým dňom omeškania je deň nasledujúci po uplynutí lehoty určenej FPU.</w:t>
      </w:r>
    </w:p>
    <w:p w:rsidR="00ED6BD2" w:rsidP="00ED6BD2">
      <w:pPr>
        <w:shd w:val="clear" w:color="auto" w:fill="FFFFFF"/>
        <w:bidi w:val="0"/>
        <w:jc w:val="both"/>
        <w:rPr>
          <w:rFonts w:ascii="Times New Roman" w:hAnsi="Times New Roman"/>
          <w:u w:val="single"/>
        </w:rPr>
      </w:pPr>
    </w:p>
    <w:p w:rsidR="00ED6BD2" w:rsidRPr="00820053" w:rsidP="00ED6BD2">
      <w:pPr>
        <w:shd w:val="clear" w:color="auto" w:fill="FFFFFF"/>
        <w:bidi w:val="0"/>
        <w:jc w:val="both"/>
        <w:rPr>
          <w:rFonts w:ascii="Times New Roman" w:hAnsi="Times New Roman"/>
          <w:u w:val="single"/>
        </w:rPr>
      </w:pPr>
      <w:r>
        <w:rPr>
          <w:rFonts w:ascii="Times New Roman" w:hAnsi="Times New Roman"/>
          <w:u w:val="single"/>
        </w:rPr>
        <w:t>K bodu 19</w:t>
      </w:r>
    </w:p>
    <w:p w:rsidR="00ED6BD2" w:rsidRPr="00820053" w:rsidP="00ED6BD2">
      <w:pPr>
        <w:shd w:val="clear" w:color="auto" w:fill="FFFFFF"/>
        <w:bidi w:val="0"/>
        <w:jc w:val="both"/>
        <w:rPr>
          <w:rFonts w:ascii="Times New Roman" w:hAnsi="Times New Roman"/>
        </w:rPr>
      </w:pPr>
      <w:r w:rsidRPr="00820053">
        <w:rPr>
          <w:rFonts w:ascii="Times New Roman" w:hAnsi="Times New Roman"/>
        </w:rPr>
        <w:t>Dopĺňa sa pomenovanie (</w:t>
      </w:r>
      <w:r w:rsidRPr="00820053">
        <w:rPr>
          <w:rFonts w:ascii="Times New Roman" w:hAnsi="Times New Roman"/>
          <w:i/>
        </w:rPr>
        <w:t>expressis verbis</w:t>
      </w:r>
      <w:r w:rsidRPr="00820053">
        <w:rPr>
          <w:rFonts w:ascii="Times New Roman" w:hAnsi="Times New Roman"/>
        </w:rPr>
        <w:t xml:space="preserve">) príjmov </w:t>
      </w:r>
      <w:r w:rsidRPr="00923126">
        <w:rPr>
          <w:rFonts w:ascii="Times New Roman" w:hAnsi="Times New Roman"/>
        </w:rPr>
        <w:t>FPU</w:t>
      </w:r>
      <w:r w:rsidRPr="00820053">
        <w:rPr>
          <w:rFonts w:ascii="Times New Roman" w:hAnsi="Times New Roman"/>
        </w:rPr>
        <w:t xml:space="preserve">, ktoré boli doteraz zahrnuté pod tzv. iné príjmy, a to vratky nepoužitých alebo neoprávnene použitých finančných prostriedkov poskytnutých </w:t>
      </w:r>
      <w:r w:rsidRPr="00923126">
        <w:rPr>
          <w:rFonts w:ascii="Times New Roman" w:hAnsi="Times New Roman"/>
        </w:rPr>
        <w:t>FPU</w:t>
      </w:r>
      <w:r w:rsidRPr="00820053">
        <w:rPr>
          <w:rFonts w:ascii="Times New Roman" w:hAnsi="Times New Roman"/>
        </w:rPr>
        <w:t xml:space="preserve"> podľa tohto zákona</w:t>
      </w:r>
      <w:r>
        <w:rPr>
          <w:rFonts w:ascii="Times New Roman" w:hAnsi="Times New Roman"/>
        </w:rPr>
        <w:t>,</w:t>
      </w:r>
      <w:r w:rsidRPr="00820053">
        <w:rPr>
          <w:rFonts w:ascii="Times New Roman" w:hAnsi="Times New Roman"/>
        </w:rPr>
        <w:t xml:space="preserve"> úroky z pôžičiek poskytnutých </w:t>
      </w:r>
      <w:r w:rsidRPr="00923126">
        <w:rPr>
          <w:rFonts w:ascii="Times New Roman" w:hAnsi="Times New Roman"/>
        </w:rPr>
        <w:t>FPU</w:t>
      </w:r>
      <w:r w:rsidRPr="00820053">
        <w:rPr>
          <w:rFonts w:ascii="Times New Roman" w:hAnsi="Times New Roman"/>
        </w:rPr>
        <w:t xml:space="preserve"> a finančné prostriedky Európskej únie, finančné prostriedky Európskeho hospodárskeho priestoru, finančné prostriedky Nórskeho finančného mechanizmu a finančné prostriedky Švajčiarskeho finančného mechanizmu. Zároveň sa spresňuje vymedzenie jednotlivých príjmov </w:t>
      </w:r>
      <w:r w:rsidRPr="00923126">
        <w:rPr>
          <w:rFonts w:ascii="Times New Roman" w:hAnsi="Times New Roman"/>
        </w:rPr>
        <w:t>FPU</w:t>
      </w:r>
      <w:r w:rsidRPr="00820053">
        <w:rPr>
          <w:rFonts w:ascii="Times New Roman" w:hAnsi="Times New Roman"/>
        </w:rPr>
        <w:t xml:space="preserve"> z hľadiska ich použitia </w:t>
      </w:r>
      <w:r w:rsidRPr="00923126">
        <w:rPr>
          <w:rFonts w:ascii="Times New Roman" w:hAnsi="Times New Roman"/>
        </w:rPr>
        <w:t>FPU</w:t>
      </w:r>
      <w:r w:rsidRPr="00820053">
        <w:rPr>
          <w:rFonts w:ascii="Times New Roman" w:hAnsi="Times New Roman"/>
        </w:rPr>
        <w:t xml:space="preserve"> na podpornú činnosť, resp. na vlastnú prevádzku </w:t>
      </w:r>
      <w:r w:rsidRPr="00923126">
        <w:rPr>
          <w:rFonts w:ascii="Times New Roman" w:hAnsi="Times New Roman"/>
        </w:rPr>
        <w:t>FPU</w:t>
      </w:r>
      <w:r w:rsidRPr="00820053">
        <w:rPr>
          <w:rFonts w:ascii="Times New Roman" w:hAnsi="Times New Roman"/>
        </w:rPr>
        <w:t xml:space="preserve">. </w:t>
      </w:r>
      <w:r w:rsidRPr="0061724F">
        <w:rPr>
          <w:rFonts w:ascii="Times New Roman" w:hAnsi="Times New Roman"/>
        </w:rPr>
        <w:t xml:space="preserve">Zároveň sa spresňuje režim príspevku zo štátneho rozpočtu s tým, že príspevky zo štátneho rozpočtu poskytnuté </w:t>
      </w:r>
      <w:r w:rsidRPr="00923126">
        <w:rPr>
          <w:rFonts w:ascii="Times New Roman" w:hAnsi="Times New Roman"/>
        </w:rPr>
        <w:t>FPU</w:t>
      </w:r>
      <w:r w:rsidRPr="0061724F">
        <w:rPr>
          <w:rFonts w:ascii="Times New Roman" w:hAnsi="Times New Roman"/>
        </w:rPr>
        <w:t xml:space="preserve"> sa okamihom ich pripísania na účet </w:t>
      </w:r>
      <w:r w:rsidRPr="00923126">
        <w:rPr>
          <w:rFonts w:ascii="Times New Roman" w:hAnsi="Times New Roman"/>
        </w:rPr>
        <w:t>FPU</w:t>
      </w:r>
      <w:r w:rsidRPr="0061724F">
        <w:rPr>
          <w:rFonts w:ascii="Times New Roman" w:hAnsi="Times New Roman"/>
        </w:rPr>
        <w:t xml:space="preserve"> už nepovažujú za prostriedky štátneho rozpočtu, nakoľko na účely podľa zákona č. 523/2004 Z. z. o rozpočtových pravidlách verejnej správy a o zmene a doplnení niektorých zákonov v znení neskorších predpisov sa považujú za vyčerpané na určený účel. Tieto finančné prostriedky sú príjmom </w:t>
      </w:r>
      <w:r w:rsidRPr="00923126">
        <w:rPr>
          <w:rFonts w:ascii="Times New Roman" w:hAnsi="Times New Roman"/>
        </w:rPr>
        <w:t>FPU</w:t>
      </w:r>
      <w:r w:rsidRPr="0061724F">
        <w:rPr>
          <w:rFonts w:ascii="Times New Roman" w:hAnsi="Times New Roman"/>
        </w:rPr>
        <w:t xml:space="preserve">, ktorý ho spolu s ďalšími príjmami rozpočtuje </w:t>
      </w:r>
      <w:r w:rsidRPr="00E73431">
        <w:rPr>
          <w:rFonts w:ascii="Times New Roman" w:hAnsi="Times New Roman"/>
        </w:rPr>
        <w:t>najmenej na tri rozpočtové roky</w:t>
      </w:r>
      <w:r w:rsidRPr="0061724F">
        <w:rPr>
          <w:rFonts w:ascii="Times New Roman" w:hAnsi="Times New Roman"/>
        </w:rPr>
        <w:t xml:space="preserve">, </w:t>
      </w:r>
      <w:r>
        <w:rPr>
          <w:rFonts w:ascii="Times New Roman" w:hAnsi="Times New Roman"/>
        </w:rPr>
        <w:t>pričom príslušný kalendárny rok</w:t>
      </w:r>
      <w:r w:rsidRPr="0061724F">
        <w:rPr>
          <w:rFonts w:ascii="Times New Roman" w:hAnsi="Times New Roman"/>
        </w:rPr>
        <w:t xml:space="preserve"> je rozpočtovým rokom</w:t>
      </w:r>
      <w:r w:rsidRPr="00FF00E3">
        <w:rPr>
          <w:rFonts w:ascii="Times New Roman" w:hAnsi="Times New Roman"/>
        </w:rPr>
        <w:t xml:space="preserve"> </w:t>
      </w:r>
      <w:r w:rsidRPr="00923126">
        <w:rPr>
          <w:rFonts w:ascii="Times New Roman" w:hAnsi="Times New Roman"/>
        </w:rPr>
        <w:t>FPU</w:t>
      </w:r>
      <w:r w:rsidRPr="0061724F">
        <w:rPr>
          <w:rFonts w:ascii="Times New Roman" w:hAnsi="Times New Roman"/>
        </w:rPr>
        <w:t xml:space="preserve">. Ak </w:t>
      </w:r>
      <w:r w:rsidRPr="00923126">
        <w:rPr>
          <w:rFonts w:ascii="Times New Roman" w:hAnsi="Times New Roman"/>
        </w:rPr>
        <w:t>FPU</w:t>
      </w:r>
      <w:r w:rsidRPr="0061724F">
        <w:rPr>
          <w:rFonts w:ascii="Times New Roman" w:hAnsi="Times New Roman"/>
        </w:rPr>
        <w:t xml:space="preserve"> v príslušnom rozpočtovom roku nepoužije všetky finančné prostriedky, môže nevyčerpaný zostatok finančných prostriedkov použiť v nasledujúcich rozpočtových rokoch.</w:t>
      </w:r>
      <w:r w:rsidRPr="00820053">
        <w:rPr>
          <w:rFonts w:ascii="Times New Roman" w:hAnsi="Times New Roman"/>
        </w:rPr>
        <w:t xml:space="preserve"> Navrhuje sa aj zvýšenie sumy na prevádzku </w:t>
      </w:r>
      <w:r w:rsidRPr="00923126">
        <w:rPr>
          <w:rFonts w:ascii="Times New Roman" w:hAnsi="Times New Roman"/>
        </w:rPr>
        <w:t>FPU</w:t>
      </w:r>
      <w:r w:rsidRPr="00820053">
        <w:rPr>
          <w:rFonts w:ascii="Times New Roman" w:hAnsi="Times New Roman"/>
        </w:rPr>
        <w:t xml:space="preserve"> o 0,5</w:t>
      </w:r>
      <w:r>
        <w:rPr>
          <w:rFonts w:ascii="Times New Roman" w:hAnsi="Times New Roman"/>
        </w:rPr>
        <w:t xml:space="preserve"> </w:t>
      </w:r>
      <w:r w:rsidRPr="00820053">
        <w:rPr>
          <w:rFonts w:ascii="Times New Roman" w:hAnsi="Times New Roman"/>
        </w:rPr>
        <w:t xml:space="preserve">%, keďže </w:t>
      </w:r>
      <w:r w:rsidRPr="00923126">
        <w:rPr>
          <w:rFonts w:ascii="Times New Roman" w:hAnsi="Times New Roman"/>
        </w:rPr>
        <w:t>FPU</w:t>
      </w:r>
      <w:r w:rsidRPr="00820053">
        <w:rPr>
          <w:rFonts w:ascii="Times New Roman" w:hAnsi="Times New Roman"/>
        </w:rPr>
        <w:t xml:space="preserve"> momentálne spracováva takmer 5000 žiadostí a administruje približne 2800 zmlúv a vyúčtovaní projektov ročne. </w:t>
      </w:r>
      <w:r w:rsidRPr="00923126">
        <w:rPr>
          <w:rFonts w:ascii="Times New Roman" w:hAnsi="Times New Roman"/>
        </w:rPr>
        <w:t>FPU</w:t>
      </w:r>
      <w:r w:rsidRPr="00820053">
        <w:rPr>
          <w:rFonts w:ascii="Times New Roman" w:hAnsi="Times New Roman"/>
        </w:rPr>
        <w:t xml:space="preserve"> začal podporovať aj náročnejšie a komplexnejšie projekty v porovnaní s dotačnými schémami Ministerstva kultúry S</w:t>
      </w:r>
      <w:r>
        <w:rPr>
          <w:rFonts w:ascii="Times New Roman" w:hAnsi="Times New Roman"/>
        </w:rPr>
        <w:t>lovenskej republiky</w:t>
      </w:r>
      <w:r w:rsidRPr="00820053">
        <w:rPr>
          <w:rFonts w:ascii="Times New Roman" w:hAnsi="Times New Roman"/>
        </w:rPr>
        <w:t xml:space="preserve">, ktoré vyžadujú väčšie personálne kapacity a sú časovo náročnejšie na administráciu a spracovanie. Rovnako </w:t>
      </w:r>
      <w:r w:rsidRPr="00923126">
        <w:rPr>
          <w:rFonts w:ascii="Times New Roman" w:hAnsi="Times New Roman"/>
        </w:rPr>
        <w:t>FPU</w:t>
      </w:r>
      <w:r w:rsidRPr="00820053">
        <w:rPr>
          <w:rFonts w:ascii="Times New Roman" w:hAnsi="Times New Roman"/>
        </w:rPr>
        <w:t xml:space="preserve"> pribudli nové povinnosti vyplývajúce z registrovania príjemcov štátnej pomoci a minimálnej pomoci a z vedenia registra profesionálnych umelcov. Z hľadiska početných štrukturálnych zmien v § 23, ktoré vyplývajú z vyššie uvedených obsahových doplnení sa navrhuje nové úplné znenie § 23. </w:t>
        <w:tab/>
      </w:r>
    </w:p>
    <w:p w:rsidR="00ED6BD2" w:rsidP="00ED6BD2">
      <w:pPr>
        <w:shd w:val="clear" w:color="auto" w:fill="FFFFFF"/>
        <w:bidi w:val="0"/>
        <w:jc w:val="both"/>
        <w:rPr>
          <w:rFonts w:ascii="Times New Roman" w:hAnsi="Times New Roman"/>
          <w:u w:val="single"/>
        </w:rPr>
      </w:pPr>
    </w:p>
    <w:p w:rsidR="00ED6BD2" w:rsidP="00ED6BD2">
      <w:pPr>
        <w:shd w:val="clear" w:color="auto" w:fill="FFFFFF"/>
        <w:bidi w:val="0"/>
        <w:jc w:val="both"/>
        <w:rPr>
          <w:rFonts w:ascii="Times New Roman" w:hAnsi="Times New Roman"/>
          <w:u w:val="single"/>
        </w:rPr>
      </w:pPr>
    </w:p>
    <w:p w:rsidR="00ED6BD2" w:rsidP="00ED6BD2">
      <w:pPr>
        <w:shd w:val="clear" w:color="auto" w:fill="FFFFFF"/>
        <w:bidi w:val="0"/>
        <w:jc w:val="both"/>
        <w:rPr>
          <w:rFonts w:ascii="Times New Roman" w:hAnsi="Times New Roman"/>
          <w:u w:val="single"/>
        </w:rPr>
      </w:pPr>
      <w:r>
        <w:rPr>
          <w:rFonts w:ascii="Times New Roman" w:hAnsi="Times New Roman"/>
          <w:u w:val="single"/>
        </w:rPr>
        <w:t>K bodu 20</w:t>
      </w:r>
    </w:p>
    <w:p w:rsidR="00ED6BD2" w:rsidP="00ED6BD2">
      <w:pPr>
        <w:bidi w:val="0"/>
        <w:jc w:val="both"/>
        <w:rPr>
          <w:rFonts w:ascii="Times New Roman" w:hAnsi="Times New Roman"/>
        </w:rPr>
      </w:pPr>
      <w:r>
        <w:rPr>
          <w:rFonts w:ascii="Times New Roman" w:hAnsi="Times New Roman"/>
        </w:rPr>
        <w:t>Pre FPU sa zavádza možnosť využiť na riešenie sporov s prijímateľom finančných prostriedkov poskytnutých</w:t>
      </w:r>
      <w:r w:rsidRPr="00401B60">
        <w:rPr>
          <w:rFonts w:ascii="Times New Roman" w:hAnsi="Times New Roman"/>
        </w:rPr>
        <w:t xml:space="preserve"> </w:t>
      </w:r>
      <w:r>
        <w:rPr>
          <w:rFonts w:ascii="Times New Roman" w:hAnsi="Times New Roman"/>
        </w:rPr>
        <w:t>FPU inštitút rozhodcovského konania podľa zákona č. 244/2002 Z. z. o rozhodcovskom konaní v znení neskorších predpisov.</w:t>
      </w:r>
    </w:p>
    <w:p w:rsidR="00ED6BD2" w:rsidP="00ED6BD2">
      <w:pPr>
        <w:bidi w:val="0"/>
        <w:jc w:val="both"/>
        <w:rPr>
          <w:rFonts w:ascii="Times New Roman" w:hAnsi="Times New Roman"/>
          <w:b/>
        </w:rPr>
      </w:pPr>
    </w:p>
    <w:p w:rsidR="00ED6BD2" w:rsidP="00ED6BD2">
      <w:pPr>
        <w:bidi w:val="0"/>
        <w:jc w:val="both"/>
        <w:rPr>
          <w:rFonts w:ascii="Times New Roman" w:hAnsi="Times New Roman"/>
          <w:b/>
        </w:rPr>
      </w:pPr>
      <w:r w:rsidRPr="006361C1">
        <w:rPr>
          <w:rFonts w:ascii="Times New Roman" w:hAnsi="Times New Roman"/>
          <w:b/>
        </w:rPr>
        <w:t>K čl. I</w:t>
      </w:r>
      <w:r>
        <w:rPr>
          <w:rFonts w:ascii="Times New Roman" w:hAnsi="Times New Roman"/>
          <w:b/>
        </w:rPr>
        <w:t>II</w:t>
      </w:r>
    </w:p>
    <w:p w:rsidR="00ED6BD2" w:rsidP="00ED6BD2">
      <w:pPr>
        <w:bidi w:val="0"/>
        <w:jc w:val="both"/>
        <w:rPr>
          <w:rFonts w:ascii="Times New Roman" w:hAnsi="Times New Roman"/>
          <w:b/>
        </w:rPr>
      </w:pPr>
    </w:p>
    <w:p w:rsidR="00ED6BD2" w:rsidRPr="004C6309" w:rsidP="00ED6BD2">
      <w:pPr>
        <w:bidi w:val="0"/>
        <w:jc w:val="both"/>
        <w:rPr>
          <w:rFonts w:ascii="Times New Roman" w:hAnsi="Times New Roman"/>
          <w:u w:val="single"/>
        </w:rPr>
      </w:pPr>
      <w:r w:rsidRPr="004C6309">
        <w:rPr>
          <w:rFonts w:ascii="Times New Roman" w:hAnsi="Times New Roman"/>
          <w:u w:val="single"/>
        </w:rPr>
        <w:t>K bodu 1</w:t>
      </w:r>
    </w:p>
    <w:p w:rsidR="00ED6BD2" w:rsidP="00ED6BD2">
      <w:pPr>
        <w:autoSpaceDE w:val="0"/>
        <w:autoSpaceDN w:val="0"/>
        <w:bidi w:val="0"/>
        <w:jc w:val="both"/>
        <w:rPr>
          <w:rFonts w:ascii="Times New Roman" w:hAnsi="Times New Roman"/>
        </w:rPr>
      </w:pPr>
      <w:r w:rsidRPr="000E5565">
        <w:rPr>
          <w:rFonts w:ascii="Times New Roman" w:hAnsi="Times New Roman"/>
        </w:rPr>
        <w:t>V nadväznosti na zmenu vzájomného pomeru vkladov koproducentov, ktorú priniesol revidovaný dohovor, navrhujeme zmeniť definíciu pojmu slovenské audiovizuálne dielo.</w:t>
      </w:r>
      <w:r>
        <w:rPr>
          <w:rFonts w:ascii="Times New Roman" w:hAnsi="Times New Roman"/>
        </w:rPr>
        <w:t xml:space="preserve"> </w:t>
      </w:r>
      <w:r w:rsidRPr="002237C5">
        <w:rPr>
          <w:rFonts w:ascii="Times New Roman" w:hAnsi="Times New Roman"/>
        </w:rPr>
        <w:t>Navrhuje sa zjednodušenie vymedzenia slovenského audiovizuálneho diela, ktoré je koprodukčným dielom, odkazom na splnenie podmie</w:t>
      </w:r>
      <w:r>
        <w:rPr>
          <w:rFonts w:ascii="Times New Roman" w:hAnsi="Times New Roman"/>
        </w:rPr>
        <w:t xml:space="preserve">nok </w:t>
      </w:r>
      <w:r w:rsidRPr="00E73431">
        <w:rPr>
          <w:rFonts w:ascii="Times New Roman" w:hAnsi="Times New Roman"/>
        </w:rPr>
        <w:t>na priznanie štatútu</w:t>
      </w:r>
      <w:r>
        <w:rPr>
          <w:rFonts w:ascii="Times New Roman" w:hAnsi="Times New Roman"/>
        </w:rPr>
        <w:t xml:space="preserve"> oficiálnej koprodukcie</w:t>
      </w:r>
      <w:r w:rsidRPr="002237C5">
        <w:rPr>
          <w:rFonts w:ascii="Times New Roman" w:hAnsi="Times New Roman"/>
        </w:rPr>
        <w:t xml:space="preserve"> za súčasného predpokladu, že aspoň jeden koproducent tohto diela má vzťah so Slovenskou republikou formou trvalého pobytu, miesta podnikania alebo sídla.</w:t>
      </w:r>
      <w:r>
        <w:rPr>
          <w:rFonts w:ascii="Times New Roman" w:hAnsi="Times New Roman"/>
        </w:rPr>
        <w:t xml:space="preserve"> Keďže revidovaný dohovor v článku 6 znižuje najmenší požadovaný vklad koproducenta, v praxi bude navrhovaná zmena znamenať, že v prípadoch koprodukcie, ktorá sa bude riadiť revidovaným dohovorom, bude minimálny podiel slovenského koproducenta v prípade mnohostranných koprodukcií 5 % a v prípade dvojstrannej koprodukcie 10 %.  </w:t>
      </w:r>
    </w:p>
    <w:p w:rsidR="00ED6BD2" w:rsidP="00ED6BD2">
      <w:pPr>
        <w:bidi w:val="0"/>
        <w:jc w:val="both"/>
        <w:rPr>
          <w:rFonts w:ascii="Times New Roman" w:hAnsi="Times New Roman"/>
          <w:u w:val="single"/>
        </w:rPr>
      </w:pPr>
    </w:p>
    <w:p w:rsidR="00ED6BD2" w:rsidRPr="00DE7B79" w:rsidP="00ED6BD2">
      <w:pPr>
        <w:bidi w:val="0"/>
        <w:jc w:val="both"/>
        <w:rPr>
          <w:rFonts w:ascii="Times New Roman" w:hAnsi="Times New Roman"/>
          <w:u w:val="single"/>
        </w:rPr>
      </w:pPr>
      <w:r>
        <w:rPr>
          <w:rFonts w:ascii="Times New Roman" w:hAnsi="Times New Roman"/>
          <w:u w:val="single"/>
        </w:rPr>
        <w:t>K bodu 2</w:t>
      </w:r>
    </w:p>
    <w:p w:rsidR="00ED6BD2" w:rsidRPr="00813F7F" w:rsidP="00ED6BD2">
      <w:pPr>
        <w:bidi w:val="0"/>
        <w:jc w:val="both"/>
        <w:rPr>
          <w:rFonts w:ascii="Times New Roman" w:hAnsi="Times New Roman"/>
        </w:rPr>
      </w:pPr>
      <w:r w:rsidRPr="00C342E4">
        <w:rPr>
          <w:rFonts w:ascii="Times New Roman" w:hAnsi="Times New Roman"/>
        </w:rPr>
        <w:t>Dopĺňa sa nová činno</w:t>
      </w:r>
      <w:r>
        <w:rPr>
          <w:rFonts w:ascii="Times New Roman" w:hAnsi="Times New Roman"/>
        </w:rPr>
        <w:t xml:space="preserve">sť Slovenského filmového ústavu, a to možnosť založenia múzea slovenskej kinematografie. Túto činnosť možno označiť ako doplnkovú činnosť k poslaniu a aktivitám národného filmového archívu. Zároveň táto nová činnosť predstavuje akcent na komplexnosť získavania, záchrany, obnovy a následného sprístupňovania kultúrneho dedičstva v oblasti audiovízie. </w:t>
      </w:r>
      <w:r w:rsidRPr="00813F7F">
        <w:rPr>
          <w:rFonts w:ascii="Times" w:hAnsi="Times" w:cs="Times"/>
          <w:bCs/>
        </w:rPr>
        <w:t>Múzeum slovenskej kinematografie by v prípade svojho zriadenia nemalo právnu subjektivitu, ako ju nemá napr. ani mediatéka a kino, ktoré Slovenský filmový ústav prevádzkuje v zmysle § 21 ods. 1 písm. g) a h) zákona č. 40/2015 Z. z. o audiovízii a o zmene a doplnení niektorých zákonov v znení zákona č. 278/2015 Z. z.</w:t>
      </w:r>
    </w:p>
    <w:p w:rsidR="00ED6BD2" w:rsidRPr="000E5565" w:rsidP="00ED6BD2">
      <w:pPr>
        <w:bidi w:val="0"/>
        <w:jc w:val="both"/>
        <w:rPr>
          <w:rFonts w:ascii="Times New Roman" w:hAnsi="Times New Roman"/>
        </w:rPr>
      </w:pPr>
    </w:p>
    <w:p w:rsidR="00ED6BD2" w:rsidP="00ED6BD2">
      <w:pPr>
        <w:bidi w:val="0"/>
        <w:jc w:val="both"/>
        <w:rPr>
          <w:rFonts w:ascii="Times New Roman" w:hAnsi="Times New Roman"/>
          <w:b/>
        </w:rPr>
      </w:pPr>
      <w:r>
        <w:rPr>
          <w:rFonts w:ascii="Times New Roman" w:hAnsi="Times New Roman"/>
          <w:b/>
        </w:rPr>
        <w:t>K čl. IV</w:t>
      </w:r>
    </w:p>
    <w:p w:rsidR="00ED6BD2" w:rsidP="00ED6BD2">
      <w:pPr>
        <w:bidi w:val="0"/>
        <w:jc w:val="both"/>
        <w:rPr>
          <w:rFonts w:ascii="Times New Roman" w:hAnsi="Times New Roman"/>
          <w:b/>
        </w:rPr>
      </w:pPr>
    </w:p>
    <w:p w:rsidR="00ED6BD2" w:rsidRPr="00D7000A" w:rsidP="00ED6BD2">
      <w:pPr>
        <w:bidi w:val="0"/>
        <w:jc w:val="both"/>
        <w:rPr>
          <w:rFonts w:ascii="Times New Roman" w:hAnsi="Times New Roman"/>
          <w:u w:val="single"/>
        </w:rPr>
      </w:pPr>
      <w:r w:rsidRPr="00D7000A">
        <w:rPr>
          <w:rFonts w:ascii="Times New Roman" w:hAnsi="Times New Roman"/>
          <w:u w:val="single"/>
        </w:rPr>
        <w:t>K bodu 1</w:t>
      </w:r>
    </w:p>
    <w:p w:rsidR="00ED6BD2" w:rsidRPr="005E14A0" w:rsidP="00ED6BD2">
      <w:pPr>
        <w:bidi w:val="0"/>
        <w:spacing w:before="100" w:beforeAutospacing="1" w:after="100" w:afterAutospacing="1"/>
        <w:jc w:val="both"/>
        <w:rPr>
          <w:rFonts w:ascii="Times New Roman" w:hAnsi="Times New Roman"/>
        </w:rPr>
      </w:pPr>
      <w:r w:rsidRPr="005E14A0">
        <w:rPr>
          <w:rFonts w:ascii="Times New Roman" w:hAnsi="Times New Roman"/>
        </w:rPr>
        <w:t>Dopĺňa sa pomenovanie (</w:t>
      </w:r>
      <w:r w:rsidRPr="000E0BEF">
        <w:rPr>
          <w:rFonts w:ascii="Times New Roman" w:hAnsi="Times New Roman"/>
          <w:i/>
        </w:rPr>
        <w:t>expressis verbis</w:t>
      </w:r>
      <w:r w:rsidRPr="005E14A0">
        <w:rPr>
          <w:rFonts w:ascii="Times New Roman" w:hAnsi="Times New Roman"/>
        </w:rPr>
        <w:t xml:space="preserve">) dvoch príjmov </w:t>
      </w:r>
      <w:r>
        <w:rPr>
          <w:rFonts w:ascii="Times New Roman" w:hAnsi="Times New Roman"/>
        </w:rPr>
        <w:t>Fondu na podporu kultúry národnostných menšín (ďalej len „FPKNM“)</w:t>
      </w:r>
      <w:r w:rsidRPr="005E14A0">
        <w:rPr>
          <w:rFonts w:ascii="Times New Roman" w:hAnsi="Times New Roman"/>
        </w:rPr>
        <w:t>, ktoré boli doteraz zahrnuté pod tzv. iné príjmy, a to úroky z vkladov v bankách alebo v pobočkách zahraničných bá</w:t>
      </w:r>
      <w:r>
        <w:rPr>
          <w:rFonts w:ascii="Times New Roman" w:hAnsi="Times New Roman"/>
        </w:rPr>
        <w:t>nk a</w:t>
      </w:r>
      <w:r w:rsidRPr="005E14A0">
        <w:rPr>
          <w:rFonts w:ascii="Times New Roman" w:hAnsi="Times New Roman"/>
        </w:rPr>
        <w:t xml:space="preserve"> vratky nepoužitých alebo neoprávnene použitých finančných prostriedkov poskytnutých </w:t>
      </w:r>
      <w:r>
        <w:rPr>
          <w:rFonts w:ascii="Times New Roman" w:hAnsi="Times New Roman"/>
        </w:rPr>
        <w:t>FPKNM</w:t>
      </w:r>
      <w:r w:rsidRPr="005E14A0">
        <w:rPr>
          <w:rFonts w:ascii="Times New Roman" w:hAnsi="Times New Roman"/>
        </w:rPr>
        <w:t xml:space="preserve"> podľa tohto zákona. Zároveň sa spresňuje vymedzenie jednotlivých príjmov </w:t>
      </w:r>
      <w:r>
        <w:rPr>
          <w:rFonts w:ascii="Times New Roman" w:hAnsi="Times New Roman"/>
        </w:rPr>
        <w:t>FPKNM</w:t>
      </w:r>
      <w:r w:rsidRPr="005E14A0">
        <w:rPr>
          <w:rFonts w:ascii="Times New Roman" w:hAnsi="Times New Roman"/>
        </w:rPr>
        <w:t xml:space="preserve"> z hľadiska ich použitia </w:t>
      </w:r>
      <w:r>
        <w:rPr>
          <w:rFonts w:ascii="Times New Roman" w:hAnsi="Times New Roman"/>
        </w:rPr>
        <w:t>FPKN</w:t>
      </w:r>
      <w:r w:rsidRPr="005E14A0">
        <w:rPr>
          <w:rFonts w:ascii="Times New Roman" w:hAnsi="Times New Roman"/>
        </w:rPr>
        <w:t xml:space="preserve"> na podpornú činnosť, resp. na vlastnú prevádzku </w:t>
      </w:r>
      <w:r>
        <w:rPr>
          <w:rFonts w:ascii="Times New Roman" w:hAnsi="Times New Roman"/>
        </w:rPr>
        <w:t>FPKNM</w:t>
      </w:r>
      <w:r w:rsidRPr="005E14A0">
        <w:rPr>
          <w:rFonts w:ascii="Times New Roman" w:hAnsi="Times New Roman"/>
        </w:rPr>
        <w:t>.</w:t>
      </w:r>
      <w:r>
        <w:rPr>
          <w:rFonts w:ascii="Times New Roman" w:hAnsi="Times New Roman"/>
        </w:rPr>
        <w:t xml:space="preserve"> Taktiež</w:t>
      </w:r>
      <w:r w:rsidRPr="0061724F">
        <w:rPr>
          <w:rFonts w:ascii="Times New Roman" w:hAnsi="Times New Roman"/>
        </w:rPr>
        <w:t xml:space="preserve"> sa spresňuje režim príspevku zo štátneho rozpočtu s tým, že príspevky zo štátneho rozpočtu poskytnuté </w:t>
      </w:r>
      <w:r>
        <w:rPr>
          <w:rFonts w:ascii="Times New Roman" w:hAnsi="Times New Roman"/>
        </w:rPr>
        <w:t>FPKNM</w:t>
      </w:r>
      <w:r w:rsidRPr="0061724F">
        <w:rPr>
          <w:rFonts w:ascii="Times New Roman" w:hAnsi="Times New Roman"/>
        </w:rPr>
        <w:t xml:space="preserve"> sa okamihom ich pripísania na </w:t>
      </w:r>
      <w:r>
        <w:rPr>
          <w:rFonts w:ascii="Times New Roman" w:hAnsi="Times New Roman"/>
        </w:rPr>
        <w:t>FPKNM</w:t>
      </w:r>
      <w:r w:rsidRPr="0061724F">
        <w:rPr>
          <w:rFonts w:ascii="Times New Roman" w:hAnsi="Times New Roman"/>
        </w:rPr>
        <w:t xml:space="preserve"> už nepovažujú za prostriedky štátneho rozpočtu, nakoľko na účely podľa zákona č. 523/2004 Z. z. o rozpočtových pravidlách verejnej správy a o zmene a doplnení niektorých zákonov v znení neskorších predpisov sa považujú za vyčerpané na určený účel. Tieto finančné prostriedky sú príjmom </w:t>
      </w:r>
      <w:r>
        <w:rPr>
          <w:rFonts w:ascii="Times New Roman" w:hAnsi="Times New Roman"/>
        </w:rPr>
        <w:t>FPKNM</w:t>
      </w:r>
      <w:r w:rsidRPr="0061724F">
        <w:rPr>
          <w:rFonts w:ascii="Times New Roman" w:hAnsi="Times New Roman"/>
        </w:rPr>
        <w:t xml:space="preserve">, ktorý ho spolu s ďalšími príjmami rozpočtuje </w:t>
      </w:r>
      <w:r w:rsidRPr="00D55D07">
        <w:rPr>
          <w:rFonts w:ascii="Times New Roman" w:hAnsi="Times New Roman"/>
        </w:rPr>
        <w:t>najmenej na tri rozpočtové roky</w:t>
      </w:r>
      <w:r w:rsidRPr="0061724F">
        <w:rPr>
          <w:rFonts w:ascii="Times New Roman" w:hAnsi="Times New Roman"/>
        </w:rPr>
        <w:t xml:space="preserve">, </w:t>
      </w:r>
      <w:r>
        <w:rPr>
          <w:rFonts w:ascii="Times New Roman" w:hAnsi="Times New Roman"/>
        </w:rPr>
        <w:t>pričom príslušný kalendárny rok</w:t>
      </w:r>
      <w:r w:rsidRPr="0061724F">
        <w:rPr>
          <w:rFonts w:ascii="Times New Roman" w:hAnsi="Times New Roman"/>
        </w:rPr>
        <w:t xml:space="preserve"> je rozpočtovým rokom </w:t>
      </w:r>
      <w:r>
        <w:rPr>
          <w:rFonts w:ascii="Times New Roman" w:hAnsi="Times New Roman"/>
        </w:rPr>
        <w:t>FPKNM</w:t>
      </w:r>
      <w:r w:rsidRPr="0061724F">
        <w:rPr>
          <w:rFonts w:ascii="Times New Roman" w:hAnsi="Times New Roman"/>
        </w:rPr>
        <w:t xml:space="preserve">. Ak </w:t>
      </w:r>
      <w:r>
        <w:rPr>
          <w:rFonts w:ascii="Times New Roman" w:hAnsi="Times New Roman"/>
        </w:rPr>
        <w:t>FPKNM</w:t>
      </w:r>
      <w:r w:rsidRPr="0061724F">
        <w:rPr>
          <w:rFonts w:ascii="Times New Roman" w:hAnsi="Times New Roman"/>
        </w:rPr>
        <w:t xml:space="preserve"> v príslušnom rozpočtovom roku nepoužije všetky finančné prostriedky, môže nevyčerpaný zostatok finančných prostriedkov použiť v nasledujúcich rozpočtových rokoch.</w:t>
      </w:r>
      <w:r>
        <w:rPr>
          <w:rFonts w:ascii="Times New Roman" w:hAnsi="Times New Roman"/>
        </w:rPr>
        <w:t xml:space="preserve"> </w:t>
      </w:r>
      <w:r w:rsidRPr="005E14A0">
        <w:rPr>
          <w:rFonts w:ascii="Times New Roman" w:hAnsi="Times New Roman"/>
        </w:rPr>
        <w:t>Z hľadiska početných štrukturálnych zmien v § 20, ktoré vyplývajú z vyššie uvedených obsahových doplnení sa navrhuje nové úplné znenie § 20.</w:t>
      </w:r>
    </w:p>
    <w:p w:rsidR="00ED6BD2" w:rsidRPr="004C03E0" w:rsidP="00ED6BD2">
      <w:pPr>
        <w:bidi w:val="0"/>
        <w:jc w:val="both"/>
        <w:rPr>
          <w:rFonts w:ascii="Times New Roman" w:hAnsi="Times New Roman"/>
          <w:u w:val="single"/>
        </w:rPr>
      </w:pPr>
      <w:r>
        <w:rPr>
          <w:rFonts w:ascii="Times New Roman" w:hAnsi="Times New Roman"/>
          <w:u w:val="single"/>
        </w:rPr>
        <w:t>K bodu 2</w:t>
      </w:r>
    </w:p>
    <w:p w:rsidR="00ED6BD2" w:rsidRPr="000E0BEF" w:rsidP="00ED6BD2">
      <w:pPr>
        <w:bidi w:val="0"/>
        <w:jc w:val="both"/>
        <w:rPr>
          <w:rFonts w:ascii="Times New Roman" w:hAnsi="Times New Roman"/>
        </w:rPr>
      </w:pPr>
      <w:r w:rsidRPr="000E0BEF">
        <w:rPr>
          <w:rFonts w:ascii="Times New Roman" w:hAnsi="Times New Roman"/>
        </w:rPr>
        <w:t>Legislatívno - technická úprava súvisiaca s bod</w:t>
      </w:r>
      <w:r>
        <w:rPr>
          <w:rFonts w:ascii="Times New Roman" w:hAnsi="Times New Roman"/>
        </w:rPr>
        <w:t>o</w:t>
      </w:r>
      <w:r w:rsidRPr="000E0BEF">
        <w:rPr>
          <w:rFonts w:ascii="Times New Roman" w:hAnsi="Times New Roman"/>
        </w:rPr>
        <w:t xml:space="preserve">m 1. </w:t>
      </w:r>
    </w:p>
    <w:p w:rsidR="00ED6BD2" w:rsidP="00ED6BD2">
      <w:pPr>
        <w:bidi w:val="0"/>
        <w:jc w:val="both"/>
        <w:rPr>
          <w:rFonts w:ascii="Times New Roman" w:hAnsi="Times New Roman"/>
          <w:b/>
        </w:rPr>
      </w:pPr>
    </w:p>
    <w:p w:rsidR="00ED6BD2" w:rsidP="00ED6BD2">
      <w:pPr>
        <w:bidi w:val="0"/>
        <w:jc w:val="both"/>
        <w:rPr>
          <w:rFonts w:ascii="Times New Roman" w:hAnsi="Times New Roman"/>
          <w:b/>
        </w:rPr>
      </w:pPr>
      <w:r>
        <w:rPr>
          <w:rFonts w:ascii="Times New Roman" w:hAnsi="Times New Roman"/>
          <w:b/>
        </w:rPr>
        <w:t>K čl. V</w:t>
      </w:r>
    </w:p>
    <w:p w:rsidR="00ED6BD2" w:rsidRPr="00DA05FE" w:rsidP="00ED6BD2">
      <w:pPr>
        <w:bidi w:val="0"/>
        <w:jc w:val="both"/>
        <w:rPr>
          <w:rFonts w:ascii="Times New Roman" w:hAnsi="Times New Roman"/>
          <w:b/>
        </w:rPr>
      </w:pPr>
    </w:p>
    <w:p w:rsidR="00ED6BD2" w:rsidP="00ED6BD2">
      <w:pPr>
        <w:bidi w:val="0"/>
        <w:jc w:val="both"/>
        <w:rPr>
          <w:rFonts w:ascii="Times New Roman" w:hAnsi="Times New Roman"/>
        </w:rPr>
      </w:pPr>
      <w:r w:rsidRPr="00FF2EE4">
        <w:rPr>
          <w:rFonts w:ascii="Times New Roman" w:hAnsi="Times New Roman"/>
        </w:rPr>
        <w:t xml:space="preserve">Navrhuje sa účinnosť od </w:t>
      </w:r>
      <w:r>
        <w:rPr>
          <w:rFonts w:ascii="Times New Roman" w:hAnsi="Times New Roman"/>
        </w:rPr>
        <w:t xml:space="preserve">1. septembra </w:t>
      </w:r>
      <w:r w:rsidRPr="00FF2EE4">
        <w:rPr>
          <w:rFonts w:ascii="Times New Roman" w:hAnsi="Times New Roman"/>
        </w:rPr>
        <w:t>2018</w:t>
      </w:r>
      <w:r>
        <w:rPr>
          <w:rFonts w:ascii="Times New Roman" w:hAnsi="Times New Roman"/>
        </w:rPr>
        <w:t>.</w:t>
      </w:r>
    </w:p>
    <w:p w:rsidR="00ED6BD2" w:rsidP="00ED6BD2">
      <w:pPr>
        <w:bidi w:val="0"/>
        <w:jc w:val="both"/>
        <w:rPr>
          <w:rFonts w:ascii="Times New Roman" w:hAnsi="Times New Roman"/>
        </w:rPr>
      </w:pPr>
    </w:p>
    <w:p w:rsidR="00ED6BD2" w:rsidP="00ED6BD2">
      <w:pPr>
        <w:bidi w:val="0"/>
        <w:jc w:val="both"/>
        <w:rPr>
          <w:rFonts w:ascii="Times New Roman" w:hAnsi="Times New Roman"/>
          <w:lang w:eastAsia="cs-CZ"/>
        </w:rPr>
      </w:pPr>
    </w:p>
    <w:p w:rsidR="00ED6BD2" w:rsidP="00ED6BD2">
      <w:pPr>
        <w:bidi w:val="0"/>
        <w:jc w:val="both"/>
        <w:rPr>
          <w:rFonts w:ascii="Times New Roman" w:hAnsi="Times New Roman"/>
          <w:lang w:eastAsia="cs-CZ"/>
        </w:rPr>
      </w:pPr>
    </w:p>
    <w:p w:rsidR="00ED6BD2" w:rsidP="00ED6BD2">
      <w:pPr>
        <w:bidi w:val="0"/>
        <w:jc w:val="both"/>
        <w:rPr>
          <w:rFonts w:ascii="Times New Roman" w:hAnsi="Times New Roman"/>
          <w:lang w:eastAsia="cs-CZ"/>
        </w:rPr>
      </w:pPr>
      <w:r w:rsidRPr="006A1402">
        <w:rPr>
          <w:rFonts w:ascii="Times New Roman" w:hAnsi="Times New Roman"/>
          <w:lang w:eastAsia="cs-CZ"/>
        </w:rPr>
        <w:t xml:space="preserve">V Bratislave, </w:t>
      </w:r>
      <w:r w:rsidR="00206498">
        <w:rPr>
          <w:rFonts w:ascii="Times New Roman" w:hAnsi="Times New Roman"/>
          <w:lang w:eastAsia="cs-CZ"/>
        </w:rPr>
        <w:t>20</w:t>
      </w:r>
      <w:r w:rsidRPr="001D4C44" w:rsidR="001D4C44">
        <w:rPr>
          <w:rFonts w:ascii="Times New Roman" w:hAnsi="Times New Roman"/>
          <w:lang w:eastAsia="cs-CZ"/>
        </w:rPr>
        <w:t>.</w:t>
      </w:r>
      <w:r w:rsidRPr="001D4C44">
        <w:rPr>
          <w:rFonts w:ascii="Times New Roman" w:hAnsi="Times New Roman"/>
          <w:lang w:eastAsia="cs-CZ"/>
        </w:rPr>
        <w:t xml:space="preserve"> apríla</w:t>
      </w:r>
      <w:r>
        <w:rPr>
          <w:rFonts w:ascii="Times New Roman" w:hAnsi="Times New Roman"/>
          <w:lang w:eastAsia="cs-CZ"/>
        </w:rPr>
        <w:t xml:space="preserve"> 2018</w:t>
      </w:r>
    </w:p>
    <w:p w:rsidR="00ED6BD2" w:rsidP="00ED6BD2">
      <w:pPr>
        <w:bidi w:val="0"/>
        <w:jc w:val="both"/>
        <w:rPr>
          <w:rFonts w:ascii="Times New Roman" w:hAnsi="Times New Roman"/>
          <w:lang w:eastAsia="cs-CZ"/>
        </w:rPr>
      </w:pPr>
    </w:p>
    <w:p w:rsidR="00ED6BD2" w:rsidP="00ED6BD2">
      <w:pPr>
        <w:bidi w:val="0"/>
        <w:jc w:val="both"/>
        <w:rPr>
          <w:rFonts w:ascii="Times New Roman" w:hAnsi="Times New Roman"/>
          <w:lang w:eastAsia="cs-CZ"/>
        </w:rPr>
      </w:pPr>
    </w:p>
    <w:p w:rsidR="00ED6BD2" w:rsidP="00ED6BD2">
      <w:pPr>
        <w:bidi w:val="0"/>
        <w:jc w:val="both"/>
        <w:rPr>
          <w:rFonts w:ascii="Times New Roman" w:hAnsi="Times New Roman"/>
          <w:lang w:eastAsia="cs-CZ"/>
        </w:rPr>
      </w:pPr>
    </w:p>
    <w:p w:rsidR="00ED6BD2" w:rsidP="00ED6BD2">
      <w:pPr>
        <w:bidi w:val="0"/>
        <w:jc w:val="both"/>
        <w:rPr>
          <w:rFonts w:ascii="Times New Roman" w:hAnsi="Times New Roman"/>
          <w:lang w:eastAsia="cs-CZ"/>
        </w:rPr>
      </w:pPr>
    </w:p>
    <w:p w:rsidR="00ED6BD2" w:rsidP="00ED6BD2">
      <w:pPr>
        <w:bidi w:val="0"/>
        <w:jc w:val="both"/>
        <w:rPr>
          <w:rFonts w:ascii="Times New Roman" w:hAnsi="Times New Roman"/>
          <w:lang w:eastAsia="cs-CZ"/>
        </w:rPr>
      </w:pPr>
    </w:p>
    <w:p w:rsidR="00ED6BD2" w:rsidP="00ED6BD2">
      <w:pPr>
        <w:tabs>
          <w:tab w:val="left" w:pos="5996"/>
        </w:tabs>
        <w:bidi w:val="0"/>
        <w:jc w:val="center"/>
        <w:rPr>
          <w:rFonts w:ascii="Times New Roman" w:hAnsi="Times New Roman"/>
          <w:b/>
        </w:rPr>
      </w:pPr>
      <w:r w:rsidR="004A60D3">
        <w:rPr>
          <w:rFonts w:ascii="Times New Roman" w:hAnsi="Times New Roman"/>
          <w:b/>
        </w:rPr>
        <w:t>Peter Pellegrini</w:t>
      </w:r>
      <w:r>
        <w:rPr>
          <w:rFonts w:ascii="Times New Roman" w:hAnsi="Times New Roman"/>
          <w:b/>
        </w:rPr>
        <w:t xml:space="preserve"> </w:t>
      </w:r>
    </w:p>
    <w:p w:rsidR="00ED6BD2" w:rsidP="00ED6BD2">
      <w:pPr>
        <w:tabs>
          <w:tab w:val="left" w:pos="5996"/>
        </w:tabs>
        <w:bidi w:val="0"/>
        <w:jc w:val="center"/>
        <w:rPr>
          <w:rFonts w:ascii="Times New Roman" w:hAnsi="Times New Roman"/>
        </w:rPr>
      </w:pPr>
      <w:r>
        <w:rPr>
          <w:rFonts w:ascii="Times New Roman" w:hAnsi="Times New Roman"/>
        </w:rPr>
        <w:t xml:space="preserve">predseda vlády </w:t>
      </w:r>
    </w:p>
    <w:p w:rsidR="00ED6BD2" w:rsidP="00ED6BD2">
      <w:pPr>
        <w:tabs>
          <w:tab w:val="left" w:pos="5996"/>
        </w:tabs>
        <w:bidi w:val="0"/>
        <w:jc w:val="center"/>
        <w:rPr>
          <w:rFonts w:ascii="Times New Roman" w:hAnsi="Times New Roman"/>
        </w:rPr>
      </w:pPr>
      <w:r>
        <w:rPr>
          <w:rFonts w:ascii="Times New Roman" w:hAnsi="Times New Roman"/>
        </w:rPr>
        <w:t xml:space="preserve">Slovenskej republiky </w:t>
      </w:r>
    </w:p>
    <w:p w:rsidR="00ED6BD2" w:rsidP="00ED6BD2">
      <w:pPr>
        <w:bidi w:val="0"/>
        <w:jc w:val="both"/>
        <w:rPr>
          <w:rFonts w:ascii="Times New Roman" w:hAnsi="Times New Roman"/>
          <w:lang w:eastAsia="cs-CZ"/>
        </w:rPr>
      </w:pPr>
    </w:p>
    <w:p w:rsidR="00ED6BD2" w:rsidP="00ED6BD2">
      <w:pPr>
        <w:bidi w:val="0"/>
        <w:jc w:val="both"/>
        <w:rPr>
          <w:rFonts w:ascii="Times New Roman" w:hAnsi="Times New Roman"/>
          <w:lang w:eastAsia="cs-CZ"/>
        </w:rPr>
      </w:pPr>
    </w:p>
    <w:p w:rsidR="00ED6BD2" w:rsidP="00ED6BD2">
      <w:pPr>
        <w:bidi w:val="0"/>
        <w:jc w:val="both"/>
        <w:rPr>
          <w:rFonts w:ascii="Times New Roman" w:hAnsi="Times New Roman"/>
          <w:lang w:eastAsia="cs-CZ"/>
        </w:rPr>
      </w:pPr>
      <w:r>
        <w:rPr>
          <w:rFonts w:ascii="Times New Roman" w:hAnsi="Times New Roman"/>
          <w:lang w:eastAsia="cs-CZ"/>
        </w:rPr>
        <w:tab/>
        <w:tab/>
        <w:tab/>
        <w:tab/>
        <w:tab/>
      </w:r>
    </w:p>
    <w:p w:rsidR="00ED6BD2" w:rsidRPr="005B3E7F" w:rsidP="00ED6BD2">
      <w:pPr>
        <w:bidi w:val="0"/>
        <w:jc w:val="center"/>
        <w:rPr>
          <w:rFonts w:ascii="Times New Roman" w:hAnsi="Times New Roman"/>
          <w:b/>
          <w:lang w:eastAsia="cs-CZ"/>
        </w:rPr>
      </w:pPr>
      <w:r>
        <w:rPr>
          <w:rFonts w:ascii="Times New Roman" w:hAnsi="Times New Roman"/>
          <w:b/>
          <w:lang w:eastAsia="cs-CZ"/>
        </w:rPr>
        <w:t>Ľ</w:t>
      </w:r>
      <w:r w:rsidR="004A60D3">
        <w:rPr>
          <w:rFonts w:ascii="Times New Roman" w:hAnsi="Times New Roman"/>
          <w:b/>
          <w:lang w:eastAsia="cs-CZ"/>
        </w:rPr>
        <w:t>ubica Laššáková</w:t>
      </w:r>
    </w:p>
    <w:p w:rsidR="00ED6BD2" w:rsidP="00ED6BD2">
      <w:pPr>
        <w:bidi w:val="0"/>
        <w:jc w:val="center"/>
        <w:rPr>
          <w:rFonts w:ascii="Times New Roman" w:hAnsi="Times New Roman"/>
          <w:lang w:eastAsia="cs-CZ"/>
        </w:rPr>
      </w:pPr>
      <w:r>
        <w:rPr>
          <w:rFonts w:ascii="Times New Roman" w:hAnsi="Times New Roman"/>
          <w:lang w:eastAsia="cs-CZ"/>
        </w:rPr>
        <w:t>ministerka kultúry</w:t>
      </w:r>
    </w:p>
    <w:p w:rsidR="00ED6BD2" w:rsidRPr="00F900BC" w:rsidP="00ED6BD2">
      <w:pPr>
        <w:bidi w:val="0"/>
        <w:jc w:val="center"/>
        <w:rPr>
          <w:rFonts w:ascii="Times New Roman" w:hAnsi="Times New Roman"/>
          <w:lang w:eastAsia="cs-CZ"/>
        </w:rPr>
      </w:pPr>
      <w:r>
        <w:rPr>
          <w:rFonts w:ascii="Times New Roman" w:hAnsi="Times New Roman"/>
          <w:lang w:eastAsia="cs-CZ"/>
        </w:rPr>
        <w:t>Slovenskej republiky</w:t>
      </w:r>
    </w:p>
    <w:p w:rsidR="00ED6BD2" w:rsidRPr="00FF2EE4" w:rsidP="00ED6BD2">
      <w:pPr>
        <w:bidi w:val="0"/>
        <w:jc w:val="both"/>
        <w:rPr>
          <w:rFonts w:ascii="Times New Roman" w:hAnsi="Times New Roman"/>
        </w:rPr>
      </w:pPr>
    </w:p>
    <w:p w:rsidR="00ED6BD2" w:rsidRPr="002E3151" w:rsidP="00ED6BD2">
      <w:pPr>
        <w:autoSpaceDE w:val="0"/>
        <w:autoSpaceDN w:val="0"/>
        <w:bidi w:val="0"/>
        <w:jc w:val="both"/>
        <w:rPr>
          <w:rFonts w:ascii="Times New Roman" w:hAnsi="Times New Roman"/>
        </w:rPr>
      </w:pPr>
    </w:p>
    <w:p w:rsidR="00ED6BD2" w:rsidP="00ED6BD2">
      <w:pPr>
        <w:tabs>
          <w:tab w:val="left" w:pos="1560"/>
        </w:tabs>
        <w:bidi w:val="0"/>
        <w:rPr>
          <w:rFonts w:ascii="Times New Roman" w:hAnsi="Times New Roman"/>
        </w:rPr>
      </w:pPr>
    </w:p>
    <w:sectPr>
      <w:headerReference w:type="even" r:id="rId5"/>
      <w:headerReference w:type="default" r:id="rId6"/>
      <w:footerReference w:type="even" r:id="rId7"/>
      <w:footerReference w:type="default" r:id="rId8"/>
      <w:headerReference w:type="first" r:id="rId9"/>
      <w:footerReference w:type="first" r:id="rId10"/>
      <w:pgSz w:w="12240" w:h="15840"/>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MS Gothic">
    <w:panose1 w:val="00000000000000000000"/>
    <w:charset w:val="80"/>
    <w:family w:val="modern"/>
    <w:pitch w:val="fixed"/>
    <w:sig w:usb0="00000000" w:usb1="00000000" w:usb2="00000000" w:usb3="00000000" w:csb0="0002009F"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 w:name="Calibri">
    <w:altName w:val="Times New Roman"/>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93">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93">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206498">
      <w:rPr>
        <w:rFonts w:ascii="Times New Roman" w:hAnsi="Times New Roman"/>
        <w:noProof/>
      </w:rPr>
      <w:t>17</w:t>
    </w:r>
    <w:r>
      <w:rPr>
        <w:rFonts w:ascii="Times New Roman" w:hAnsi="Times New Roman"/>
      </w:rPr>
      <w:fldChar w:fldCharType="end"/>
    </w:r>
  </w:p>
  <w:p w:rsidR="000A7093">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93">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93">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93">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093">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1B176F"/>
    <w:multiLevelType w:val="hybridMultilevel"/>
    <w:tmpl w:val="7B166ADC"/>
    <w:lvl w:ilvl="0">
      <w:start w:val="3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20"/>
  <w:hyphenationZone w:val="425"/>
  <w:characterSpacingControl w:val="doNotCompress"/>
  <w:compat/>
  <w:rsids>
    <w:rsidRoot w:val="00537145"/>
    <w:rsid w:val="0000210E"/>
    <w:rsid w:val="0000214B"/>
    <w:rsid w:val="00002253"/>
    <w:rsid w:val="00002D1B"/>
    <w:rsid w:val="00003D67"/>
    <w:rsid w:val="00006AEA"/>
    <w:rsid w:val="0000757D"/>
    <w:rsid w:val="00010412"/>
    <w:rsid w:val="0001143E"/>
    <w:rsid w:val="00017DD2"/>
    <w:rsid w:val="00020F53"/>
    <w:rsid w:val="00024505"/>
    <w:rsid w:val="00027D2A"/>
    <w:rsid w:val="000307BB"/>
    <w:rsid w:val="00031831"/>
    <w:rsid w:val="00032709"/>
    <w:rsid w:val="00037BE5"/>
    <w:rsid w:val="00037D9C"/>
    <w:rsid w:val="00041412"/>
    <w:rsid w:val="00041A3E"/>
    <w:rsid w:val="000429F6"/>
    <w:rsid w:val="00042B87"/>
    <w:rsid w:val="0004367C"/>
    <w:rsid w:val="00044375"/>
    <w:rsid w:val="000447F3"/>
    <w:rsid w:val="000449CB"/>
    <w:rsid w:val="00044E3D"/>
    <w:rsid w:val="000466C0"/>
    <w:rsid w:val="00046BB9"/>
    <w:rsid w:val="00046C89"/>
    <w:rsid w:val="00047B0C"/>
    <w:rsid w:val="00050018"/>
    <w:rsid w:val="00051ABE"/>
    <w:rsid w:val="00054E91"/>
    <w:rsid w:val="00055725"/>
    <w:rsid w:val="00056CBF"/>
    <w:rsid w:val="000576A9"/>
    <w:rsid w:val="000577DC"/>
    <w:rsid w:val="00063173"/>
    <w:rsid w:val="00063DD4"/>
    <w:rsid w:val="00064DBD"/>
    <w:rsid w:val="00065A74"/>
    <w:rsid w:val="0006733F"/>
    <w:rsid w:val="00070819"/>
    <w:rsid w:val="00072660"/>
    <w:rsid w:val="000736D4"/>
    <w:rsid w:val="000737F1"/>
    <w:rsid w:val="000739CE"/>
    <w:rsid w:val="00073B6D"/>
    <w:rsid w:val="00074904"/>
    <w:rsid w:val="00074C42"/>
    <w:rsid w:val="0007751D"/>
    <w:rsid w:val="00080C4B"/>
    <w:rsid w:val="00080EA0"/>
    <w:rsid w:val="00081972"/>
    <w:rsid w:val="00082ABE"/>
    <w:rsid w:val="000850E5"/>
    <w:rsid w:val="00085876"/>
    <w:rsid w:val="0008600D"/>
    <w:rsid w:val="00086D54"/>
    <w:rsid w:val="00090E52"/>
    <w:rsid w:val="000963D3"/>
    <w:rsid w:val="000964B3"/>
    <w:rsid w:val="00096719"/>
    <w:rsid w:val="000A00DB"/>
    <w:rsid w:val="000A03D8"/>
    <w:rsid w:val="000A0504"/>
    <w:rsid w:val="000A14B4"/>
    <w:rsid w:val="000A1FA9"/>
    <w:rsid w:val="000A57FE"/>
    <w:rsid w:val="000A7093"/>
    <w:rsid w:val="000A717C"/>
    <w:rsid w:val="000A781A"/>
    <w:rsid w:val="000B25C7"/>
    <w:rsid w:val="000C02D9"/>
    <w:rsid w:val="000C066C"/>
    <w:rsid w:val="000C135C"/>
    <w:rsid w:val="000C13C1"/>
    <w:rsid w:val="000C2B75"/>
    <w:rsid w:val="000C608B"/>
    <w:rsid w:val="000C77CE"/>
    <w:rsid w:val="000D2BFE"/>
    <w:rsid w:val="000D2F26"/>
    <w:rsid w:val="000D41A3"/>
    <w:rsid w:val="000D6566"/>
    <w:rsid w:val="000D68AA"/>
    <w:rsid w:val="000D6CA8"/>
    <w:rsid w:val="000D75C0"/>
    <w:rsid w:val="000D7BE0"/>
    <w:rsid w:val="000E028A"/>
    <w:rsid w:val="000E09CF"/>
    <w:rsid w:val="000E0BEF"/>
    <w:rsid w:val="000E23B5"/>
    <w:rsid w:val="000E2636"/>
    <w:rsid w:val="000E4A91"/>
    <w:rsid w:val="000E5565"/>
    <w:rsid w:val="000E55F7"/>
    <w:rsid w:val="000E57A4"/>
    <w:rsid w:val="000E5A0B"/>
    <w:rsid w:val="000E5ED6"/>
    <w:rsid w:val="000E64EB"/>
    <w:rsid w:val="000E6EBF"/>
    <w:rsid w:val="000F120D"/>
    <w:rsid w:val="000F1C35"/>
    <w:rsid w:val="000F32BF"/>
    <w:rsid w:val="000F4224"/>
    <w:rsid w:val="000F4B0E"/>
    <w:rsid w:val="000F4E5B"/>
    <w:rsid w:val="000F6C99"/>
    <w:rsid w:val="00100DB9"/>
    <w:rsid w:val="00103AB6"/>
    <w:rsid w:val="00104EDE"/>
    <w:rsid w:val="00105341"/>
    <w:rsid w:val="00105A29"/>
    <w:rsid w:val="00106A6A"/>
    <w:rsid w:val="001070B5"/>
    <w:rsid w:val="001114DC"/>
    <w:rsid w:val="001124B2"/>
    <w:rsid w:val="001134E6"/>
    <w:rsid w:val="00117D74"/>
    <w:rsid w:val="00120053"/>
    <w:rsid w:val="001225C3"/>
    <w:rsid w:val="00122B56"/>
    <w:rsid w:val="00122C4F"/>
    <w:rsid w:val="001247BE"/>
    <w:rsid w:val="001253BE"/>
    <w:rsid w:val="001254F7"/>
    <w:rsid w:val="00125CC8"/>
    <w:rsid w:val="00127DAC"/>
    <w:rsid w:val="00131403"/>
    <w:rsid w:val="001315B9"/>
    <w:rsid w:val="001325E8"/>
    <w:rsid w:val="00135FCD"/>
    <w:rsid w:val="001363A4"/>
    <w:rsid w:val="001365C5"/>
    <w:rsid w:val="001367E6"/>
    <w:rsid w:val="00136D0B"/>
    <w:rsid w:val="00137B28"/>
    <w:rsid w:val="0014150D"/>
    <w:rsid w:val="001418F8"/>
    <w:rsid w:val="0014684B"/>
    <w:rsid w:val="00146E14"/>
    <w:rsid w:val="001508CB"/>
    <w:rsid w:val="001509B7"/>
    <w:rsid w:val="00150FBA"/>
    <w:rsid w:val="00151B2D"/>
    <w:rsid w:val="00155956"/>
    <w:rsid w:val="00155C45"/>
    <w:rsid w:val="00156668"/>
    <w:rsid w:val="001569D8"/>
    <w:rsid w:val="00157A02"/>
    <w:rsid w:val="001621D3"/>
    <w:rsid w:val="00162A17"/>
    <w:rsid w:val="001632D1"/>
    <w:rsid w:val="00163646"/>
    <w:rsid w:val="001661CC"/>
    <w:rsid w:val="0016781F"/>
    <w:rsid w:val="0017304F"/>
    <w:rsid w:val="0017554C"/>
    <w:rsid w:val="00175D69"/>
    <w:rsid w:val="001762CC"/>
    <w:rsid w:val="0017743E"/>
    <w:rsid w:val="001807C1"/>
    <w:rsid w:val="0018224E"/>
    <w:rsid w:val="00185924"/>
    <w:rsid w:val="00185CFC"/>
    <w:rsid w:val="001863B7"/>
    <w:rsid w:val="00191F2D"/>
    <w:rsid w:val="00192072"/>
    <w:rsid w:val="00194A6F"/>
    <w:rsid w:val="00194DDD"/>
    <w:rsid w:val="00195605"/>
    <w:rsid w:val="00195DC8"/>
    <w:rsid w:val="001962C8"/>
    <w:rsid w:val="001A0081"/>
    <w:rsid w:val="001A253C"/>
    <w:rsid w:val="001A2BD7"/>
    <w:rsid w:val="001A42B1"/>
    <w:rsid w:val="001A4DEC"/>
    <w:rsid w:val="001B0DC3"/>
    <w:rsid w:val="001B1228"/>
    <w:rsid w:val="001B1B55"/>
    <w:rsid w:val="001B24A7"/>
    <w:rsid w:val="001B2BC8"/>
    <w:rsid w:val="001B2CE0"/>
    <w:rsid w:val="001B3EFB"/>
    <w:rsid w:val="001B5E8F"/>
    <w:rsid w:val="001B63CB"/>
    <w:rsid w:val="001B63D5"/>
    <w:rsid w:val="001B67EC"/>
    <w:rsid w:val="001C0F03"/>
    <w:rsid w:val="001C1265"/>
    <w:rsid w:val="001C1EF4"/>
    <w:rsid w:val="001C22A7"/>
    <w:rsid w:val="001C36F6"/>
    <w:rsid w:val="001D009B"/>
    <w:rsid w:val="001D378D"/>
    <w:rsid w:val="001D4A9C"/>
    <w:rsid w:val="001D4C44"/>
    <w:rsid w:val="001D4DB9"/>
    <w:rsid w:val="001D5591"/>
    <w:rsid w:val="001D69AF"/>
    <w:rsid w:val="001D7932"/>
    <w:rsid w:val="001E2CD1"/>
    <w:rsid w:val="001E3268"/>
    <w:rsid w:val="001E32A9"/>
    <w:rsid w:val="001E3738"/>
    <w:rsid w:val="001E3D5A"/>
    <w:rsid w:val="001E4483"/>
    <w:rsid w:val="001F0163"/>
    <w:rsid w:val="001F1694"/>
    <w:rsid w:val="001F2C39"/>
    <w:rsid w:val="001F34B6"/>
    <w:rsid w:val="001F3989"/>
    <w:rsid w:val="001F45E1"/>
    <w:rsid w:val="001F644F"/>
    <w:rsid w:val="001F66F1"/>
    <w:rsid w:val="00200CFD"/>
    <w:rsid w:val="002011BF"/>
    <w:rsid w:val="002026BE"/>
    <w:rsid w:val="00203204"/>
    <w:rsid w:val="002039CE"/>
    <w:rsid w:val="002045DC"/>
    <w:rsid w:val="00204672"/>
    <w:rsid w:val="00204AD7"/>
    <w:rsid w:val="00204B2D"/>
    <w:rsid w:val="002056A3"/>
    <w:rsid w:val="00206498"/>
    <w:rsid w:val="00206989"/>
    <w:rsid w:val="00207549"/>
    <w:rsid w:val="00207EBC"/>
    <w:rsid w:val="00211BE1"/>
    <w:rsid w:val="00213537"/>
    <w:rsid w:val="00213F41"/>
    <w:rsid w:val="00216015"/>
    <w:rsid w:val="00216032"/>
    <w:rsid w:val="002165AE"/>
    <w:rsid w:val="00217943"/>
    <w:rsid w:val="0022039E"/>
    <w:rsid w:val="002209F3"/>
    <w:rsid w:val="00222A03"/>
    <w:rsid w:val="002230E4"/>
    <w:rsid w:val="002237C5"/>
    <w:rsid w:val="00225850"/>
    <w:rsid w:val="002270D6"/>
    <w:rsid w:val="002300EB"/>
    <w:rsid w:val="00230C0F"/>
    <w:rsid w:val="00231CAD"/>
    <w:rsid w:val="00231E46"/>
    <w:rsid w:val="00233578"/>
    <w:rsid w:val="0023366F"/>
    <w:rsid w:val="002348D5"/>
    <w:rsid w:val="00235DBC"/>
    <w:rsid w:val="00236000"/>
    <w:rsid w:val="00236D91"/>
    <w:rsid w:val="002371AC"/>
    <w:rsid w:val="0024202F"/>
    <w:rsid w:val="00242771"/>
    <w:rsid w:val="00244258"/>
    <w:rsid w:val="00245A39"/>
    <w:rsid w:val="002506DC"/>
    <w:rsid w:val="00251058"/>
    <w:rsid w:val="002511CC"/>
    <w:rsid w:val="002554D3"/>
    <w:rsid w:val="00255EB8"/>
    <w:rsid w:val="00257A4B"/>
    <w:rsid w:val="00260C1E"/>
    <w:rsid w:val="00263614"/>
    <w:rsid w:val="002658D8"/>
    <w:rsid w:val="00266A1C"/>
    <w:rsid w:val="002673CA"/>
    <w:rsid w:val="002675C5"/>
    <w:rsid w:val="00270013"/>
    <w:rsid w:val="00270091"/>
    <w:rsid w:val="00272144"/>
    <w:rsid w:val="00275BBB"/>
    <w:rsid w:val="00276265"/>
    <w:rsid w:val="00276685"/>
    <w:rsid w:val="002808CA"/>
    <w:rsid w:val="00280C7E"/>
    <w:rsid w:val="00281000"/>
    <w:rsid w:val="0028189E"/>
    <w:rsid w:val="00283236"/>
    <w:rsid w:val="00283E45"/>
    <w:rsid w:val="00284620"/>
    <w:rsid w:val="00285CE7"/>
    <w:rsid w:val="00291653"/>
    <w:rsid w:val="002916C2"/>
    <w:rsid w:val="002945D1"/>
    <w:rsid w:val="0029569E"/>
    <w:rsid w:val="00295906"/>
    <w:rsid w:val="0029664C"/>
    <w:rsid w:val="0029704E"/>
    <w:rsid w:val="002A0950"/>
    <w:rsid w:val="002A1744"/>
    <w:rsid w:val="002A22F9"/>
    <w:rsid w:val="002A244D"/>
    <w:rsid w:val="002A3291"/>
    <w:rsid w:val="002A357D"/>
    <w:rsid w:val="002A3DDE"/>
    <w:rsid w:val="002A507B"/>
    <w:rsid w:val="002A5FE6"/>
    <w:rsid w:val="002A796A"/>
    <w:rsid w:val="002B07F9"/>
    <w:rsid w:val="002B0A93"/>
    <w:rsid w:val="002B3AEF"/>
    <w:rsid w:val="002B402F"/>
    <w:rsid w:val="002B46A5"/>
    <w:rsid w:val="002B6128"/>
    <w:rsid w:val="002B7297"/>
    <w:rsid w:val="002B74B0"/>
    <w:rsid w:val="002C0D08"/>
    <w:rsid w:val="002C2882"/>
    <w:rsid w:val="002C2FFF"/>
    <w:rsid w:val="002C309B"/>
    <w:rsid w:val="002C5C28"/>
    <w:rsid w:val="002C748A"/>
    <w:rsid w:val="002C7838"/>
    <w:rsid w:val="002D0563"/>
    <w:rsid w:val="002D0692"/>
    <w:rsid w:val="002D3246"/>
    <w:rsid w:val="002D3487"/>
    <w:rsid w:val="002D6FDB"/>
    <w:rsid w:val="002D73FD"/>
    <w:rsid w:val="002D75D7"/>
    <w:rsid w:val="002D7890"/>
    <w:rsid w:val="002E0D9D"/>
    <w:rsid w:val="002E0E2E"/>
    <w:rsid w:val="002E222F"/>
    <w:rsid w:val="002E3151"/>
    <w:rsid w:val="002E4CA9"/>
    <w:rsid w:val="002E574C"/>
    <w:rsid w:val="002E5FD8"/>
    <w:rsid w:val="002E6869"/>
    <w:rsid w:val="002F2390"/>
    <w:rsid w:val="002F35D9"/>
    <w:rsid w:val="002F42D5"/>
    <w:rsid w:val="002F430C"/>
    <w:rsid w:val="002F5333"/>
    <w:rsid w:val="002F5435"/>
    <w:rsid w:val="002F64C8"/>
    <w:rsid w:val="002F6DF4"/>
    <w:rsid w:val="00300737"/>
    <w:rsid w:val="00300DB2"/>
    <w:rsid w:val="0030176F"/>
    <w:rsid w:val="00301D03"/>
    <w:rsid w:val="003021DD"/>
    <w:rsid w:val="003054E5"/>
    <w:rsid w:val="00306D55"/>
    <w:rsid w:val="00307604"/>
    <w:rsid w:val="003079B7"/>
    <w:rsid w:val="00307B16"/>
    <w:rsid w:val="00310A6E"/>
    <w:rsid w:val="00311FCE"/>
    <w:rsid w:val="00312A4D"/>
    <w:rsid w:val="003132E2"/>
    <w:rsid w:val="0031335B"/>
    <w:rsid w:val="00314583"/>
    <w:rsid w:val="00315E53"/>
    <w:rsid w:val="0032253E"/>
    <w:rsid w:val="00324227"/>
    <w:rsid w:val="00331851"/>
    <w:rsid w:val="003319D0"/>
    <w:rsid w:val="00332DFF"/>
    <w:rsid w:val="00334917"/>
    <w:rsid w:val="00336714"/>
    <w:rsid w:val="00336A5C"/>
    <w:rsid w:val="00337548"/>
    <w:rsid w:val="003375E5"/>
    <w:rsid w:val="00337D20"/>
    <w:rsid w:val="0034114A"/>
    <w:rsid w:val="00343971"/>
    <w:rsid w:val="003446FB"/>
    <w:rsid w:val="00344B87"/>
    <w:rsid w:val="00344EC2"/>
    <w:rsid w:val="003506CA"/>
    <w:rsid w:val="00350835"/>
    <w:rsid w:val="0035134F"/>
    <w:rsid w:val="00352523"/>
    <w:rsid w:val="00353996"/>
    <w:rsid w:val="00354BC4"/>
    <w:rsid w:val="00356A7F"/>
    <w:rsid w:val="00356ADB"/>
    <w:rsid w:val="003576D8"/>
    <w:rsid w:val="00361C63"/>
    <w:rsid w:val="00361FCE"/>
    <w:rsid w:val="0036380A"/>
    <w:rsid w:val="00363C8F"/>
    <w:rsid w:val="00364942"/>
    <w:rsid w:val="00365F32"/>
    <w:rsid w:val="0036660A"/>
    <w:rsid w:val="00373DBE"/>
    <w:rsid w:val="00375584"/>
    <w:rsid w:val="0037690C"/>
    <w:rsid w:val="00376F39"/>
    <w:rsid w:val="00377555"/>
    <w:rsid w:val="00377A8B"/>
    <w:rsid w:val="00380D1E"/>
    <w:rsid w:val="00380D7E"/>
    <w:rsid w:val="00381610"/>
    <w:rsid w:val="00382EAD"/>
    <w:rsid w:val="00383ECE"/>
    <w:rsid w:val="00384774"/>
    <w:rsid w:val="00384CE6"/>
    <w:rsid w:val="0038504D"/>
    <w:rsid w:val="0038505B"/>
    <w:rsid w:val="0038564A"/>
    <w:rsid w:val="00386B74"/>
    <w:rsid w:val="00386FF5"/>
    <w:rsid w:val="003916A5"/>
    <w:rsid w:val="00391986"/>
    <w:rsid w:val="003924DB"/>
    <w:rsid w:val="00392614"/>
    <w:rsid w:val="00392786"/>
    <w:rsid w:val="0039340D"/>
    <w:rsid w:val="0039541F"/>
    <w:rsid w:val="00397A0B"/>
    <w:rsid w:val="003A195D"/>
    <w:rsid w:val="003A38F3"/>
    <w:rsid w:val="003A5A22"/>
    <w:rsid w:val="003A5FF5"/>
    <w:rsid w:val="003B1419"/>
    <w:rsid w:val="003B2D82"/>
    <w:rsid w:val="003B4A48"/>
    <w:rsid w:val="003B5860"/>
    <w:rsid w:val="003B78A5"/>
    <w:rsid w:val="003C06B0"/>
    <w:rsid w:val="003C10DA"/>
    <w:rsid w:val="003C1F3F"/>
    <w:rsid w:val="003C25A5"/>
    <w:rsid w:val="003C4967"/>
    <w:rsid w:val="003C6ECA"/>
    <w:rsid w:val="003C750B"/>
    <w:rsid w:val="003D0ABC"/>
    <w:rsid w:val="003D11AF"/>
    <w:rsid w:val="003D1B17"/>
    <w:rsid w:val="003D2705"/>
    <w:rsid w:val="003D2A87"/>
    <w:rsid w:val="003D2F95"/>
    <w:rsid w:val="003D4E01"/>
    <w:rsid w:val="003E162C"/>
    <w:rsid w:val="003E265B"/>
    <w:rsid w:val="003E2D25"/>
    <w:rsid w:val="003E3199"/>
    <w:rsid w:val="003E35E6"/>
    <w:rsid w:val="003E385A"/>
    <w:rsid w:val="003E38ED"/>
    <w:rsid w:val="003E5463"/>
    <w:rsid w:val="003E7B16"/>
    <w:rsid w:val="003F444A"/>
    <w:rsid w:val="003F701C"/>
    <w:rsid w:val="00400732"/>
    <w:rsid w:val="00400797"/>
    <w:rsid w:val="004017E5"/>
    <w:rsid w:val="00401B60"/>
    <w:rsid w:val="00403B75"/>
    <w:rsid w:val="00404E75"/>
    <w:rsid w:val="0040624F"/>
    <w:rsid w:val="00407BC3"/>
    <w:rsid w:val="00407DC4"/>
    <w:rsid w:val="0041060F"/>
    <w:rsid w:val="004113EC"/>
    <w:rsid w:val="00411E6D"/>
    <w:rsid w:val="00414787"/>
    <w:rsid w:val="00414D8D"/>
    <w:rsid w:val="00415E62"/>
    <w:rsid w:val="00416E77"/>
    <w:rsid w:val="004174BC"/>
    <w:rsid w:val="00420028"/>
    <w:rsid w:val="00420AB0"/>
    <w:rsid w:val="004212D5"/>
    <w:rsid w:val="004218B7"/>
    <w:rsid w:val="00421F0D"/>
    <w:rsid w:val="004229D7"/>
    <w:rsid w:val="004255A3"/>
    <w:rsid w:val="00427942"/>
    <w:rsid w:val="00427CD3"/>
    <w:rsid w:val="00430454"/>
    <w:rsid w:val="0043118D"/>
    <w:rsid w:val="00431B7A"/>
    <w:rsid w:val="00432231"/>
    <w:rsid w:val="00432ADF"/>
    <w:rsid w:val="0043320F"/>
    <w:rsid w:val="004346BC"/>
    <w:rsid w:val="0043587F"/>
    <w:rsid w:val="00436481"/>
    <w:rsid w:val="0043658A"/>
    <w:rsid w:val="00437F75"/>
    <w:rsid w:val="004410A2"/>
    <w:rsid w:val="004415AE"/>
    <w:rsid w:val="004437F0"/>
    <w:rsid w:val="00444724"/>
    <w:rsid w:val="00444797"/>
    <w:rsid w:val="004478E2"/>
    <w:rsid w:val="00450D8D"/>
    <w:rsid w:val="00451763"/>
    <w:rsid w:val="00452B42"/>
    <w:rsid w:val="00452EAA"/>
    <w:rsid w:val="0045311F"/>
    <w:rsid w:val="004532C0"/>
    <w:rsid w:val="00454107"/>
    <w:rsid w:val="00454D96"/>
    <w:rsid w:val="0045630A"/>
    <w:rsid w:val="00456A5C"/>
    <w:rsid w:val="004570AD"/>
    <w:rsid w:val="00460F5C"/>
    <w:rsid w:val="004631BF"/>
    <w:rsid w:val="0046327A"/>
    <w:rsid w:val="0046576A"/>
    <w:rsid w:val="00467435"/>
    <w:rsid w:val="00470B6B"/>
    <w:rsid w:val="00471AE2"/>
    <w:rsid w:val="00471BFF"/>
    <w:rsid w:val="004744FE"/>
    <w:rsid w:val="004770DE"/>
    <w:rsid w:val="004802C9"/>
    <w:rsid w:val="0048285C"/>
    <w:rsid w:val="00482885"/>
    <w:rsid w:val="00482D7C"/>
    <w:rsid w:val="00482E59"/>
    <w:rsid w:val="0048496F"/>
    <w:rsid w:val="00484D53"/>
    <w:rsid w:val="0048579A"/>
    <w:rsid w:val="00487C19"/>
    <w:rsid w:val="00492275"/>
    <w:rsid w:val="0049240B"/>
    <w:rsid w:val="00492524"/>
    <w:rsid w:val="00492C6A"/>
    <w:rsid w:val="004939A3"/>
    <w:rsid w:val="00493BEF"/>
    <w:rsid w:val="00494432"/>
    <w:rsid w:val="00496AE5"/>
    <w:rsid w:val="004A1C17"/>
    <w:rsid w:val="004A2631"/>
    <w:rsid w:val="004A4DB4"/>
    <w:rsid w:val="004A585F"/>
    <w:rsid w:val="004A60D3"/>
    <w:rsid w:val="004A6D8B"/>
    <w:rsid w:val="004A75AF"/>
    <w:rsid w:val="004A7B1C"/>
    <w:rsid w:val="004B01A3"/>
    <w:rsid w:val="004B0440"/>
    <w:rsid w:val="004B0B0C"/>
    <w:rsid w:val="004B13DF"/>
    <w:rsid w:val="004B36B0"/>
    <w:rsid w:val="004B4AF1"/>
    <w:rsid w:val="004B5885"/>
    <w:rsid w:val="004B68EE"/>
    <w:rsid w:val="004B7D0A"/>
    <w:rsid w:val="004C03E0"/>
    <w:rsid w:val="004C150F"/>
    <w:rsid w:val="004C1B08"/>
    <w:rsid w:val="004C1BDD"/>
    <w:rsid w:val="004C238F"/>
    <w:rsid w:val="004C290B"/>
    <w:rsid w:val="004C4891"/>
    <w:rsid w:val="004C60B8"/>
    <w:rsid w:val="004C6309"/>
    <w:rsid w:val="004C7A5D"/>
    <w:rsid w:val="004D1FC2"/>
    <w:rsid w:val="004D296B"/>
    <w:rsid w:val="004D3BE4"/>
    <w:rsid w:val="004D50F6"/>
    <w:rsid w:val="004D5A59"/>
    <w:rsid w:val="004D5BC6"/>
    <w:rsid w:val="004D68CD"/>
    <w:rsid w:val="004E085E"/>
    <w:rsid w:val="004E089D"/>
    <w:rsid w:val="004E46E3"/>
    <w:rsid w:val="004F19FB"/>
    <w:rsid w:val="004F1DD0"/>
    <w:rsid w:val="004F3181"/>
    <w:rsid w:val="004F3D29"/>
    <w:rsid w:val="004F553F"/>
    <w:rsid w:val="004F56C0"/>
    <w:rsid w:val="004F5B84"/>
    <w:rsid w:val="00501401"/>
    <w:rsid w:val="0050274A"/>
    <w:rsid w:val="00503881"/>
    <w:rsid w:val="005039D2"/>
    <w:rsid w:val="005040FE"/>
    <w:rsid w:val="00504181"/>
    <w:rsid w:val="00504D1D"/>
    <w:rsid w:val="0050530C"/>
    <w:rsid w:val="00505C1A"/>
    <w:rsid w:val="00507AF2"/>
    <w:rsid w:val="005115F2"/>
    <w:rsid w:val="00511CD7"/>
    <w:rsid w:val="00513561"/>
    <w:rsid w:val="00514480"/>
    <w:rsid w:val="0051490C"/>
    <w:rsid w:val="005164AC"/>
    <w:rsid w:val="00517327"/>
    <w:rsid w:val="00520BA9"/>
    <w:rsid w:val="00521EBD"/>
    <w:rsid w:val="00527A2B"/>
    <w:rsid w:val="00527E1A"/>
    <w:rsid w:val="0053178F"/>
    <w:rsid w:val="00532BE6"/>
    <w:rsid w:val="00533D9D"/>
    <w:rsid w:val="00534826"/>
    <w:rsid w:val="00534AFB"/>
    <w:rsid w:val="00534EAE"/>
    <w:rsid w:val="00536066"/>
    <w:rsid w:val="005363FC"/>
    <w:rsid w:val="00537145"/>
    <w:rsid w:val="00540E81"/>
    <w:rsid w:val="00540FCB"/>
    <w:rsid w:val="00541021"/>
    <w:rsid w:val="00542DEA"/>
    <w:rsid w:val="00543656"/>
    <w:rsid w:val="00544160"/>
    <w:rsid w:val="005467E6"/>
    <w:rsid w:val="00546CFB"/>
    <w:rsid w:val="00546DA8"/>
    <w:rsid w:val="00547B83"/>
    <w:rsid w:val="00550F79"/>
    <w:rsid w:val="00551097"/>
    <w:rsid w:val="0055162B"/>
    <w:rsid w:val="0055443C"/>
    <w:rsid w:val="00554681"/>
    <w:rsid w:val="00554683"/>
    <w:rsid w:val="00554C15"/>
    <w:rsid w:val="00557D0A"/>
    <w:rsid w:val="00557F4F"/>
    <w:rsid w:val="005635BC"/>
    <w:rsid w:val="005638C5"/>
    <w:rsid w:val="00563EE4"/>
    <w:rsid w:val="00564EFD"/>
    <w:rsid w:val="00565327"/>
    <w:rsid w:val="00567D0C"/>
    <w:rsid w:val="0057097F"/>
    <w:rsid w:val="00571126"/>
    <w:rsid w:val="00573310"/>
    <w:rsid w:val="00573600"/>
    <w:rsid w:val="00573ED4"/>
    <w:rsid w:val="00574EB7"/>
    <w:rsid w:val="00574F0E"/>
    <w:rsid w:val="00575BB1"/>
    <w:rsid w:val="00576865"/>
    <w:rsid w:val="00580E64"/>
    <w:rsid w:val="00581692"/>
    <w:rsid w:val="005844CA"/>
    <w:rsid w:val="0058478F"/>
    <w:rsid w:val="00585414"/>
    <w:rsid w:val="005910B2"/>
    <w:rsid w:val="00594641"/>
    <w:rsid w:val="005948E4"/>
    <w:rsid w:val="00594C5B"/>
    <w:rsid w:val="00596E82"/>
    <w:rsid w:val="00597468"/>
    <w:rsid w:val="00597EF3"/>
    <w:rsid w:val="005A0910"/>
    <w:rsid w:val="005A2156"/>
    <w:rsid w:val="005A36FB"/>
    <w:rsid w:val="005A4369"/>
    <w:rsid w:val="005A4437"/>
    <w:rsid w:val="005A4873"/>
    <w:rsid w:val="005A5717"/>
    <w:rsid w:val="005A57EC"/>
    <w:rsid w:val="005A6DC1"/>
    <w:rsid w:val="005B0CC9"/>
    <w:rsid w:val="005B2636"/>
    <w:rsid w:val="005B3E7F"/>
    <w:rsid w:val="005B579B"/>
    <w:rsid w:val="005B6675"/>
    <w:rsid w:val="005C008D"/>
    <w:rsid w:val="005C21A5"/>
    <w:rsid w:val="005C30B8"/>
    <w:rsid w:val="005C4753"/>
    <w:rsid w:val="005C4DAB"/>
    <w:rsid w:val="005C767F"/>
    <w:rsid w:val="005D142F"/>
    <w:rsid w:val="005D167C"/>
    <w:rsid w:val="005D2B0D"/>
    <w:rsid w:val="005D4565"/>
    <w:rsid w:val="005D4B71"/>
    <w:rsid w:val="005D5DED"/>
    <w:rsid w:val="005E14A0"/>
    <w:rsid w:val="005E16C4"/>
    <w:rsid w:val="005E22EA"/>
    <w:rsid w:val="005E2778"/>
    <w:rsid w:val="005E3777"/>
    <w:rsid w:val="005E5CB2"/>
    <w:rsid w:val="005E61AC"/>
    <w:rsid w:val="005E7FC3"/>
    <w:rsid w:val="005F0413"/>
    <w:rsid w:val="005F071C"/>
    <w:rsid w:val="005F1B26"/>
    <w:rsid w:val="005F34BC"/>
    <w:rsid w:val="005F4689"/>
    <w:rsid w:val="0060078C"/>
    <w:rsid w:val="00602264"/>
    <w:rsid w:val="00603A46"/>
    <w:rsid w:val="00605204"/>
    <w:rsid w:val="006055B4"/>
    <w:rsid w:val="00605EF6"/>
    <w:rsid w:val="00611835"/>
    <w:rsid w:val="006127CF"/>
    <w:rsid w:val="00615EDB"/>
    <w:rsid w:val="0061724F"/>
    <w:rsid w:val="00617578"/>
    <w:rsid w:val="006202ED"/>
    <w:rsid w:val="006206C1"/>
    <w:rsid w:val="00621320"/>
    <w:rsid w:val="006227D1"/>
    <w:rsid w:val="00622CEA"/>
    <w:rsid w:val="00622D81"/>
    <w:rsid w:val="00622E0B"/>
    <w:rsid w:val="00623827"/>
    <w:rsid w:val="0062388B"/>
    <w:rsid w:val="0062444D"/>
    <w:rsid w:val="00625D3C"/>
    <w:rsid w:val="0062616F"/>
    <w:rsid w:val="006261F1"/>
    <w:rsid w:val="00626819"/>
    <w:rsid w:val="00626F5B"/>
    <w:rsid w:val="0062777D"/>
    <w:rsid w:val="006300A9"/>
    <w:rsid w:val="0063094D"/>
    <w:rsid w:val="00631489"/>
    <w:rsid w:val="00631816"/>
    <w:rsid w:val="0063212A"/>
    <w:rsid w:val="00633130"/>
    <w:rsid w:val="006338D3"/>
    <w:rsid w:val="00634479"/>
    <w:rsid w:val="006361C1"/>
    <w:rsid w:val="00641017"/>
    <w:rsid w:val="00642354"/>
    <w:rsid w:val="00644626"/>
    <w:rsid w:val="00645976"/>
    <w:rsid w:val="00645D0E"/>
    <w:rsid w:val="00646406"/>
    <w:rsid w:val="00653ADA"/>
    <w:rsid w:val="00654000"/>
    <w:rsid w:val="00656412"/>
    <w:rsid w:val="00656DAD"/>
    <w:rsid w:val="00657F0B"/>
    <w:rsid w:val="00661AC4"/>
    <w:rsid w:val="006627A1"/>
    <w:rsid w:val="006634CD"/>
    <w:rsid w:val="00663700"/>
    <w:rsid w:val="00665119"/>
    <w:rsid w:val="0066778C"/>
    <w:rsid w:val="00672B8B"/>
    <w:rsid w:val="00680450"/>
    <w:rsid w:val="006826D0"/>
    <w:rsid w:val="006847BA"/>
    <w:rsid w:val="0068565B"/>
    <w:rsid w:val="006902FC"/>
    <w:rsid w:val="00691AD1"/>
    <w:rsid w:val="00691CF4"/>
    <w:rsid w:val="00692912"/>
    <w:rsid w:val="006929F4"/>
    <w:rsid w:val="0069414C"/>
    <w:rsid w:val="00694F9D"/>
    <w:rsid w:val="00697829"/>
    <w:rsid w:val="00697B4B"/>
    <w:rsid w:val="00697F86"/>
    <w:rsid w:val="006A0280"/>
    <w:rsid w:val="006A0296"/>
    <w:rsid w:val="006A105F"/>
    <w:rsid w:val="006A1402"/>
    <w:rsid w:val="006A1BEF"/>
    <w:rsid w:val="006A20DB"/>
    <w:rsid w:val="006A3830"/>
    <w:rsid w:val="006A4971"/>
    <w:rsid w:val="006A5AA4"/>
    <w:rsid w:val="006A794F"/>
    <w:rsid w:val="006A7F77"/>
    <w:rsid w:val="006B24F4"/>
    <w:rsid w:val="006B27B8"/>
    <w:rsid w:val="006B2B17"/>
    <w:rsid w:val="006B4CAD"/>
    <w:rsid w:val="006B5AEC"/>
    <w:rsid w:val="006B6276"/>
    <w:rsid w:val="006B6E2E"/>
    <w:rsid w:val="006B7EB2"/>
    <w:rsid w:val="006C253B"/>
    <w:rsid w:val="006C28FC"/>
    <w:rsid w:val="006C2FC9"/>
    <w:rsid w:val="006C396D"/>
    <w:rsid w:val="006C4B95"/>
    <w:rsid w:val="006C5358"/>
    <w:rsid w:val="006C5B71"/>
    <w:rsid w:val="006C6F29"/>
    <w:rsid w:val="006D0597"/>
    <w:rsid w:val="006D1C51"/>
    <w:rsid w:val="006D206F"/>
    <w:rsid w:val="006D5920"/>
    <w:rsid w:val="006D5924"/>
    <w:rsid w:val="006E06F7"/>
    <w:rsid w:val="006E2140"/>
    <w:rsid w:val="006E382F"/>
    <w:rsid w:val="006E4040"/>
    <w:rsid w:val="006E432D"/>
    <w:rsid w:val="006E46B4"/>
    <w:rsid w:val="006E5340"/>
    <w:rsid w:val="006E73A5"/>
    <w:rsid w:val="006F220C"/>
    <w:rsid w:val="006F33E8"/>
    <w:rsid w:val="006F439C"/>
    <w:rsid w:val="006F47EB"/>
    <w:rsid w:val="006F54B9"/>
    <w:rsid w:val="006F5E2E"/>
    <w:rsid w:val="007012D5"/>
    <w:rsid w:val="007031DF"/>
    <w:rsid w:val="007045BD"/>
    <w:rsid w:val="00705B76"/>
    <w:rsid w:val="00705BAA"/>
    <w:rsid w:val="00706E78"/>
    <w:rsid w:val="00707EF7"/>
    <w:rsid w:val="0071161B"/>
    <w:rsid w:val="007133BF"/>
    <w:rsid w:val="0071343C"/>
    <w:rsid w:val="00713F65"/>
    <w:rsid w:val="00714B8E"/>
    <w:rsid w:val="00715C4E"/>
    <w:rsid w:val="00716C6B"/>
    <w:rsid w:val="00717846"/>
    <w:rsid w:val="00717D85"/>
    <w:rsid w:val="00717F24"/>
    <w:rsid w:val="0072013A"/>
    <w:rsid w:val="007219EF"/>
    <w:rsid w:val="00723FCF"/>
    <w:rsid w:val="007240D8"/>
    <w:rsid w:val="00725071"/>
    <w:rsid w:val="007257E4"/>
    <w:rsid w:val="00726828"/>
    <w:rsid w:val="00727314"/>
    <w:rsid w:val="007300B7"/>
    <w:rsid w:val="0073103B"/>
    <w:rsid w:val="00732C00"/>
    <w:rsid w:val="007371AE"/>
    <w:rsid w:val="00740430"/>
    <w:rsid w:val="00745E5C"/>
    <w:rsid w:val="00747E22"/>
    <w:rsid w:val="00750016"/>
    <w:rsid w:val="007507EE"/>
    <w:rsid w:val="0075081A"/>
    <w:rsid w:val="00750BA4"/>
    <w:rsid w:val="00751E3C"/>
    <w:rsid w:val="00752248"/>
    <w:rsid w:val="007537DF"/>
    <w:rsid w:val="00754785"/>
    <w:rsid w:val="00754F31"/>
    <w:rsid w:val="007551E8"/>
    <w:rsid w:val="00755578"/>
    <w:rsid w:val="00760354"/>
    <w:rsid w:val="00760E01"/>
    <w:rsid w:val="00761366"/>
    <w:rsid w:val="0076414C"/>
    <w:rsid w:val="00764567"/>
    <w:rsid w:val="007648B5"/>
    <w:rsid w:val="007661E2"/>
    <w:rsid w:val="00766A62"/>
    <w:rsid w:val="0077212A"/>
    <w:rsid w:val="00774096"/>
    <w:rsid w:val="007750AD"/>
    <w:rsid w:val="00775A23"/>
    <w:rsid w:val="00777E71"/>
    <w:rsid w:val="00780203"/>
    <w:rsid w:val="00781414"/>
    <w:rsid w:val="00781A32"/>
    <w:rsid w:val="00782ACD"/>
    <w:rsid w:val="007834F2"/>
    <w:rsid w:val="00783C4E"/>
    <w:rsid w:val="007841C7"/>
    <w:rsid w:val="0078453E"/>
    <w:rsid w:val="00787100"/>
    <w:rsid w:val="00790361"/>
    <w:rsid w:val="007925DB"/>
    <w:rsid w:val="00793AEA"/>
    <w:rsid w:val="00793F7B"/>
    <w:rsid w:val="00794DD0"/>
    <w:rsid w:val="007950DD"/>
    <w:rsid w:val="007963B9"/>
    <w:rsid w:val="007974CE"/>
    <w:rsid w:val="00797879"/>
    <w:rsid w:val="007979CE"/>
    <w:rsid w:val="00797C62"/>
    <w:rsid w:val="007A0023"/>
    <w:rsid w:val="007A00F3"/>
    <w:rsid w:val="007A5E3D"/>
    <w:rsid w:val="007A7373"/>
    <w:rsid w:val="007B18DD"/>
    <w:rsid w:val="007B585B"/>
    <w:rsid w:val="007C01B9"/>
    <w:rsid w:val="007C02D7"/>
    <w:rsid w:val="007C0D0E"/>
    <w:rsid w:val="007C0D58"/>
    <w:rsid w:val="007C1863"/>
    <w:rsid w:val="007C1B6C"/>
    <w:rsid w:val="007C22DD"/>
    <w:rsid w:val="007C5FC5"/>
    <w:rsid w:val="007C64CC"/>
    <w:rsid w:val="007D2C69"/>
    <w:rsid w:val="007D2CA8"/>
    <w:rsid w:val="007D3300"/>
    <w:rsid w:val="007D42BE"/>
    <w:rsid w:val="007D6BBA"/>
    <w:rsid w:val="007D6C0D"/>
    <w:rsid w:val="007D6DCD"/>
    <w:rsid w:val="007D7426"/>
    <w:rsid w:val="007E02F9"/>
    <w:rsid w:val="007E175A"/>
    <w:rsid w:val="007E3490"/>
    <w:rsid w:val="007E3955"/>
    <w:rsid w:val="007E56C3"/>
    <w:rsid w:val="007E5726"/>
    <w:rsid w:val="007E7C4D"/>
    <w:rsid w:val="007F03B3"/>
    <w:rsid w:val="007F1C46"/>
    <w:rsid w:val="007F2F61"/>
    <w:rsid w:val="007F40FE"/>
    <w:rsid w:val="007F4780"/>
    <w:rsid w:val="007F5F6D"/>
    <w:rsid w:val="00803089"/>
    <w:rsid w:val="008037BA"/>
    <w:rsid w:val="00804075"/>
    <w:rsid w:val="00805E68"/>
    <w:rsid w:val="008075A0"/>
    <w:rsid w:val="0081144E"/>
    <w:rsid w:val="00812B46"/>
    <w:rsid w:val="00813F7F"/>
    <w:rsid w:val="00814BC9"/>
    <w:rsid w:val="00816A53"/>
    <w:rsid w:val="00820053"/>
    <w:rsid w:val="008202E0"/>
    <w:rsid w:val="0082110E"/>
    <w:rsid w:val="00821287"/>
    <w:rsid w:val="00823253"/>
    <w:rsid w:val="0082347C"/>
    <w:rsid w:val="00825315"/>
    <w:rsid w:val="00826E63"/>
    <w:rsid w:val="00832B22"/>
    <w:rsid w:val="008332DD"/>
    <w:rsid w:val="0083509D"/>
    <w:rsid w:val="0083522D"/>
    <w:rsid w:val="00835B09"/>
    <w:rsid w:val="00835DBC"/>
    <w:rsid w:val="008363FC"/>
    <w:rsid w:val="0083654A"/>
    <w:rsid w:val="008404B1"/>
    <w:rsid w:val="00843413"/>
    <w:rsid w:val="008438E6"/>
    <w:rsid w:val="00845569"/>
    <w:rsid w:val="00847369"/>
    <w:rsid w:val="008507DE"/>
    <w:rsid w:val="00850A5A"/>
    <w:rsid w:val="008511E6"/>
    <w:rsid w:val="00855393"/>
    <w:rsid w:val="00855C18"/>
    <w:rsid w:val="0085661D"/>
    <w:rsid w:val="00856E4C"/>
    <w:rsid w:val="00857144"/>
    <w:rsid w:val="00857372"/>
    <w:rsid w:val="00857FD6"/>
    <w:rsid w:val="008601B4"/>
    <w:rsid w:val="0086054F"/>
    <w:rsid w:val="0086215E"/>
    <w:rsid w:val="00862FD7"/>
    <w:rsid w:val="008635C7"/>
    <w:rsid w:val="00864D93"/>
    <w:rsid w:val="00864FD3"/>
    <w:rsid w:val="008652CD"/>
    <w:rsid w:val="00865C0B"/>
    <w:rsid w:val="0086627D"/>
    <w:rsid w:val="00866E83"/>
    <w:rsid w:val="00867C5E"/>
    <w:rsid w:val="008701ED"/>
    <w:rsid w:val="00870CE5"/>
    <w:rsid w:val="00871ECA"/>
    <w:rsid w:val="0087247D"/>
    <w:rsid w:val="0087355D"/>
    <w:rsid w:val="00873D11"/>
    <w:rsid w:val="00876A8B"/>
    <w:rsid w:val="0087746E"/>
    <w:rsid w:val="00880833"/>
    <w:rsid w:val="00881388"/>
    <w:rsid w:val="00881D8E"/>
    <w:rsid w:val="0088236A"/>
    <w:rsid w:val="00884621"/>
    <w:rsid w:val="008852A5"/>
    <w:rsid w:val="00886300"/>
    <w:rsid w:val="00891351"/>
    <w:rsid w:val="008920D0"/>
    <w:rsid w:val="008925C3"/>
    <w:rsid w:val="008934D8"/>
    <w:rsid w:val="008938B3"/>
    <w:rsid w:val="0089467F"/>
    <w:rsid w:val="008965A8"/>
    <w:rsid w:val="008A0433"/>
    <w:rsid w:val="008A075D"/>
    <w:rsid w:val="008A08BE"/>
    <w:rsid w:val="008A0E84"/>
    <w:rsid w:val="008A2606"/>
    <w:rsid w:val="008A3F07"/>
    <w:rsid w:val="008A5197"/>
    <w:rsid w:val="008A6CD1"/>
    <w:rsid w:val="008A7320"/>
    <w:rsid w:val="008A76DE"/>
    <w:rsid w:val="008B10FB"/>
    <w:rsid w:val="008B1482"/>
    <w:rsid w:val="008B24D3"/>
    <w:rsid w:val="008B4137"/>
    <w:rsid w:val="008B4721"/>
    <w:rsid w:val="008B5D84"/>
    <w:rsid w:val="008B64E2"/>
    <w:rsid w:val="008B6A44"/>
    <w:rsid w:val="008B6AE1"/>
    <w:rsid w:val="008C0DCC"/>
    <w:rsid w:val="008C26A3"/>
    <w:rsid w:val="008C2FD8"/>
    <w:rsid w:val="008C3C06"/>
    <w:rsid w:val="008C524B"/>
    <w:rsid w:val="008C5CAF"/>
    <w:rsid w:val="008C7209"/>
    <w:rsid w:val="008D0634"/>
    <w:rsid w:val="008D1104"/>
    <w:rsid w:val="008D2800"/>
    <w:rsid w:val="008D4643"/>
    <w:rsid w:val="008D493D"/>
    <w:rsid w:val="008D63D0"/>
    <w:rsid w:val="008D65D5"/>
    <w:rsid w:val="008D67E3"/>
    <w:rsid w:val="008D6B2E"/>
    <w:rsid w:val="008D76CE"/>
    <w:rsid w:val="008E03E2"/>
    <w:rsid w:val="008E1635"/>
    <w:rsid w:val="008E18E7"/>
    <w:rsid w:val="008E1B9B"/>
    <w:rsid w:val="008E4BEE"/>
    <w:rsid w:val="008E5426"/>
    <w:rsid w:val="008E73BC"/>
    <w:rsid w:val="008F0F30"/>
    <w:rsid w:val="008F2B86"/>
    <w:rsid w:val="008F3C95"/>
    <w:rsid w:val="008F49D3"/>
    <w:rsid w:val="008F4C10"/>
    <w:rsid w:val="008F5403"/>
    <w:rsid w:val="008F6DE3"/>
    <w:rsid w:val="008F7DBB"/>
    <w:rsid w:val="00900482"/>
    <w:rsid w:val="00903358"/>
    <w:rsid w:val="009036E1"/>
    <w:rsid w:val="009038BB"/>
    <w:rsid w:val="009042EB"/>
    <w:rsid w:val="0090588A"/>
    <w:rsid w:val="00905B17"/>
    <w:rsid w:val="009075C9"/>
    <w:rsid w:val="00913417"/>
    <w:rsid w:val="00916A2E"/>
    <w:rsid w:val="00916FF7"/>
    <w:rsid w:val="009204AE"/>
    <w:rsid w:val="00923126"/>
    <w:rsid w:val="00923610"/>
    <w:rsid w:val="009279A2"/>
    <w:rsid w:val="0093069B"/>
    <w:rsid w:val="00930B1E"/>
    <w:rsid w:val="00930CB9"/>
    <w:rsid w:val="009311F0"/>
    <w:rsid w:val="00931317"/>
    <w:rsid w:val="00932AA1"/>
    <w:rsid w:val="00935632"/>
    <w:rsid w:val="009358A0"/>
    <w:rsid w:val="00937447"/>
    <w:rsid w:val="009377B3"/>
    <w:rsid w:val="00937B4C"/>
    <w:rsid w:val="00937F8B"/>
    <w:rsid w:val="00940722"/>
    <w:rsid w:val="00941072"/>
    <w:rsid w:val="009445A9"/>
    <w:rsid w:val="00944A3C"/>
    <w:rsid w:val="00945F60"/>
    <w:rsid w:val="009462EB"/>
    <w:rsid w:val="009462F8"/>
    <w:rsid w:val="009477CF"/>
    <w:rsid w:val="009515F2"/>
    <w:rsid w:val="00951B97"/>
    <w:rsid w:val="00951F6A"/>
    <w:rsid w:val="00952049"/>
    <w:rsid w:val="00952E6F"/>
    <w:rsid w:val="009549AE"/>
    <w:rsid w:val="00954B6F"/>
    <w:rsid w:val="00954C6E"/>
    <w:rsid w:val="00955303"/>
    <w:rsid w:val="009553D5"/>
    <w:rsid w:val="009573C5"/>
    <w:rsid w:val="009600AE"/>
    <w:rsid w:val="00960FFF"/>
    <w:rsid w:val="00962240"/>
    <w:rsid w:val="00962899"/>
    <w:rsid w:val="0096317E"/>
    <w:rsid w:val="009634B3"/>
    <w:rsid w:val="00963AB5"/>
    <w:rsid w:val="00964BAE"/>
    <w:rsid w:val="0096531C"/>
    <w:rsid w:val="009654C0"/>
    <w:rsid w:val="0096585B"/>
    <w:rsid w:val="009662AE"/>
    <w:rsid w:val="00966449"/>
    <w:rsid w:val="009677CC"/>
    <w:rsid w:val="00967850"/>
    <w:rsid w:val="00970227"/>
    <w:rsid w:val="00970B5B"/>
    <w:rsid w:val="00970E3E"/>
    <w:rsid w:val="00971F1B"/>
    <w:rsid w:val="00975634"/>
    <w:rsid w:val="009773BB"/>
    <w:rsid w:val="009813EF"/>
    <w:rsid w:val="00984E65"/>
    <w:rsid w:val="00985549"/>
    <w:rsid w:val="009875E2"/>
    <w:rsid w:val="0098777F"/>
    <w:rsid w:val="0099094F"/>
    <w:rsid w:val="00990CE8"/>
    <w:rsid w:val="009931F5"/>
    <w:rsid w:val="00993E01"/>
    <w:rsid w:val="00995B10"/>
    <w:rsid w:val="00996563"/>
    <w:rsid w:val="00997818"/>
    <w:rsid w:val="009A002C"/>
    <w:rsid w:val="009A0D36"/>
    <w:rsid w:val="009A12A5"/>
    <w:rsid w:val="009A1776"/>
    <w:rsid w:val="009A2170"/>
    <w:rsid w:val="009A2B49"/>
    <w:rsid w:val="009A74B5"/>
    <w:rsid w:val="009A799C"/>
    <w:rsid w:val="009B3C67"/>
    <w:rsid w:val="009B41F0"/>
    <w:rsid w:val="009B5705"/>
    <w:rsid w:val="009B6493"/>
    <w:rsid w:val="009B7798"/>
    <w:rsid w:val="009C0387"/>
    <w:rsid w:val="009C1796"/>
    <w:rsid w:val="009C1D64"/>
    <w:rsid w:val="009C1EDC"/>
    <w:rsid w:val="009C1F15"/>
    <w:rsid w:val="009C267F"/>
    <w:rsid w:val="009C434F"/>
    <w:rsid w:val="009C43F2"/>
    <w:rsid w:val="009D1BC8"/>
    <w:rsid w:val="009D25EF"/>
    <w:rsid w:val="009D2B21"/>
    <w:rsid w:val="009D71FA"/>
    <w:rsid w:val="009D7E1E"/>
    <w:rsid w:val="009E00B8"/>
    <w:rsid w:val="009E1154"/>
    <w:rsid w:val="009E252D"/>
    <w:rsid w:val="009E2D23"/>
    <w:rsid w:val="009E3544"/>
    <w:rsid w:val="009E3D9C"/>
    <w:rsid w:val="009E6DD8"/>
    <w:rsid w:val="009F02E8"/>
    <w:rsid w:val="009F066E"/>
    <w:rsid w:val="009F0B32"/>
    <w:rsid w:val="009F4F54"/>
    <w:rsid w:val="009F60F4"/>
    <w:rsid w:val="00A002F1"/>
    <w:rsid w:val="00A00833"/>
    <w:rsid w:val="00A03820"/>
    <w:rsid w:val="00A03F44"/>
    <w:rsid w:val="00A04DB8"/>
    <w:rsid w:val="00A062A4"/>
    <w:rsid w:val="00A06359"/>
    <w:rsid w:val="00A06571"/>
    <w:rsid w:val="00A06B74"/>
    <w:rsid w:val="00A06D87"/>
    <w:rsid w:val="00A0771D"/>
    <w:rsid w:val="00A10FF7"/>
    <w:rsid w:val="00A115E8"/>
    <w:rsid w:val="00A119F6"/>
    <w:rsid w:val="00A12062"/>
    <w:rsid w:val="00A12A98"/>
    <w:rsid w:val="00A1360F"/>
    <w:rsid w:val="00A17125"/>
    <w:rsid w:val="00A179AE"/>
    <w:rsid w:val="00A221A6"/>
    <w:rsid w:val="00A23346"/>
    <w:rsid w:val="00A23E46"/>
    <w:rsid w:val="00A254D6"/>
    <w:rsid w:val="00A2696C"/>
    <w:rsid w:val="00A274B5"/>
    <w:rsid w:val="00A3083A"/>
    <w:rsid w:val="00A312EA"/>
    <w:rsid w:val="00A31C01"/>
    <w:rsid w:val="00A32768"/>
    <w:rsid w:val="00A328C4"/>
    <w:rsid w:val="00A33632"/>
    <w:rsid w:val="00A3454A"/>
    <w:rsid w:val="00A364BB"/>
    <w:rsid w:val="00A3688F"/>
    <w:rsid w:val="00A40392"/>
    <w:rsid w:val="00A4121C"/>
    <w:rsid w:val="00A47EB4"/>
    <w:rsid w:val="00A52588"/>
    <w:rsid w:val="00A53CBA"/>
    <w:rsid w:val="00A54CCE"/>
    <w:rsid w:val="00A54E57"/>
    <w:rsid w:val="00A54E8E"/>
    <w:rsid w:val="00A63436"/>
    <w:rsid w:val="00A64259"/>
    <w:rsid w:val="00A64D2D"/>
    <w:rsid w:val="00A65F66"/>
    <w:rsid w:val="00A662E8"/>
    <w:rsid w:val="00A670FD"/>
    <w:rsid w:val="00A6767B"/>
    <w:rsid w:val="00A67E8B"/>
    <w:rsid w:val="00A700D0"/>
    <w:rsid w:val="00A7074F"/>
    <w:rsid w:val="00A709E5"/>
    <w:rsid w:val="00A70D26"/>
    <w:rsid w:val="00A71FBD"/>
    <w:rsid w:val="00A752B5"/>
    <w:rsid w:val="00A75A26"/>
    <w:rsid w:val="00A77177"/>
    <w:rsid w:val="00A77E75"/>
    <w:rsid w:val="00A80DFE"/>
    <w:rsid w:val="00A82E52"/>
    <w:rsid w:val="00A8453A"/>
    <w:rsid w:val="00A849A3"/>
    <w:rsid w:val="00A84E39"/>
    <w:rsid w:val="00A85CF2"/>
    <w:rsid w:val="00A86B17"/>
    <w:rsid w:val="00A90538"/>
    <w:rsid w:val="00A9094E"/>
    <w:rsid w:val="00A91822"/>
    <w:rsid w:val="00A92FD7"/>
    <w:rsid w:val="00A952D7"/>
    <w:rsid w:val="00A960E7"/>
    <w:rsid w:val="00AA27ED"/>
    <w:rsid w:val="00AA30F6"/>
    <w:rsid w:val="00AA46BC"/>
    <w:rsid w:val="00AA575A"/>
    <w:rsid w:val="00AA6718"/>
    <w:rsid w:val="00AB0EE1"/>
    <w:rsid w:val="00AB1B0C"/>
    <w:rsid w:val="00AB2224"/>
    <w:rsid w:val="00AB26B8"/>
    <w:rsid w:val="00AB2C09"/>
    <w:rsid w:val="00AB2F6A"/>
    <w:rsid w:val="00AB4369"/>
    <w:rsid w:val="00AB442B"/>
    <w:rsid w:val="00AB5B11"/>
    <w:rsid w:val="00AB5D4D"/>
    <w:rsid w:val="00AB628E"/>
    <w:rsid w:val="00AB6A3E"/>
    <w:rsid w:val="00AC151E"/>
    <w:rsid w:val="00AC2A33"/>
    <w:rsid w:val="00AC2C1E"/>
    <w:rsid w:val="00AC3159"/>
    <w:rsid w:val="00AC3688"/>
    <w:rsid w:val="00AC4292"/>
    <w:rsid w:val="00AC47C2"/>
    <w:rsid w:val="00AC4CA6"/>
    <w:rsid w:val="00AC4D31"/>
    <w:rsid w:val="00AC5E5F"/>
    <w:rsid w:val="00AC5FAB"/>
    <w:rsid w:val="00AC77B3"/>
    <w:rsid w:val="00AD19E3"/>
    <w:rsid w:val="00AD1F6C"/>
    <w:rsid w:val="00AD3964"/>
    <w:rsid w:val="00AD43E7"/>
    <w:rsid w:val="00AD520F"/>
    <w:rsid w:val="00AD56AB"/>
    <w:rsid w:val="00AD6E08"/>
    <w:rsid w:val="00AE0DFD"/>
    <w:rsid w:val="00AE52FA"/>
    <w:rsid w:val="00AE5F85"/>
    <w:rsid w:val="00AF057D"/>
    <w:rsid w:val="00AF0765"/>
    <w:rsid w:val="00AF0CA9"/>
    <w:rsid w:val="00AF216E"/>
    <w:rsid w:val="00AF3BD1"/>
    <w:rsid w:val="00AF3CDD"/>
    <w:rsid w:val="00AF4692"/>
    <w:rsid w:val="00AF7E44"/>
    <w:rsid w:val="00B01DCF"/>
    <w:rsid w:val="00B01FD4"/>
    <w:rsid w:val="00B0251C"/>
    <w:rsid w:val="00B0486D"/>
    <w:rsid w:val="00B06EA9"/>
    <w:rsid w:val="00B12285"/>
    <w:rsid w:val="00B13897"/>
    <w:rsid w:val="00B145D6"/>
    <w:rsid w:val="00B14AAB"/>
    <w:rsid w:val="00B15E1D"/>
    <w:rsid w:val="00B1690B"/>
    <w:rsid w:val="00B171AD"/>
    <w:rsid w:val="00B21289"/>
    <w:rsid w:val="00B2291C"/>
    <w:rsid w:val="00B23034"/>
    <w:rsid w:val="00B2339E"/>
    <w:rsid w:val="00B243AA"/>
    <w:rsid w:val="00B24F24"/>
    <w:rsid w:val="00B253E0"/>
    <w:rsid w:val="00B25627"/>
    <w:rsid w:val="00B25A4B"/>
    <w:rsid w:val="00B265A5"/>
    <w:rsid w:val="00B27F93"/>
    <w:rsid w:val="00B309B4"/>
    <w:rsid w:val="00B320F9"/>
    <w:rsid w:val="00B337D5"/>
    <w:rsid w:val="00B33B6C"/>
    <w:rsid w:val="00B344D9"/>
    <w:rsid w:val="00B34CA2"/>
    <w:rsid w:val="00B35F1E"/>
    <w:rsid w:val="00B36996"/>
    <w:rsid w:val="00B377E9"/>
    <w:rsid w:val="00B40213"/>
    <w:rsid w:val="00B40365"/>
    <w:rsid w:val="00B409BA"/>
    <w:rsid w:val="00B40D38"/>
    <w:rsid w:val="00B40F7A"/>
    <w:rsid w:val="00B42655"/>
    <w:rsid w:val="00B437B0"/>
    <w:rsid w:val="00B43ABC"/>
    <w:rsid w:val="00B43B8E"/>
    <w:rsid w:val="00B45002"/>
    <w:rsid w:val="00B4536D"/>
    <w:rsid w:val="00B46C4B"/>
    <w:rsid w:val="00B47C3D"/>
    <w:rsid w:val="00B509FA"/>
    <w:rsid w:val="00B50ADA"/>
    <w:rsid w:val="00B5325E"/>
    <w:rsid w:val="00B53446"/>
    <w:rsid w:val="00B53AC3"/>
    <w:rsid w:val="00B5542D"/>
    <w:rsid w:val="00B57AFF"/>
    <w:rsid w:val="00B6288D"/>
    <w:rsid w:val="00B6327A"/>
    <w:rsid w:val="00B65569"/>
    <w:rsid w:val="00B65857"/>
    <w:rsid w:val="00B66317"/>
    <w:rsid w:val="00B668E6"/>
    <w:rsid w:val="00B66BA2"/>
    <w:rsid w:val="00B679B8"/>
    <w:rsid w:val="00B67C48"/>
    <w:rsid w:val="00B714EC"/>
    <w:rsid w:val="00B71891"/>
    <w:rsid w:val="00B738FB"/>
    <w:rsid w:val="00B752A4"/>
    <w:rsid w:val="00B7534A"/>
    <w:rsid w:val="00B83E28"/>
    <w:rsid w:val="00B846F3"/>
    <w:rsid w:val="00B869D6"/>
    <w:rsid w:val="00B903C3"/>
    <w:rsid w:val="00B90404"/>
    <w:rsid w:val="00B90777"/>
    <w:rsid w:val="00B91D64"/>
    <w:rsid w:val="00B92F14"/>
    <w:rsid w:val="00B94F7C"/>
    <w:rsid w:val="00B96B62"/>
    <w:rsid w:val="00B97C8C"/>
    <w:rsid w:val="00BA0237"/>
    <w:rsid w:val="00BA0551"/>
    <w:rsid w:val="00BA226C"/>
    <w:rsid w:val="00BA535F"/>
    <w:rsid w:val="00BA702F"/>
    <w:rsid w:val="00BA7D29"/>
    <w:rsid w:val="00BB0D93"/>
    <w:rsid w:val="00BB1510"/>
    <w:rsid w:val="00BB1654"/>
    <w:rsid w:val="00BB27FE"/>
    <w:rsid w:val="00BB4793"/>
    <w:rsid w:val="00BB633E"/>
    <w:rsid w:val="00BB6D0E"/>
    <w:rsid w:val="00BC1E8F"/>
    <w:rsid w:val="00BC2948"/>
    <w:rsid w:val="00BC3C31"/>
    <w:rsid w:val="00BC4940"/>
    <w:rsid w:val="00BC5840"/>
    <w:rsid w:val="00BC644D"/>
    <w:rsid w:val="00BC6953"/>
    <w:rsid w:val="00BC6ADA"/>
    <w:rsid w:val="00BC7028"/>
    <w:rsid w:val="00BD0061"/>
    <w:rsid w:val="00BD3D64"/>
    <w:rsid w:val="00BD4CE3"/>
    <w:rsid w:val="00BD6F00"/>
    <w:rsid w:val="00BD7C42"/>
    <w:rsid w:val="00BD7DC9"/>
    <w:rsid w:val="00BE121B"/>
    <w:rsid w:val="00BE162A"/>
    <w:rsid w:val="00BE193C"/>
    <w:rsid w:val="00BE21F6"/>
    <w:rsid w:val="00BE2BEA"/>
    <w:rsid w:val="00BE547A"/>
    <w:rsid w:val="00BF07E3"/>
    <w:rsid w:val="00BF0BED"/>
    <w:rsid w:val="00BF0E98"/>
    <w:rsid w:val="00BF1297"/>
    <w:rsid w:val="00BF3078"/>
    <w:rsid w:val="00BF522A"/>
    <w:rsid w:val="00BF58D5"/>
    <w:rsid w:val="00BF59C5"/>
    <w:rsid w:val="00BF7395"/>
    <w:rsid w:val="00BF7F17"/>
    <w:rsid w:val="00C04125"/>
    <w:rsid w:val="00C045B6"/>
    <w:rsid w:val="00C05963"/>
    <w:rsid w:val="00C073F6"/>
    <w:rsid w:val="00C110F3"/>
    <w:rsid w:val="00C14614"/>
    <w:rsid w:val="00C1576A"/>
    <w:rsid w:val="00C16E8C"/>
    <w:rsid w:val="00C177DB"/>
    <w:rsid w:val="00C17D19"/>
    <w:rsid w:val="00C20E15"/>
    <w:rsid w:val="00C22BB1"/>
    <w:rsid w:val="00C22D0C"/>
    <w:rsid w:val="00C2353A"/>
    <w:rsid w:val="00C236E7"/>
    <w:rsid w:val="00C23992"/>
    <w:rsid w:val="00C2422F"/>
    <w:rsid w:val="00C24FFA"/>
    <w:rsid w:val="00C264AC"/>
    <w:rsid w:val="00C26DB4"/>
    <w:rsid w:val="00C26F8C"/>
    <w:rsid w:val="00C27203"/>
    <w:rsid w:val="00C3147E"/>
    <w:rsid w:val="00C32C6C"/>
    <w:rsid w:val="00C335C7"/>
    <w:rsid w:val="00C337AD"/>
    <w:rsid w:val="00C342E4"/>
    <w:rsid w:val="00C346F8"/>
    <w:rsid w:val="00C34B37"/>
    <w:rsid w:val="00C3562D"/>
    <w:rsid w:val="00C36477"/>
    <w:rsid w:val="00C36D8F"/>
    <w:rsid w:val="00C37683"/>
    <w:rsid w:val="00C40C62"/>
    <w:rsid w:val="00C41EF1"/>
    <w:rsid w:val="00C42ACD"/>
    <w:rsid w:val="00C44B22"/>
    <w:rsid w:val="00C456C8"/>
    <w:rsid w:val="00C50A9A"/>
    <w:rsid w:val="00C5193E"/>
    <w:rsid w:val="00C54D8D"/>
    <w:rsid w:val="00C55A46"/>
    <w:rsid w:val="00C56018"/>
    <w:rsid w:val="00C57C97"/>
    <w:rsid w:val="00C57FD9"/>
    <w:rsid w:val="00C607C1"/>
    <w:rsid w:val="00C61964"/>
    <w:rsid w:val="00C6339D"/>
    <w:rsid w:val="00C63999"/>
    <w:rsid w:val="00C64EAE"/>
    <w:rsid w:val="00C650C2"/>
    <w:rsid w:val="00C652CE"/>
    <w:rsid w:val="00C65916"/>
    <w:rsid w:val="00C65FBF"/>
    <w:rsid w:val="00C67083"/>
    <w:rsid w:val="00C703AC"/>
    <w:rsid w:val="00C728B1"/>
    <w:rsid w:val="00C740E8"/>
    <w:rsid w:val="00C74241"/>
    <w:rsid w:val="00C776F5"/>
    <w:rsid w:val="00C77D88"/>
    <w:rsid w:val="00C83969"/>
    <w:rsid w:val="00C83AC4"/>
    <w:rsid w:val="00C84B7A"/>
    <w:rsid w:val="00C85D21"/>
    <w:rsid w:val="00C91681"/>
    <w:rsid w:val="00C91CB1"/>
    <w:rsid w:val="00C92B79"/>
    <w:rsid w:val="00C9458F"/>
    <w:rsid w:val="00C94910"/>
    <w:rsid w:val="00C9562E"/>
    <w:rsid w:val="00C95DB0"/>
    <w:rsid w:val="00C97C63"/>
    <w:rsid w:val="00CA04B2"/>
    <w:rsid w:val="00CA0812"/>
    <w:rsid w:val="00CA0A29"/>
    <w:rsid w:val="00CA1183"/>
    <w:rsid w:val="00CA1A7F"/>
    <w:rsid w:val="00CA29FE"/>
    <w:rsid w:val="00CA2D84"/>
    <w:rsid w:val="00CA398A"/>
    <w:rsid w:val="00CA3C43"/>
    <w:rsid w:val="00CA58F6"/>
    <w:rsid w:val="00CA70EB"/>
    <w:rsid w:val="00CB00BA"/>
    <w:rsid w:val="00CB0989"/>
    <w:rsid w:val="00CB15B3"/>
    <w:rsid w:val="00CB1A04"/>
    <w:rsid w:val="00CB205A"/>
    <w:rsid w:val="00CB40DF"/>
    <w:rsid w:val="00CB4DC2"/>
    <w:rsid w:val="00CB55F2"/>
    <w:rsid w:val="00CB6140"/>
    <w:rsid w:val="00CB61CF"/>
    <w:rsid w:val="00CB70A1"/>
    <w:rsid w:val="00CB73D8"/>
    <w:rsid w:val="00CC3742"/>
    <w:rsid w:val="00CC4CE4"/>
    <w:rsid w:val="00CC4D2B"/>
    <w:rsid w:val="00CC5FCD"/>
    <w:rsid w:val="00CC6DED"/>
    <w:rsid w:val="00CC7DBB"/>
    <w:rsid w:val="00CD0593"/>
    <w:rsid w:val="00CD2000"/>
    <w:rsid w:val="00CD20A6"/>
    <w:rsid w:val="00CD3073"/>
    <w:rsid w:val="00CD3C5D"/>
    <w:rsid w:val="00CD4581"/>
    <w:rsid w:val="00CD50A9"/>
    <w:rsid w:val="00CD538D"/>
    <w:rsid w:val="00CE01AD"/>
    <w:rsid w:val="00CE099D"/>
    <w:rsid w:val="00CE0F77"/>
    <w:rsid w:val="00CE43D3"/>
    <w:rsid w:val="00CE4698"/>
    <w:rsid w:val="00CE5484"/>
    <w:rsid w:val="00CE5C67"/>
    <w:rsid w:val="00CE5F10"/>
    <w:rsid w:val="00CE6053"/>
    <w:rsid w:val="00CE664A"/>
    <w:rsid w:val="00CE7202"/>
    <w:rsid w:val="00CE7356"/>
    <w:rsid w:val="00CE74E5"/>
    <w:rsid w:val="00CE7EFE"/>
    <w:rsid w:val="00CF01A7"/>
    <w:rsid w:val="00CF07F0"/>
    <w:rsid w:val="00CF0F4C"/>
    <w:rsid w:val="00CF21D9"/>
    <w:rsid w:val="00CF2D75"/>
    <w:rsid w:val="00CF319E"/>
    <w:rsid w:val="00CF33E3"/>
    <w:rsid w:val="00CF3F09"/>
    <w:rsid w:val="00CF6ABE"/>
    <w:rsid w:val="00CF70F7"/>
    <w:rsid w:val="00D0192E"/>
    <w:rsid w:val="00D04A37"/>
    <w:rsid w:val="00D05AE8"/>
    <w:rsid w:val="00D05FE4"/>
    <w:rsid w:val="00D060E1"/>
    <w:rsid w:val="00D076A7"/>
    <w:rsid w:val="00D10174"/>
    <w:rsid w:val="00D1212A"/>
    <w:rsid w:val="00D174C6"/>
    <w:rsid w:val="00D20A5B"/>
    <w:rsid w:val="00D24691"/>
    <w:rsid w:val="00D26F75"/>
    <w:rsid w:val="00D301C0"/>
    <w:rsid w:val="00D30818"/>
    <w:rsid w:val="00D308F4"/>
    <w:rsid w:val="00D31F8D"/>
    <w:rsid w:val="00D33030"/>
    <w:rsid w:val="00D332F9"/>
    <w:rsid w:val="00D36A79"/>
    <w:rsid w:val="00D3713B"/>
    <w:rsid w:val="00D37D24"/>
    <w:rsid w:val="00D409F7"/>
    <w:rsid w:val="00D40BFB"/>
    <w:rsid w:val="00D4204F"/>
    <w:rsid w:val="00D42D16"/>
    <w:rsid w:val="00D43CBC"/>
    <w:rsid w:val="00D43F20"/>
    <w:rsid w:val="00D44A38"/>
    <w:rsid w:val="00D47F52"/>
    <w:rsid w:val="00D505B8"/>
    <w:rsid w:val="00D50AB1"/>
    <w:rsid w:val="00D518C5"/>
    <w:rsid w:val="00D51E1E"/>
    <w:rsid w:val="00D54287"/>
    <w:rsid w:val="00D55BC4"/>
    <w:rsid w:val="00D55D07"/>
    <w:rsid w:val="00D5608E"/>
    <w:rsid w:val="00D561A7"/>
    <w:rsid w:val="00D6109F"/>
    <w:rsid w:val="00D63018"/>
    <w:rsid w:val="00D6384B"/>
    <w:rsid w:val="00D64861"/>
    <w:rsid w:val="00D64F07"/>
    <w:rsid w:val="00D664E9"/>
    <w:rsid w:val="00D66EE6"/>
    <w:rsid w:val="00D67364"/>
    <w:rsid w:val="00D6779E"/>
    <w:rsid w:val="00D7000A"/>
    <w:rsid w:val="00D708F9"/>
    <w:rsid w:val="00D70B92"/>
    <w:rsid w:val="00D767CD"/>
    <w:rsid w:val="00D77044"/>
    <w:rsid w:val="00D77613"/>
    <w:rsid w:val="00D77D07"/>
    <w:rsid w:val="00D77D53"/>
    <w:rsid w:val="00D8103D"/>
    <w:rsid w:val="00D820FD"/>
    <w:rsid w:val="00D82971"/>
    <w:rsid w:val="00D82F8F"/>
    <w:rsid w:val="00D83132"/>
    <w:rsid w:val="00D8383F"/>
    <w:rsid w:val="00D841D0"/>
    <w:rsid w:val="00D859CD"/>
    <w:rsid w:val="00D868E9"/>
    <w:rsid w:val="00D93B89"/>
    <w:rsid w:val="00D96403"/>
    <w:rsid w:val="00D96898"/>
    <w:rsid w:val="00D9733F"/>
    <w:rsid w:val="00D97694"/>
    <w:rsid w:val="00D9781E"/>
    <w:rsid w:val="00DA05FE"/>
    <w:rsid w:val="00DA087E"/>
    <w:rsid w:val="00DA0D35"/>
    <w:rsid w:val="00DA11A2"/>
    <w:rsid w:val="00DA3A54"/>
    <w:rsid w:val="00DA469C"/>
    <w:rsid w:val="00DA6352"/>
    <w:rsid w:val="00DA78ED"/>
    <w:rsid w:val="00DB2D8B"/>
    <w:rsid w:val="00DB3540"/>
    <w:rsid w:val="00DB4863"/>
    <w:rsid w:val="00DB5028"/>
    <w:rsid w:val="00DB5B72"/>
    <w:rsid w:val="00DB5D67"/>
    <w:rsid w:val="00DB725A"/>
    <w:rsid w:val="00DC4E89"/>
    <w:rsid w:val="00DC5836"/>
    <w:rsid w:val="00DC5FA6"/>
    <w:rsid w:val="00DC6687"/>
    <w:rsid w:val="00DC6EBC"/>
    <w:rsid w:val="00DD1159"/>
    <w:rsid w:val="00DD2151"/>
    <w:rsid w:val="00DD2543"/>
    <w:rsid w:val="00DD2DF0"/>
    <w:rsid w:val="00DD48B9"/>
    <w:rsid w:val="00DE0050"/>
    <w:rsid w:val="00DE130B"/>
    <w:rsid w:val="00DE1494"/>
    <w:rsid w:val="00DE1C28"/>
    <w:rsid w:val="00DE2224"/>
    <w:rsid w:val="00DE355F"/>
    <w:rsid w:val="00DE399F"/>
    <w:rsid w:val="00DE3EF3"/>
    <w:rsid w:val="00DE41F1"/>
    <w:rsid w:val="00DE463F"/>
    <w:rsid w:val="00DE5A2A"/>
    <w:rsid w:val="00DE7465"/>
    <w:rsid w:val="00DE7B79"/>
    <w:rsid w:val="00DF21AB"/>
    <w:rsid w:val="00DF33A0"/>
    <w:rsid w:val="00DF34A6"/>
    <w:rsid w:val="00DF3B9A"/>
    <w:rsid w:val="00DF56E9"/>
    <w:rsid w:val="00DF5D1B"/>
    <w:rsid w:val="00DF695C"/>
    <w:rsid w:val="00DF7870"/>
    <w:rsid w:val="00E00933"/>
    <w:rsid w:val="00E0175B"/>
    <w:rsid w:val="00E044F7"/>
    <w:rsid w:val="00E04D8D"/>
    <w:rsid w:val="00E0600C"/>
    <w:rsid w:val="00E07A2C"/>
    <w:rsid w:val="00E07FBD"/>
    <w:rsid w:val="00E10E03"/>
    <w:rsid w:val="00E10EBF"/>
    <w:rsid w:val="00E11354"/>
    <w:rsid w:val="00E129AD"/>
    <w:rsid w:val="00E1324D"/>
    <w:rsid w:val="00E13B6E"/>
    <w:rsid w:val="00E148BB"/>
    <w:rsid w:val="00E14C2D"/>
    <w:rsid w:val="00E23EF7"/>
    <w:rsid w:val="00E246D8"/>
    <w:rsid w:val="00E2607B"/>
    <w:rsid w:val="00E265A8"/>
    <w:rsid w:val="00E27108"/>
    <w:rsid w:val="00E300EB"/>
    <w:rsid w:val="00E327F1"/>
    <w:rsid w:val="00E329FD"/>
    <w:rsid w:val="00E33B83"/>
    <w:rsid w:val="00E37DA2"/>
    <w:rsid w:val="00E37DB6"/>
    <w:rsid w:val="00E42BDD"/>
    <w:rsid w:val="00E430EC"/>
    <w:rsid w:val="00E4333A"/>
    <w:rsid w:val="00E43762"/>
    <w:rsid w:val="00E4574E"/>
    <w:rsid w:val="00E4635E"/>
    <w:rsid w:val="00E50E86"/>
    <w:rsid w:val="00E5126C"/>
    <w:rsid w:val="00E51877"/>
    <w:rsid w:val="00E518BD"/>
    <w:rsid w:val="00E51954"/>
    <w:rsid w:val="00E52E87"/>
    <w:rsid w:val="00E534FE"/>
    <w:rsid w:val="00E537A3"/>
    <w:rsid w:val="00E54543"/>
    <w:rsid w:val="00E56743"/>
    <w:rsid w:val="00E56EA4"/>
    <w:rsid w:val="00E56EEA"/>
    <w:rsid w:val="00E61416"/>
    <w:rsid w:val="00E61F37"/>
    <w:rsid w:val="00E63235"/>
    <w:rsid w:val="00E63988"/>
    <w:rsid w:val="00E63D01"/>
    <w:rsid w:val="00E67459"/>
    <w:rsid w:val="00E67B2B"/>
    <w:rsid w:val="00E707B4"/>
    <w:rsid w:val="00E708C8"/>
    <w:rsid w:val="00E70927"/>
    <w:rsid w:val="00E73431"/>
    <w:rsid w:val="00E7344C"/>
    <w:rsid w:val="00E75E68"/>
    <w:rsid w:val="00E76F50"/>
    <w:rsid w:val="00E810C2"/>
    <w:rsid w:val="00E822AE"/>
    <w:rsid w:val="00E83EA6"/>
    <w:rsid w:val="00E84739"/>
    <w:rsid w:val="00E86466"/>
    <w:rsid w:val="00E86509"/>
    <w:rsid w:val="00E86B9B"/>
    <w:rsid w:val="00E86BC9"/>
    <w:rsid w:val="00E87384"/>
    <w:rsid w:val="00E90E9F"/>
    <w:rsid w:val="00E94CBF"/>
    <w:rsid w:val="00EA0034"/>
    <w:rsid w:val="00EA07A8"/>
    <w:rsid w:val="00EA10E3"/>
    <w:rsid w:val="00EA2729"/>
    <w:rsid w:val="00EA5865"/>
    <w:rsid w:val="00EA5CED"/>
    <w:rsid w:val="00EA62E9"/>
    <w:rsid w:val="00EB0625"/>
    <w:rsid w:val="00EB35AE"/>
    <w:rsid w:val="00EB3C36"/>
    <w:rsid w:val="00EB5209"/>
    <w:rsid w:val="00EB5F38"/>
    <w:rsid w:val="00EB6003"/>
    <w:rsid w:val="00EB62A0"/>
    <w:rsid w:val="00EB6E4C"/>
    <w:rsid w:val="00EB797A"/>
    <w:rsid w:val="00EC0227"/>
    <w:rsid w:val="00EC191F"/>
    <w:rsid w:val="00EC5C14"/>
    <w:rsid w:val="00EC5D1E"/>
    <w:rsid w:val="00EC7530"/>
    <w:rsid w:val="00ED0079"/>
    <w:rsid w:val="00ED0CE2"/>
    <w:rsid w:val="00ED21D7"/>
    <w:rsid w:val="00ED537A"/>
    <w:rsid w:val="00ED60D6"/>
    <w:rsid w:val="00ED634E"/>
    <w:rsid w:val="00ED64E2"/>
    <w:rsid w:val="00ED6BD2"/>
    <w:rsid w:val="00ED7701"/>
    <w:rsid w:val="00ED78D1"/>
    <w:rsid w:val="00EE0389"/>
    <w:rsid w:val="00EE0537"/>
    <w:rsid w:val="00EE3FFD"/>
    <w:rsid w:val="00EE4B18"/>
    <w:rsid w:val="00EF007D"/>
    <w:rsid w:val="00EF0937"/>
    <w:rsid w:val="00EF19A3"/>
    <w:rsid w:val="00EF1BC2"/>
    <w:rsid w:val="00EF1FBB"/>
    <w:rsid w:val="00EF38E0"/>
    <w:rsid w:val="00EF6504"/>
    <w:rsid w:val="00EF6790"/>
    <w:rsid w:val="00EF7FEB"/>
    <w:rsid w:val="00F00283"/>
    <w:rsid w:val="00F01785"/>
    <w:rsid w:val="00F01E1C"/>
    <w:rsid w:val="00F0556A"/>
    <w:rsid w:val="00F05AF4"/>
    <w:rsid w:val="00F067C2"/>
    <w:rsid w:val="00F12FBF"/>
    <w:rsid w:val="00F140B7"/>
    <w:rsid w:val="00F15DF7"/>
    <w:rsid w:val="00F16B2E"/>
    <w:rsid w:val="00F173D2"/>
    <w:rsid w:val="00F17FBF"/>
    <w:rsid w:val="00F21342"/>
    <w:rsid w:val="00F21AF7"/>
    <w:rsid w:val="00F24216"/>
    <w:rsid w:val="00F25D86"/>
    <w:rsid w:val="00F31CCE"/>
    <w:rsid w:val="00F32C76"/>
    <w:rsid w:val="00F3336C"/>
    <w:rsid w:val="00F34EEB"/>
    <w:rsid w:val="00F37E3A"/>
    <w:rsid w:val="00F41022"/>
    <w:rsid w:val="00F41A13"/>
    <w:rsid w:val="00F42D71"/>
    <w:rsid w:val="00F5084B"/>
    <w:rsid w:val="00F52656"/>
    <w:rsid w:val="00F53B44"/>
    <w:rsid w:val="00F605E2"/>
    <w:rsid w:val="00F61DC1"/>
    <w:rsid w:val="00F6207E"/>
    <w:rsid w:val="00F620D6"/>
    <w:rsid w:val="00F629C5"/>
    <w:rsid w:val="00F63C04"/>
    <w:rsid w:val="00F64FAD"/>
    <w:rsid w:val="00F65359"/>
    <w:rsid w:val="00F667AA"/>
    <w:rsid w:val="00F67956"/>
    <w:rsid w:val="00F71C91"/>
    <w:rsid w:val="00F7239A"/>
    <w:rsid w:val="00F75375"/>
    <w:rsid w:val="00F75D1E"/>
    <w:rsid w:val="00F77586"/>
    <w:rsid w:val="00F80325"/>
    <w:rsid w:val="00F808BA"/>
    <w:rsid w:val="00F81D56"/>
    <w:rsid w:val="00F82492"/>
    <w:rsid w:val="00F82F4A"/>
    <w:rsid w:val="00F832FB"/>
    <w:rsid w:val="00F85B5B"/>
    <w:rsid w:val="00F85FCA"/>
    <w:rsid w:val="00F900BC"/>
    <w:rsid w:val="00F90129"/>
    <w:rsid w:val="00F91C9D"/>
    <w:rsid w:val="00F9231E"/>
    <w:rsid w:val="00F92B01"/>
    <w:rsid w:val="00F935F5"/>
    <w:rsid w:val="00F93694"/>
    <w:rsid w:val="00F93C12"/>
    <w:rsid w:val="00F96EBC"/>
    <w:rsid w:val="00FA2BA8"/>
    <w:rsid w:val="00FA49F9"/>
    <w:rsid w:val="00FA633D"/>
    <w:rsid w:val="00FA6B36"/>
    <w:rsid w:val="00FA6D47"/>
    <w:rsid w:val="00FB0392"/>
    <w:rsid w:val="00FB05CD"/>
    <w:rsid w:val="00FB0918"/>
    <w:rsid w:val="00FB1808"/>
    <w:rsid w:val="00FB1D90"/>
    <w:rsid w:val="00FB22F1"/>
    <w:rsid w:val="00FB243B"/>
    <w:rsid w:val="00FB262F"/>
    <w:rsid w:val="00FB27A9"/>
    <w:rsid w:val="00FB322A"/>
    <w:rsid w:val="00FB378F"/>
    <w:rsid w:val="00FB50F5"/>
    <w:rsid w:val="00FB5625"/>
    <w:rsid w:val="00FC1699"/>
    <w:rsid w:val="00FC1A10"/>
    <w:rsid w:val="00FC3A08"/>
    <w:rsid w:val="00FC4EC5"/>
    <w:rsid w:val="00FC5C1A"/>
    <w:rsid w:val="00FD128F"/>
    <w:rsid w:val="00FD38CB"/>
    <w:rsid w:val="00FD38F0"/>
    <w:rsid w:val="00FD6FC0"/>
    <w:rsid w:val="00FE148B"/>
    <w:rsid w:val="00FE181C"/>
    <w:rsid w:val="00FE2745"/>
    <w:rsid w:val="00FE29E7"/>
    <w:rsid w:val="00FE3D38"/>
    <w:rsid w:val="00FE6F25"/>
    <w:rsid w:val="00FF00E3"/>
    <w:rsid w:val="00FF0C4C"/>
    <w:rsid w:val="00FF1167"/>
    <w:rsid w:val="00FF2EE4"/>
    <w:rsid w:val="00FF38F9"/>
    <w:rsid w:val="00FF40E6"/>
    <w:rsid w:val="00FF42EA"/>
    <w:rsid w:val="00FF461F"/>
    <w:rsid w:val="00FF6A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44CA"/>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5844CA"/>
    <w:pPr>
      <w:ind w:left="720"/>
      <w:contextualSpacing/>
      <w:jc w:val="left"/>
    </w:pPr>
  </w:style>
  <w:style w:type="paragraph" w:styleId="NormalWeb">
    <w:name w:val="Normal (Web)"/>
    <w:basedOn w:val="Normal"/>
    <w:uiPriority w:val="99"/>
    <w:unhideWhenUsed/>
    <w:rsid w:val="003C4967"/>
    <w:pPr>
      <w:widowControl/>
      <w:adjustRightInd/>
      <w:spacing w:before="100" w:beforeAutospacing="1" w:after="100" w:afterAutospacing="1"/>
      <w:jc w:val="left"/>
    </w:pPr>
  </w:style>
  <w:style w:type="paragraph" w:styleId="BalloonText">
    <w:name w:val="Balloon Text"/>
    <w:basedOn w:val="Normal"/>
    <w:link w:val="TextbublinyChar"/>
    <w:uiPriority w:val="99"/>
    <w:semiHidden/>
    <w:unhideWhenUsed/>
    <w:rsid w:val="00105A29"/>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05A29"/>
    <w:rPr>
      <w:rFonts w:ascii="Tahoma" w:hAnsi="Tahoma" w:cs="Tahoma"/>
      <w:sz w:val="16"/>
      <w:szCs w:val="16"/>
      <w:rtl w:val="0"/>
      <w:cs w:val="0"/>
      <w:lang w:val="sk-SK" w:eastAsia="sk-SK"/>
    </w:rPr>
  </w:style>
  <w:style w:type="character" w:styleId="CommentReference">
    <w:name w:val="annotation reference"/>
    <w:basedOn w:val="DefaultParagraphFont"/>
    <w:uiPriority w:val="99"/>
    <w:semiHidden/>
    <w:unhideWhenUsed/>
    <w:rsid w:val="00626F5B"/>
    <w:rPr>
      <w:rFonts w:cs="Times New Roman"/>
      <w:sz w:val="16"/>
      <w:szCs w:val="16"/>
      <w:rtl w:val="0"/>
      <w:cs w:val="0"/>
    </w:rPr>
  </w:style>
  <w:style w:type="paragraph" w:styleId="CommentText">
    <w:name w:val="annotation text"/>
    <w:basedOn w:val="Normal"/>
    <w:link w:val="TextkomentraChar"/>
    <w:uiPriority w:val="99"/>
    <w:unhideWhenUsed/>
    <w:rsid w:val="00626F5B"/>
    <w:pPr>
      <w:jc w:val="left"/>
    </w:pPr>
    <w:rPr>
      <w:sz w:val="20"/>
      <w:szCs w:val="20"/>
    </w:rPr>
  </w:style>
  <w:style w:type="character" w:customStyle="1" w:styleId="TextkomentraChar">
    <w:name w:val="Text komentára Char"/>
    <w:basedOn w:val="DefaultParagraphFont"/>
    <w:link w:val="CommentText"/>
    <w:uiPriority w:val="99"/>
    <w:locked/>
    <w:rsid w:val="00626F5B"/>
    <w:rPr>
      <w:rFonts w:ascii="Times New Roman" w:hAnsi="Times New Roman" w:cs="Times New Roman"/>
      <w:sz w:val="20"/>
      <w:szCs w:val="20"/>
      <w:rtl w:val="0"/>
      <w:cs w:val="0"/>
    </w:rPr>
  </w:style>
  <w:style w:type="paragraph" w:styleId="Header">
    <w:name w:val="header"/>
    <w:basedOn w:val="Normal"/>
    <w:link w:val="HlavikaChar"/>
    <w:uiPriority w:val="99"/>
    <w:unhideWhenUsed/>
    <w:rsid w:val="000A7093"/>
    <w:pPr>
      <w:tabs>
        <w:tab w:val="center" w:pos="4536"/>
        <w:tab w:val="right" w:pos="9072"/>
      </w:tabs>
      <w:jc w:val="left"/>
    </w:pPr>
  </w:style>
  <w:style w:type="character" w:customStyle="1" w:styleId="HlavikaChar">
    <w:name w:val="Hlavička Char"/>
    <w:basedOn w:val="DefaultParagraphFont"/>
    <w:link w:val="Header"/>
    <w:uiPriority w:val="99"/>
    <w:locked/>
    <w:rsid w:val="000A7093"/>
    <w:rPr>
      <w:rFonts w:ascii="Times New Roman" w:hAnsi="Times New Roman" w:cs="Times New Roman"/>
      <w:sz w:val="24"/>
      <w:szCs w:val="24"/>
      <w:rtl w:val="0"/>
      <w:cs w:val="0"/>
    </w:rPr>
  </w:style>
  <w:style w:type="paragraph" w:styleId="Footer">
    <w:name w:val="footer"/>
    <w:basedOn w:val="Normal"/>
    <w:link w:val="PtaChar"/>
    <w:uiPriority w:val="99"/>
    <w:unhideWhenUsed/>
    <w:rsid w:val="000A7093"/>
    <w:pPr>
      <w:tabs>
        <w:tab w:val="center" w:pos="4536"/>
        <w:tab w:val="right" w:pos="9072"/>
      </w:tabs>
      <w:jc w:val="left"/>
    </w:pPr>
  </w:style>
  <w:style w:type="character" w:customStyle="1" w:styleId="PtaChar">
    <w:name w:val="Päta Char"/>
    <w:basedOn w:val="DefaultParagraphFont"/>
    <w:link w:val="Footer"/>
    <w:uiPriority w:val="99"/>
    <w:locked/>
    <w:rsid w:val="000A7093"/>
    <w:rPr>
      <w:rFonts w:ascii="Times New Roman" w:hAnsi="Times New Roman" w:cs="Times New Roman"/>
      <w:sz w:val="24"/>
      <w:szCs w:val="24"/>
      <w:rtl w:val="0"/>
      <w:cs w:val="0"/>
    </w:rPr>
  </w:style>
  <w:style w:type="table" w:styleId="TableGrid">
    <w:name w:val="Table Grid"/>
    <w:basedOn w:val="TableNormal"/>
    <w:uiPriority w:val="59"/>
    <w:rsid w:val="00ED6BD2"/>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A103B-B4AB-486B-B5B5-F3F1F033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15</TotalTime>
  <Pages>17</Pages>
  <Words>6651</Words>
  <Characters>37913</Characters>
  <Application>Microsoft Office Word</Application>
  <DocSecurity>0</DocSecurity>
  <Lines>0</Lines>
  <Paragraphs>0</Paragraphs>
  <ScaleCrop>false</ScaleCrop>
  <Company>Hewlett-Packard Company</Company>
  <LinksUpToDate>false</LinksUpToDate>
  <CharactersWithSpaces>44476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Davalová Oľga</dc:creator>
  <cp:lastModifiedBy>Davalová Oľga</cp:lastModifiedBy>
  <cp:revision>8</cp:revision>
  <cp:lastPrinted>2018-02-12T12:09:00Z</cp:lastPrinted>
  <dcterms:created xsi:type="dcterms:W3CDTF">2018-03-26T11:33:00Z</dcterms:created>
  <dcterms:modified xsi:type="dcterms:W3CDTF">2018-04-20T13:03:00Z</dcterms:modified>
</cp:coreProperties>
</file>