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0A9B" w:rsidRPr="00D823E1" w:rsidP="006E0A9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823E1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6E0A9B" w:rsidRPr="00D823E1" w:rsidP="006E0A9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823E1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6E0A9B" w:rsidRPr="00D823E1" w:rsidP="006E0A9B">
      <w:pPr>
        <w:bidi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823E1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6E0A9B" w:rsidRPr="00D823E1" w:rsidP="006E0A9B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6E0A9B" w:rsidRPr="00D823E1" w:rsidP="006E0A9B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D823E1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441"/>
        <w:gridCol w:w="1267"/>
        <w:gridCol w:w="1267"/>
        <w:gridCol w:w="1434"/>
        <w:gridCol w:w="1320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23"/>
          <w:jc w:val="center"/>
        </w:trPr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bookmarkStart w:id="0" w:name="OLE_LINK1"/>
            <w:r w:rsidRPr="00D823E1">
              <w:rPr>
                <w:rFonts w:ascii="Times New Roman" w:hAnsi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2021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+ 34 617 998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+ 83 482 558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+ 84 506 941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+ 86 249 820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+ 34 617 998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+ 83 482 558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+ 84 506 941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+ 86 249 820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sk-SK"/>
              </w:rPr>
            </w:pPr>
            <w:r w:rsidRPr="00D823E1">
              <w:t xml:space="preserve">     </w:t>
            </w:r>
            <w:r w:rsidRPr="00D823E1">
              <w:rPr>
                <w:rFonts w:ascii="Times New Roman" w:hAnsi="Times New Roman"/>
              </w:rPr>
              <w:t xml:space="preserve">- MPSVR SR - </w:t>
            </w:r>
            <w:r w:rsidRPr="00D823E1">
              <w:rPr>
                <w:rFonts w:ascii="Times New Roman" w:hAnsi="Times New Roman"/>
                <w:lang w:eastAsia="sk-SK"/>
              </w:rPr>
              <w:t>07C03 Kompenzácia sociálnych  dôsledkov ŤZP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+ 34 617 998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+ 83 482 558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+ 84 506 941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+ 86 249 820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+ 34 617 998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+ 83 482 558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+ 84 506 941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+ 86 249 820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14CEF"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14CEF"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14CEF">
              <w:rPr>
                <w:rFonts w:ascii="Times New Roman" w:hAnsi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14CEF"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14CEF">
              <w:rPr>
                <w:rFonts w:ascii="Times New Roman" w:hAnsi="Times New Roman"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14CEF">
              <w:rPr>
                <w:rFonts w:ascii="Times New Roman" w:hAnsi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D823E1">
              <w:rPr>
                <w:rFonts w:ascii="Times New Roman" w:hAnsi="Times New Roman"/>
                <w:b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D823E1">
              <w:rPr>
                <w:rFonts w:ascii="Times New Roman" w:hAnsi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14CEF">
              <w:rPr>
                <w:rFonts w:ascii="Times New Roman" w:hAnsi="Times New Roman"/>
                <w:b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14CEF">
              <w:rPr>
                <w:rFonts w:ascii="Times New Roman" w:hAnsi="Times New Roman"/>
                <w:b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14CEF">
              <w:rPr>
                <w:rFonts w:ascii="Times New Roman" w:hAnsi="Times New Roman"/>
                <w:b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+ 34 617 998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+ 83 482 558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+ 84 506 941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+ 86 249 820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v tom: MPSVR SR - 07C03 Kompenzácia sociálnych  dôsledkov ŤZP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+ 34 617 998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Cs/>
                <w:sz w:val="20"/>
                <w:szCs w:val="20"/>
              </w:rPr>
              <w:t>+ 83 482 558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Cs/>
                <w:sz w:val="20"/>
                <w:szCs w:val="20"/>
              </w:rPr>
              <w:t>+ 84 506 941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14CEF">
              <w:rPr>
                <w:rFonts w:ascii="Times New Roman" w:hAnsi="Times New Roman"/>
                <w:bCs/>
                <w:sz w:val="20"/>
                <w:szCs w:val="20"/>
              </w:rPr>
              <w:t>+ 86 249 82</w:t>
            </w:r>
            <w:r w:rsidRPr="00114CEF">
              <w:rPr>
                <w:rFonts w:ascii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D823E1">
              <w:rPr>
                <w:rFonts w:ascii="Times New Roman" w:hAnsi="Times New Roman"/>
                <w:b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14CEF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 xml:space="preserve">Rozpočtovo nekrytý vplyv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6E0A9B" w:rsidRPr="00D823E1" w:rsidP="000C4205">
            <w:pPr>
              <w:bidi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6E0A9B" w:rsidRPr="00114CEF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4CE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bookmarkEnd w:id="0"/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823E1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6E0A9B" w:rsidRPr="00605379" w:rsidP="006E0A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sk-SK"/>
        </w:rPr>
      </w:pPr>
      <w:r w:rsidRPr="00FA44B5">
        <w:rPr>
          <w:rFonts w:ascii="Times New Roman" w:hAnsi="Times New Roman"/>
          <w:bCs/>
          <w:sz w:val="24"/>
          <w:szCs w:val="24"/>
          <w:lang w:eastAsia="sk-SK"/>
        </w:rPr>
        <w:t>Kapitola MPSVR SR má v schválenom rozpočte na rok</w:t>
      </w:r>
      <w:r>
        <w:rPr>
          <w:rFonts w:ascii="Times New Roman" w:hAnsi="Times New Roman"/>
          <w:bCs/>
          <w:sz w:val="24"/>
          <w:szCs w:val="24"/>
          <w:lang w:eastAsia="sk-SK"/>
        </w:rPr>
        <w:t>y</w:t>
      </w:r>
      <w:r w:rsidRPr="00FA44B5">
        <w:rPr>
          <w:rFonts w:ascii="Times New Roman" w:hAnsi="Times New Roman"/>
          <w:bCs/>
          <w:sz w:val="24"/>
          <w:szCs w:val="24"/>
          <w:lang w:eastAsia="sk-SK"/>
        </w:rPr>
        <w:t xml:space="preserve"> 2018</w:t>
      </w:r>
      <w:r>
        <w:rPr>
          <w:rFonts w:ascii="Times New Roman" w:hAnsi="Times New Roman"/>
          <w:bCs/>
          <w:sz w:val="24"/>
          <w:szCs w:val="24"/>
          <w:lang w:eastAsia="sk-SK"/>
        </w:rPr>
        <w:t>, 2019, 2020 a 2021</w:t>
      </w:r>
      <w:r w:rsidRPr="00FA44B5">
        <w:rPr>
          <w:rFonts w:ascii="Times New Roman" w:hAnsi="Times New Roman"/>
          <w:bCs/>
          <w:sz w:val="24"/>
          <w:szCs w:val="24"/>
          <w:lang w:eastAsia="sk-SK"/>
        </w:rPr>
        <w:t xml:space="preserve"> zabezpečené finančné krytie zvýšených výdavkov vyplývajúcich z navrhovaných zmien v plnom rozsahu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605379">
        <w:rPr>
          <w:rFonts w:ascii="Times New Roman" w:hAnsi="Times New Roman"/>
          <w:bCs/>
          <w:color w:val="FF0000"/>
          <w:sz w:val="24"/>
          <w:szCs w:val="24"/>
          <w:lang w:eastAsia="sk-SK"/>
        </w:rPr>
        <w:t xml:space="preserve"> 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823E1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823E1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23E1">
        <w:rPr>
          <w:rFonts w:ascii="Times New Roman" w:hAnsi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0A9B" w:rsidRPr="00D823E1" w:rsidP="006E0A9B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Predmetom </w:t>
      </w:r>
      <w:r w:rsidR="000D6F0E">
        <w:rPr>
          <w:rFonts w:ascii="Times New Roman" w:hAnsi="Times New Roman"/>
          <w:sz w:val="24"/>
          <w:szCs w:val="24"/>
        </w:rPr>
        <w:t xml:space="preserve">vládneho </w:t>
      </w:r>
      <w:r w:rsidRPr="00D823E1">
        <w:rPr>
          <w:rFonts w:ascii="Times New Roman" w:hAnsi="Times New Roman"/>
          <w:sz w:val="24"/>
          <w:szCs w:val="24"/>
        </w:rPr>
        <w:t xml:space="preserve">návrhu zákona je najmä úprava podmienok peňažného príspevku na opatrovanie poskytovaného fyzickej osobe v produktívnom veku (t.j. nepoberá niektorú zo zákonom ustanovených dôchodkových dávok) ako aj fyzickej osobe poberajúcej niektorú zo zákonom ustanovených dôchodkových dávok. </w:t>
      </w:r>
    </w:p>
    <w:p w:rsidR="006E0A9B" w:rsidRPr="00D823E1" w:rsidP="006E0A9B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0A9B" w:rsidRPr="00D823E1" w:rsidP="006E0A9B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>Navrhuje sa všetky základné výšky peňažných príspevkov na opatrovanie stanoviť pevnou sumou</w:t>
      </w:r>
      <w:r>
        <w:rPr>
          <w:rFonts w:ascii="Times New Roman" w:hAnsi="Times New Roman"/>
          <w:sz w:val="24"/>
          <w:szCs w:val="24"/>
        </w:rPr>
        <w:t xml:space="preserve">, zároveň zvýšiť ich maximálne výšky </w:t>
      </w:r>
      <w:r w:rsidRPr="00D823E1">
        <w:rPr>
          <w:rFonts w:ascii="Times New Roman" w:hAnsi="Times New Roman"/>
          <w:sz w:val="24"/>
          <w:szCs w:val="24"/>
        </w:rPr>
        <w:t xml:space="preserve">a </w:t>
      </w:r>
      <w:r w:rsidRPr="00EE1836">
        <w:rPr>
          <w:rFonts w:ascii="Times New Roman" w:hAnsi="Times New Roman"/>
          <w:sz w:val="24"/>
          <w:szCs w:val="24"/>
        </w:rPr>
        <w:t xml:space="preserve">umožniť meniť </w:t>
      </w:r>
      <w:r>
        <w:rPr>
          <w:rFonts w:ascii="Times New Roman" w:hAnsi="Times New Roman"/>
          <w:sz w:val="24"/>
          <w:szCs w:val="24"/>
        </w:rPr>
        <w:t>ich</w:t>
      </w:r>
      <w:r w:rsidRPr="00EE1836">
        <w:rPr>
          <w:rFonts w:ascii="Times New Roman" w:hAnsi="Times New Roman"/>
          <w:sz w:val="24"/>
          <w:szCs w:val="24"/>
        </w:rPr>
        <w:t xml:space="preserve"> výšk</w:t>
      </w:r>
      <w:r>
        <w:rPr>
          <w:rFonts w:ascii="Times New Roman" w:hAnsi="Times New Roman"/>
          <w:sz w:val="24"/>
          <w:szCs w:val="24"/>
        </w:rPr>
        <w:t>y</w:t>
      </w:r>
      <w:r w:rsidRPr="00EE183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rostredníctvom nariadenia vlády</w:t>
      </w:r>
      <w:r w:rsidRPr="00EE1836">
        <w:rPr>
          <w:rFonts w:ascii="Times New Roman" w:hAnsi="Times New Roman"/>
          <w:sz w:val="24"/>
          <w:szCs w:val="24"/>
        </w:rPr>
        <w:t xml:space="preserve"> </w:t>
      </w:r>
      <w:r w:rsidRPr="00D823E1">
        <w:rPr>
          <w:rFonts w:ascii="Times New Roman" w:hAnsi="Times New Roman"/>
          <w:sz w:val="24"/>
          <w:szCs w:val="24"/>
        </w:rPr>
        <w:t>v závislosti od počtu opatrovaných fyzických osôb s ťažkým zdravotným postihnutím (ďalej aj „FO s ŤZP“) a od rozsahu opatrovania nasledovne:</w:t>
      </w:r>
    </w:p>
    <w:p w:rsidR="006E0A9B" w:rsidRPr="00D823E1" w:rsidP="006E0A9B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  <w:u w:val="single"/>
        </w:rPr>
        <w:t>1. ak je poberateľ fyzická osoba  v produktívnom veku</w:t>
      </w:r>
      <w:r w:rsidRPr="00D823E1">
        <w:rPr>
          <w:rFonts w:ascii="Times New Roman" w:hAnsi="Times New Roman"/>
          <w:sz w:val="24"/>
          <w:szCs w:val="24"/>
        </w:rPr>
        <w:t>: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a) pri opatrovaní jednej FO s ŤZP  zvýšenie zo  125,00 %  SŽM od 1.7.2018 na </w:t>
      </w:r>
      <w:r w:rsidRPr="00D823E1">
        <w:rPr>
          <w:rFonts w:ascii="Times New Roman" w:hAnsi="Times New Roman"/>
          <w:sz w:val="24"/>
          <w:szCs w:val="24"/>
          <w:lang w:eastAsia="sk-SK"/>
        </w:rPr>
        <w:t>369,36 €</w:t>
      </w:r>
      <w:r w:rsidRPr="00D823E1">
        <w:rPr>
          <w:rFonts w:ascii="Times New Roman" w:hAnsi="Times New Roman"/>
          <w:sz w:val="24"/>
          <w:szCs w:val="24"/>
        </w:rPr>
        <w:t xml:space="preserve">, 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b) pri opatrovaní dvoch alebo viacerých FO s ŤZP zvýšenie zo 162,10 % SŽM od 1.7.2018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   na </w:t>
      </w:r>
      <w:r w:rsidRPr="00D823E1">
        <w:rPr>
          <w:rFonts w:ascii="Times New Roman" w:hAnsi="Times New Roman"/>
          <w:sz w:val="24"/>
          <w:szCs w:val="24"/>
          <w:lang w:eastAsia="sk-SK"/>
        </w:rPr>
        <w:t>492,34 €</w:t>
      </w:r>
      <w:r w:rsidRPr="00D823E1">
        <w:rPr>
          <w:rFonts w:ascii="Times New Roman" w:hAnsi="Times New Roman"/>
          <w:sz w:val="24"/>
          <w:szCs w:val="24"/>
        </w:rPr>
        <w:t xml:space="preserve">,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c) pri opatrovaní jednej FO s ŤZP, ktorá je viac ako 20 hodín týždenne v zariadení zvýšenie         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    zo 112,01 % SŽM od 1.7.2018 na </w:t>
      </w:r>
      <w:r w:rsidRPr="00D823E1">
        <w:rPr>
          <w:rFonts w:ascii="Times New Roman" w:hAnsi="Times New Roman"/>
          <w:sz w:val="24"/>
          <w:szCs w:val="24"/>
          <w:lang w:eastAsia="sk-SK"/>
        </w:rPr>
        <w:t>326,16 €</w:t>
      </w:r>
      <w:r w:rsidRPr="00D823E1">
        <w:rPr>
          <w:rFonts w:ascii="Times New Roman" w:hAnsi="Times New Roman"/>
          <w:sz w:val="24"/>
          <w:szCs w:val="24"/>
        </w:rPr>
        <w:t xml:space="preserve"> ,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d) pri opatrovaní dvoch a viacerých ŤZP, ktoré sú viac ako 20 hodín týždenne v zariadení  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   zvýšenie zo 152,83 % SŽM od 1.7.2018 na </w:t>
      </w:r>
      <w:r w:rsidRPr="00D823E1">
        <w:rPr>
          <w:rFonts w:ascii="Times New Roman" w:hAnsi="Times New Roman"/>
          <w:sz w:val="24"/>
          <w:szCs w:val="24"/>
          <w:lang w:eastAsia="sk-SK"/>
        </w:rPr>
        <w:t>461,81 €</w:t>
      </w:r>
      <w:r w:rsidRPr="00D823E1">
        <w:rPr>
          <w:rFonts w:ascii="Times New Roman" w:hAnsi="Times New Roman"/>
          <w:sz w:val="24"/>
          <w:szCs w:val="24"/>
        </w:rPr>
        <w:t xml:space="preserve">,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e) pri opatrovaní FO s ŤZP, ktorá je v zariadení viac ako 20 hodín týždenne v zariadení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    a súčasne je opatrovaná aj druhá FO s ŤZP, ktorá nie je v zariadení alebo je v zariadení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    najviac 20 hodín týždenne</w:t>
      </w:r>
      <w:r w:rsidRPr="00D823E1">
        <w:rPr>
          <w:rFonts w:ascii="Times New Roman" w:hAnsi="Times New Roman"/>
          <w:bCs/>
          <w:sz w:val="24"/>
          <w:szCs w:val="24"/>
        </w:rPr>
        <w:t xml:space="preserve">  zvýšenie zo </w:t>
      </w:r>
      <w:r w:rsidRPr="00D823E1">
        <w:rPr>
          <w:rFonts w:ascii="Times New Roman" w:hAnsi="Times New Roman"/>
          <w:sz w:val="24"/>
          <w:szCs w:val="24"/>
        </w:rPr>
        <w:t xml:space="preserve">158,39 % SŽM od 1.7.2018 na </w:t>
      </w:r>
      <w:r w:rsidRPr="00D823E1">
        <w:rPr>
          <w:rFonts w:ascii="Times New Roman" w:hAnsi="Times New Roman"/>
          <w:sz w:val="24"/>
          <w:szCs w:val="24"/>
          <w:lang w:eastAsia="sk-SK"/>
        </w:rPr>
        <w:t>480,05 €.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  <w:u w:val="single"/>
        </w:rPr>
        <w:t>2. ak je poberateľ fyzická osoba poberajúca dôchodkovú dávku</w:t>
      </w:r>
      <w:r w:rsidRPr="00D823E1">
        <w:rPr>
          <w:rFonts w:ascii="Times New Roman" w:hAnsi="Times New Roman"/>
          <w:sz w:val="24"/>
          <w:szCs w:val="24"/>
        </w:rPr>
        <w:t xml:space="preserve">: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a) pri opatrovaní jednej FO s ŤZP zvýšenie z 46,38 % SŽM od 1.7.2018 na </w:t>
      </w:r>
      <w:r w:rsidRPr="00D823E1">
        <w:rPr>
          <w:rFonts w:ascii="Times New Roman" w:hAnsi="Times New Roman"/>
          <w:sz w:val="24"/>
          <w:szCs w:val="24"/>
          <w:lang w:eastAsia="sk-SK"/>
        </w:rPr>
        <w:t>184,71</w:t>
      </w:r>
      <w:r w:rsidRPr="00D82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r w:rsidRPr="00D823E1">
        <w:rPr>
          <w:rFonts w:ascii="Times New Roman" w:hAnsi="Times New Roman"/>
          <w:sz w:val="24"/>
          <w:szCs w:val="24"/>
        </w:rPr>
        <w:t>,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>b) pri opatrovaní dvoch alebo viacerých FO s ŤZP zvýšenie z 61,22 % SŽM od 1.7.2018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    na 246,20 €,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c) pri opatrovaní jednej FO s ŤZP, ktorá je viac ako 20 hodín týždenne v zariadení zvýšenie         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    z 46,38 % SŽM od 1.7.2018 na163,06 €,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d) pri opatrovaní dvoch a viacerých ŤZP, ktoré sú viac ako 20 hodín týždenne v zariadení  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   zvýšenie zo 61,22 % SŽM od 1.7.2018 na 230,88 €, 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e) pri opatrovaní FO s ŤZP, ktorá je v zariadení viac ako 20 hodín týždenne v zariadení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    a súčasne je opatrovaná aj druhá FO s ŤZP, ktorá nie je v zariadení alebo je v zariadení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    najviac 20 hodín týždenne</w:t>
      </w:r>
      <w:r w:rsidRPr="00D823E1">
        <w:rPr>
          <w:rFonts w:ascii="Times New Roman" w:hAnsi="Times New Roman"/>
          <w:bCs/>
          <w:sz w:val="24"/>
          <w:szCs w:val="24"/>
        </w:rPr>
        <w:t xml:space="preserve">  zvýšenie zo </w:t>
      </w:r>
      <w:r w:rsidRPr="00D823E1">
        <w:rPr>
          <w:rFonts w:ascii="Times New Roman" w:hAnsi="Times New Roman"/>
          <w:sz w:val="24"/>
          <w:szCs w:val="24"/>
        </w:rPr>
        <w:t>61,22 % SŽM od 1.7.2018 na 240,0 €</w:t>
      </w:r>
      <w:r>
        <w:rPr>
          <w:rFonts w:ascii="Times New Roman" w:hAnsi="Times New Roman"/>
          <w:sz w:val="24"/>
          <w:szCs w:val="24"/>
        </w:rPr>
        <w:t>.</w:t>
      </w:r>
    </w:p>
    <w:p w:rsidR="006E0A9B" w:rsidRPr="00D823E1" w:rsidP="006E0A9B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Ďalšími  zmenami navrhovanými v peňažnom príspevku na opatrovanie  je zavedenie  mechanizmu poskytovania tohto peňažného príspevku za celý mesiac, v ktorom opatrovaná FO s ŤZP zomrela ako aj za mesiac nasledujúci. Súčasne sa navrhuje výnimka pre znižovanie peňažného príspevku na opatrovanie v prípade, ak je FO s ŤZP v zariadení ústavnej zdravotnej starostlivosti dlhšie ako 30 dní a osoba vykonávajúca opatrovanie je jej sprievodcom v tomto zdravotníckom zariadení. </w:t>
      </w:r>
    </w:p>
    <w:p w:rsidR="006E0A9B" w:rsidRPr="00D823E1" w:rsidP="006E0A9B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>Na účely peňažného príspevku na osobnú asistenciu sa navrhuje zmeniť sadzbu na jednu hodinu osobnej asistencie z 1,39 % sumy životného minima pre jednu plnoletú fyzickú osobu na pevnú sumu od 1.7. 2018 na sumu 2,82 €</w:t>
      </w:r>
      <w:r>
        <w:rPr>
          <w:rFonts w:ascii="Times New Roman" w:hAnsi="Times New Roman"/>
          <w:sz w:val="24"/>
          <w:szCs w:val="24"/>
        </w:rPr>
        <w:t>.</w:t>
      </w:r>
    </w:p>
    <w:p w:rsidR="006E0A9B" w:rsidRPr="00D823E1" w:rsidP="006E0A9B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Rozširuje sa okruh FO s ŤZP odkázaných na pomoc inej fyzickej osoby, ktorým bude možné poskytnúť peňažný príspevok na osobnú asistenciu. Sú to FO s ŤZP, ktorým               sa vykonávajú opatrenia v zariadení sociálnoprávnej ochrany detí a sociálnej kurately. Ide         o situácie, ak je potrebná starostlivosť o dieťa s ŤZP zabezpečovaná zo strany profesionálneho rodiča v domácom prostredí alebo o plnoletú FO s ŤZP, ktorej je aj po dosiahnutí plnoletosti poskytovaná starostlivosť v zariadení sociálnoprávnej ochrany detí a sociálnej kurately. </w:t>
      </w:r>
    </w:p>
    <w:p w:rsidR="006E0A9B" w:rsidRPr="00D823E1" w:rsidP="006E0A9B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Na účely parkovacieho preukazu pre fyzickú osobu so zdravotným postihnutím sa rozširuje okruh osôb, ktorým bude možné vyhotoviť takýto preukaz. Ide o FO s ŤZP, ktoré majú niektorý zo zdravotných stavov uvedených v navrhnutej novej prílohe zákona ustanovenej na tento účel. </w:t>
      </w:r>
    </w:p>
    <w:p w:rsidR="006E0A9B" w:rsidRPr="00D823E1" w:rsidP="006E0A9B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>Navrhuje sa, umožniť poskytovanie peňažného príspevku na kompenzáciu zvýšených výdavkov súvisiacich so zabezpečením prevádzky osobného motorového vozidla aj fyzickej osobe s ťažkým zdravotným postihnutím zaradenej do chronického dialyzačného programu, do transplantačného programu, alebo ktorej sa poskytuje onkologická liečba.</w:t>
      </w:r>
    </w:p>
    <w:p w:rsidR="006E0A9B" w:rsidRPr="00D823E1" w:rsidP="006E0A9B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>Rozširuje sa okruh účastníkov právnych vzťahov o cudzinca, ktorému sa poskytla doplnková ochrana, čím sa umožní kompenzovať sociálne dôsledky ťažkého zdravotného postihnutia cudzincov, ktorým sa poskytla doplnková ochrana.</w:t>
      </w: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  <w:lang w:eastAsia="sk-SK"/>
        </w:rPr>
        <w:tab/>
      </w:r>
      <w:r w:rsidRPr="00D823E1">
        <w:rPr>
          <w:rFonts w:ascii="Times New Roman" w:hAnsi="Times New Roman"/>
          <w:sz w:val="24"/>
          <w:szCs w:val="24"/>
        </w:rPr>
        <w:t>Pri poskytnutých jednorazových peňažných príspevkoch na kompenzáciu sa  navrhuje limitovať mechanizmus uplatňovania pohľadávok v konaní o dedičstve, a to iba na situácie, ak poskytnutý peňažný príspevok nebol z dôvodu úmrtia žiadateľa použitý na účel definovaný zákonom. Súčasne sa navrhuje, aby pohľadávky, ktoré vznikli podľa zákona</w:t>
      </w:r>
      <w:r w:rsidR="00302F46">
        <w:rPr>
          <w:rFonts w:ascii="Times New Roman" w:hAnsi="Times New Roman"/>
          <w:sz w:val="24"/>
          <w:szCs w:val="24"/>
        </w:rPr>
        <w:t xml:space="preserve"> účinného do     30. júna 2018</w:t>
      </w:r>
      <w:r w:rsidRPr="00D823E1">
        <w:rPr>
          <w:rFonts w:ascii="Times New Roman" w:hAnsi="Times New Roman"/>
          <w:sz w:val="24"/>
          <w:szCs w:val="24"/>
        </w:rPr>
        <w:t xml:space="preserve"> a uplatnili sa v konaní o dedičstve pred 1. júlom 2018, sa stali nevymožiteľnými. Na tieto pohľadávky príslušný orgán nebude prihliadať.</w:t>
      </w:r>
      <w:r w:rsidRPr="00D823E1">
        <w:rPr>
          <w:rFonts w:ascii="Times New Roman" w:hAnsi="Times New Roman"/>
          <w:b/>
          <w:sz w:val="24"/>
          <w:szCs w:val="24"/>
        </w:rPr>
        <w:t xml:space="preserve"> 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823E1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823E1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D823E1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D823E1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823E1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823E1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823E1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823E1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823E1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Pr="00D823E1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823E1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823E1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823E1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23E1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823E1">
        <w:rPr>
          <w:rFonts w:ascii="Times New Roman" w:hAnsi="Times New Roman"/>
          <w:sz w:val="24"/>
          <w:szCs w:val="24"/>
          <w:u w:val="single"/>
          <w:lang w:eastAsia="sk-SK"/>
        </w:rPr>
        <w:t>Peňažný príspevok na opatrovanie</w:t>
      </w:r>
    </w:p>
    <w:p w:rsidR="006E0A9B" w:rsidP="006E0A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tbl>
      <w:tblPr>
        <w:tblStyle w:val="TableNormal"/>
        <w:tblpPr w:leftFromText="141" w:rightFromText="141" w:vertAnchor="text" w:horzAnchor="margin" w:tblpY="-48"/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276"/>
        <w:gridCol w:w="1276"/>
        <w:gridCol w:w="1276"/>
      </w:tblGrid>
      <w:tr>
        <w:tblPrEx>
          <w:tblW w:w="900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 xml:space="preserve">Predpokladaný </w:t>
            </w: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počet poberateľov p. p. na opatrovanie v produktívnom veku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>, ktorých sa zvýšenie peňažného príspevku dotkne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 roku 2018</w:t>
            </w: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 roku 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 roku 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 roku 2021</w:t>
            </w:r>
          </w:p>
        </w:tc>
      </w:tr>
      <w:tr>
        <w:tblPrEx>
          <w:tblW w:w="9001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 xml:space="preserve">Predpokladaný </w:t>
            </w: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počet poberateľov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>, ktorých sa zvýšenie peňažného príspevku dotkne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31 279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31 651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32 004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32 488</w:t>
            </w:r>
          </w:p>
        </w:tc>
      </w:tr>
      <w:tr>
        <w:tblPrEx>
          <w:tblW w:w="9001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celodenne jednu FO s ŤZP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28 810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29 110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29 350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29 700</w:t>
            </w:r>
          </w:p>
        </w:tc>
      </w:tr>
      <w:tr>
        <w:tblPrEx>
          <w:tblW w:w="9001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celodenne viac FO s ŤZP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896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911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937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989</w:t>
            </w:r>
          </w:p>
        </w:tc>
      </w:tr>
      <w:tr>
        <w:tblPrEx>
          <w:tblW w:w="9001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čiastočne  jednu FO s ŤZP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1 490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1 530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1 595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1635</w:t>
            </w:r>
          </w:p>
        </w:tc>
      </w:tr>
      <w:tr>
        <w:tblPrEx>
          <w:tblW w:w="9001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čiastočne viac  FO s ŤZP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75</w:t>
            </w:r>
          </w:p>
        </w:tc>
      </w:tr>
      <w:tr>
        <w:tblPrEx>
          <w:tblW w:w="9001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kombinovane viac FO s ŤZP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89</w:t>
            </w:r>
          </w:p>
        </w:tc>
      </w:tr>
    </w:tbl>
    <w:p w:rsidR="006E0A9B" w:rsidP="006E0A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tbl>
      <w:tblPr>
        <w:tblStyle w:val="TableGrid"/>
        <w:tblpPr w:leftFromText="141" w:rightFromText="141" w:vertAnchor="page" w:horzAnchor="margin" w:tblpY="48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66"/>
        <w:gridCol w:w="1276"/>
        <w:gridCol w:w="1417"/>
        <w:gridCol w:w="1276"/>
        <w:gridCol w:w="1276"/>
        <w:gridCol w:w="1276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82"/>
        </w:trPr>
        <w:tc>
          <w:tcPr>
            <w:tcW w:w="27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Peňažný príspevok na opatrovanie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pre opatrovateľov  produktívnom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veku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 xml:space="preserve"> ak opatruje: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Pôvodná maximálna výška</w:t>
            </w: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 xml:space="preserve">do 30.6.2018     v  € 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Navrhnuté zvýšené maximálnej výšky v €</w:t>
            </w:r>
          </w:p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82"/>
        </w:trPr>
        <w:tc>
          <w:tcPr>
            <w:tcW w:w="2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od 1.7.2018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od 1.7.2019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od 1.7.2020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od 1.7.2021</w:t>
            </w:r>
          </w:p>
        </w:tc>
      </w:tr>
      <w:tr>
        <w:tblPrEx>
          <w:tblW w:w="0" w:type="auto"/>
          <w:tblLook w:val="04A0"/>
        </w:tblPrEx>
        <w:tc>
          <w:tcPr>
            <w:tcW w:w="2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celodenne jednu FO s ŤZP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249,35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369,36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369,36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369,36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369,36</w:t>
            </w:r>
          </w:p>
        </w:tc>
      </w:tr>
      <w:tr>
        <w:tblPrEx>
          <w:tblW w:w="0" w:type="auto"/>
          <w:tblLook w:val="04A0"/>
        </w:tblPrEx>
        <w:tc>
          <w:tcPr>
            <w:tcW w:w="2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celodenne viac FO s ŤZP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323,36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492,34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492,34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492,34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492,34</w:t>
            </w:r>
          </w:p>
        </w:tc>
      </w:tr>
      <w:tr>
        <w:tblPrEx>
          <w:tblW w:w="0" w:type="auto"/>
          <w:tblLook w:val="04A0"/>
        </w:tblPrEx>
        <w:tc>
          <w:tcPr>
            <w:tcW w:w="2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čiastočne  jednu FO s ŤZP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223,44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326,16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326,16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326,16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326,16</w:t>
            </w:r>
          </w:p>
        </w:tc>
      </w:tr>
      <w:tr>
        <w:tblPrEx>
          <w:tblW w:w="0" w:type="auto"/>
          <w:tblLook w:val="04A0"/>
        </w:tblPrEx>
        <w:tc>
          <w:tcPr>
            <w:tcW w:w="2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čiastočne viac  FO s ŤZP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304,87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461,81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461,81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461,81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461,81</w:t>
            </w:r>
          </w:p>
        </w:tc>
      </w:tr>
      <w:tr>
        <w:tblPrEx>
          <w:tblW w:w="0" w:type="auto"/>
          <w:tblLook w:val="04A0"/>
        </w:tblPrEx>
        <w:tc>
          <w:tcPr>
            <w:tcW w:w="2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kombinovane viac FO s ŤZP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315,96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480,05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480,05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480,05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EA1F89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480,05</w:t>
            </w:r>
          </w:p>
        </w:tc>
      </w:tr>
    </w:tbl>
    <w:p w:rsidR="006E0A9B" w:rsidP="006E0A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45"/>
        <w:gridCol w:w="1375"/>
        <w:gridCol w:w="1351"/>
        <w:gridCol w:w="1215"/>
        <w:gridCol w:w="1217"/>
        <w:gridCol w:w="1486"/>
      </w:tblGrid>
      <w:tr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14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Peňažný príspevok na opatrovanie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 xml:space="preserve">pre opatrovateľov poberajúcich dôchodkovú dávku 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>ak opatruje:</w:t>
            </w:r>
          </w:p>
        </w:tc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Pôvodná maximálna výška</w:t>
            </w:r>
          </w:p>
          <w:p w:rsidR="006E0A9B" w:rsidRPr="00D823E1" w:rsidP="000C4205">
            <w:pPr>
              <w:bidi w:val="0"/>
              <w:spacing w:after="0" w:line="240" w:lineRule="auto"/>
              <w:jc w:val="center"/>
            </w:pPr>
            <w:r w:rsidRPr="00D823E1">
              <w:rPr>
                <w:rFonts w:ascii="Times New Roman" w:hAnsi="Times New Roman"/>
                <w:sz w:val="20"/>
                <w:szCs w:val="20"/>
              </w:rPr>
              <w:t>do 30.6.2018     v  €</w:t>
            </w:r>
          </w:p>
        </w:tc>
        <w:tc>
          <w:tcPr>
            <w:tcW w:w="283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Navrhnuté zvýšené maximálnej výšky v €</w:t>
            </w:r>
          </w:p>
          <w:p w:rsidR="006E0A9B" w:rsidRPr="00D823E1" w:rsidP="000C4205">
            <w:pPr>
              <w:bidi w:val="0"/>
              <w:spacing w:after="0" w:line="240" w:lineRule="auto"/>
            </w:pPr>
          </w:p>
        </w:tc>
      </w:tr>
      <w:tr>
        <w:tblPrEx>
          <w:tblW w:w="5000" w:type="pct"/>
          <w:tblLook w:val="04A0"/>
        </w:tblPrEx>
        <w:tc>
          <w:tcPr>
            <w:tcW w:w="14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od 1.7.2018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od 1.7.2019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od 1.7.2020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od 1.7.2021</w:t>
            </w:r>
          </w:p>
        </w:tc>
      </w:tr>
      <w:tr>
        <w:tblPrEx>
          <w:tblW w:w="5000" w:type="pct"/>
          <w:tblLook w:val="04A0"/>
        </w:tblPrEx>
        <w:tc>
          <w:tcPr>
            <w:tcW w:w="1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celodenne jednu FO s ŤZP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right"/>
            </w:pPr>
            <w:r w:rsidRPr="00D823E1">
              <w:rPr>
                <w:rFonts w:ascii="Times New Roman" w:hAnsi="Times New Roman"/>
                <w:lang w:eastAsia="sk-SK"/>
              </w:rPr>
              <w:t>92,52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</w:pPr>
            <w:r w:rsidRPr="00D823E1">
              <w:rPr>
                <w:rFonts w:ascii="Times New Roman" w:hAnsi="Times New Roman"/>
                <w:lang w:eastAsia="sk-SK"/>
              </w:rPr>
              <w:t>184,71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lang w:eastAsia="sk-SK"/>
              </w:rPr>
              <w:t>184,71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lang w:eastAsia="sk-SK"/>
              </w:rPr>
              <w:t>184,71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lang w:eastAsia="sk-SK"/>
              </w:rPr>
              <w:t>184,71</w:t>
            </w:r>
          </w:p>
        </w:tc>
      </w:tr>
      <w:tr>
        <w:tblPrEx>
          <w:tblW w:w="5000" w:type="pct"/>
          <w:tblLook w:val="04A0"/>
        </w:tblPrEx>
        <w:tc>
          <w:tcPr>
            <w:tcW w:w="1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celodenne viac FO s ŤZP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right"/>
            </w:pPr>
            <w:r w:rsidRPr="00D823E1">
              <w:rPr>
                <w:rFonts w:ascii="Times New Roman" w:hAnsi="Times New Roman"/>
                <w:lang w:eastAsia="sk-SK"/>
              </w:rPr>
              <w:t>122,13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</w:pPr>
            <w:r w:rsidRPr="00D823E1">
              <w:rPr>
                <w:rFonts w:ascii="Times New Roman" w:hAnsi="Times New Roman"/>
                <w:lang w:eastAsia="sk-SK"/>
              </w:rPr>
              <w:t>246,20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lang w:eastAsia="sk-SK"/>
              </w:rPr>
              <w:t>246,20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lang w:eastAsia="sk-SK"/>
              </w:rPr>
              <w:t>246,20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lang w:eastAsia="sk-SK"/>
              </w:rPr>
              <w:t>246,20</w:t>
            </w:r>
          </w:p>
        </w:tc>
      </w:tr>
      <w:tr>
        <w:tblPrEx>
          <w:tblW w:w="5000" w:type="pct"/>
          <w:tblLook w:val="04A0"/>
        </w:tblPrEx>
        <w:tc>
          <w:tcPr>
            <w:tcW w:w="1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čiastočne  jednu FO s ŤZP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right"/>
            </w:pPr>
            <w:r w:rsidRPr="00D823E1">
              <w:rPr>
                <w:rFonts w:ascii="Times New Roman" w:hAnsi="Times New Roman"/>
                <w:lang w:eastAsia="sk-SK"/>
              </w:rPr>
              <w:t>92,52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</w:pPr>
            <w:r w:rsidRPr="00D823E1">
              <w:rPr>
                <w:rFonts w:ascii="Times New Roman" w:hAnsi="Times New Roman"/>
                <w:bCs/>
                <w:lang w:eastAsia="sk-SK"/>
              </w:rPr>
              <w:t>163,06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bCs/>
                <w:lang w:eastAsia="sk-SK"/>
              </w:rPr>
              <w:t>163,06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bCs/>
                <w:lang w:eastAsia="sk-SK"/>
              </w:rPr>
              <w:t>163,06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bCs/>
                <w:lang w:eastAsia="sk-SK"/>
              </w:rPr>
              <w:t>163,06</w:t>
            </w:r>
          </w:p>
        </w:tc>
      </w:tr>
      <w:tr>
        <w:tblPrEx>
          <w:tblW w:w="5000" w:type="pct"/>
          <w:tblLook w:val="04A0"/>
        </w:tblPrEx>
        <w:tc>
          <w:tcPr>
            <w:tcW w:w="1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čiastočne viac  FO s ŤZP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right"/>
            </w:pPr>
            <w:r w:rsidRPr="00D823E1">
              <w:rPr>
                <w:rFonts w:ascii="Times New Roman" w:hAnsi="Times New Roman"/>
                <w:lang w:eastAsia="sk-SK"/>
              </w:rPr>
              <w:t>122,13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</w:pPr>
            <w:r w:rsidRPr="00D823E1">
              <w:rPr>
                <w:rFonts w:ascii="Times New Roman" w:hAnsi="Times New Roman"/>
                <w:bCs/>
                <w:lang w:eastAsia="sk-SK"/>
              </w:rPr>
              <w:t>230,88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bCs/>
                <w:lang w:eastAsia="sk-SK"/>
              </w:rPr>
              <w:t>230,88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bCs/>
                <w:lang w:eastAsia="sk-SK"/>
              </w:rPr>
              <w:t>230,88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bCs/>
                <w:lang w:eastAsia="sk-SK"/>
              </w:rPr>
              <w:t>230,88</w:t>
            </w:r>
          </w:p>
        </w:tc>
      </w:tr>
      <w:tr>
        <w:tblPrEx>
          <w:tblW w:w="5000" w:type="pct"/>
          <w:tblLook w:val="04A0"/>
        </w:tblPrEx>
        <w:tc>
          <w:tcPr>
            <w:tcW w:w="1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kombinovane viac FO s ŤZP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right"/>
            </w:pPr>
            <w:r w:rsidRPr="00D823E1">
              <w:rPr>
                <w:rFonts w:ascii="Times New Roman" w:hAnsi="Times New Roman"/>
                <w:lang w:eastAsia="sk-SK"/>
              </w:rPr>
              <w:t>122,13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</w:pPr>
            <w:r w:rsidRPr="00D823E1">
              <w:rPr>
                <w:rFonts w:ascii="Times New Roman" w:hAnsi="Times New Roman"/>
                <w:bCs/>
                <w:lang w:eastAsia="sk-SK"/>
              </w:rPr>
              <w:t>240,0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bCs/>
                <w:lang w:eastAsia="sk-SK"/>
              </w:rPr>
              <w:t>240,0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bCs/>
                <w:lang w:eastAsia="sk-SK"/>
              </w:rPr>
              <w:t>240,0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</w:pPr>
            <w:r w:rsidRPr="00EA1F89">
              <w:rPr>
                <w:rFonts w:ascii="Times New Roman" w:hAnsi="Times New Roman"/>
                <w:bCs/>
                <w:lang w:eastAsia="sk-SK"/>
              </w:rPr>
              <w:t>240,0</w:t>
            </w:r>
          </w:p>
        </w:tc>
      </w:tr>
    </w:tbl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tbl>
      <w:tblPr>
        <w:tblStyle w:val="TableNormal"/>
        <w:tblpPr w:leftFromText="141" w:rightFromText="141" w:vertAnchor="text" w:horzAnchor="margin" w:tblpY="40"/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56"/>
        <w:gridCol w:w="1275"/>
        <w:gridCol w:w="1418"/>
        <w:gridCol w:w="1276"/>
        <w:gridCol w:w="1276"/>
      </w:tblGrid>
      <w:tr>
        <w:tblPrEx>
          <w:tblW w:w="900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 xml:space="preserve">Predpokladaný </w:t>
            </w: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počet poberateľov p. p. na opatrovanie poberajúcich dôchodkovú dávku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>, ktorých sa zvýšenie peňažného príspevku dotkne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 roku 2018</w:t>
            </w: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 roku 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 roku 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 roku 2021</w:t>
            </w:r>
          </w:p>
        </w:tc>
      </w:tr>
      <w:tr>
        <w:tblPrEx>
          <w:tblW w:w="9001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 xml:space="preserve">Predpokladaný </w:t>
            </w: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počet poberateľov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>, ktorých sa zvýšenie peňažného príspevku dotkne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22 415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22 650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22 800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23 200</w:t>
            </w:r>
          </w:p>
        </w:tc>
      </w:tr>
      <w:tr>
        <w:tblPrEx>
          <w:tblW w:w="9001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celodenne jednu FO s ŤZP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21 961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22 191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22 338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22 730</w:t>
            </w:r>
          </w:p>
        </w:tc>
      </w:tr>
      <w:tr>
        <w:tblPrEx>
          <w:tblW w:w="9001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celodenne viac FO s ŤZP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92</w:t>
            </w:r>
          </w:p>
        </w:tc>
      </w:tr>
      <w:tr>
        <w:tblPrEx>
          <w:tblW w:w="9001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čiastočne  jednu FO s ŤZP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362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374</w:t>
            </w:r>
          </w:p>
        </w:tc>
      </w:tr>
      <w:tr>
        <w:tblPrEx>
          <w:tblW w:w="9001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čiastočne viac  FO s ŤZP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</w:tr>
      <w:tr>
        <w:tblPrEx>
          <w:tblW w:w="9001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- kombinovane viac FO s ŤZP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EA1F89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89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</w:tbl>
    <w:p w:rsidR="006E0A9B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tbl>
      <w:tblPr>
        <w:tblStyle w:val="TableNormal"/>
        <w:tblW w:w="8946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01"/>
        <w:gridCol w:w="1276"/>
        <w:gridCol w:w="1275"/>
        <w:gridCol w:w="1418"/>
        <w:gridCol w:w="1276"/>
      </w:tblGrid>
      <w:tr>
        <w:tblPrEx>
          <w:tblW w:w="8946" w:type="dxa"/>
          <w:tblInd w:w="5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823E1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Poskytovanie peňažného príspevku na opatrovanie za celý mesiac, v ktorom opatrovaná osoba zomrela, ako aj za nasledujúci mesiac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V roku 2018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V roku 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V roku 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V roku 2021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 xml:space="preserve">Predpokladaný </w:t>
            </w: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počet poberateľov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>, ktorých sa zvýšenie peňažného príspevku dotkne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3 240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6 510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6 530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6 530</w:t>
            </w:r>
          </w:p>
        </w:tc>
      </w:tr>
    </w:tbl>
    <w:p w:rsidR="006E0A9B" w:rsidRPr="00D823E1" w:rsidP="006E0A9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E0A9B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823E1">
        <w:rPr>
          <w:rFonts w:ascii="Times New Roman" w:hAnsi="Times New Roman"/>
          <w:sz w:val="24"/>
          <w:szCs w:val="24"/>
          <w:u w:val="single"/>
          <w:lang w:eastAsia="sk-SK"/>
        </w:rPr>
        <w:t>Peňažný príspevok na osobnú asistenciu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3"/>
        <w:gridCol w:w="1559"/>
        <w:gridCol w:w="1418"/>
        <w:gridCol w:w="1559"/>
        <w:gridCol w:w="1276"/>
        <w:gridCol w:w="1307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A9B" w:rsidRPr="00D823E1" w:rsidP="000C4205">
            <w:pPr>
              <w:bidi w:val="0"/>
              <w:spacing w:after="0" w:line="240" w:lineRule="auto"/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Peňažný príspevok na osobnú asistenciu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 xml:space="preserve">Sadzba na jednu hodinu do 30.6.2018    </w:t>
            </w: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b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v  €</w:t>
            </w:r>
          </w:p>
        </w:tc>
        <w:tc>
          <w:tcPr>
            <w:tcW w:w="5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Navrhovaná výška sadzby na jednu hodinu osobnej asistencie</w:t>
            </w:r>
          </w:p>
          <w:p w:rsidR="006E0A9B" w:rsidRPr="00D823E1" w:rsidP="000C4205">
            <w:pPr>
              <w:bidi w:val="0"/>
              <w:spacing w:after="0" w:line="240" w:lineRule="auto"/>
              <w:jc w:val="center"/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v €</w:t>
            </w:r>
          </w:p>
        </w:tc>
      </w:tr>
      <w:tr>
        <w:tblPrEx>
          <w:tblW w:w="0" w:type="auto"/>
          <w:tblLook w:val="04A0"/>
        </w:tblPrEx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2018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2020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2021</w:t>
            </w:r>
          </w:p>
        </w:tc>
      </w:tr>
      <w:tr>
        <w:tblPrEx>
          <w:tblW w:w="0" w:type="auto"/>
          <w:tblLook w:val="04A0"/>
        </w:tblPrEx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</w:pPr>
            <w:r w:rsidRPr="00D823E1">
              <w:rPr>
                <w:rFonts w:ascii="Times New Roman" w:hAnsi="Times New Roman"/>
                <w:sz w:val="20"/>
                <w:szCs w:val="20"/>
              </w:rPr>
              <w:t>Sadzba na jednu hodinu osobnej asistencie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2,78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</w:pPr>
            <w:r w:rsidRPr="00D823E1">
              <w:t>2,82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center"/>
            </w:pPr>
            <w:r w:rsidRPr="00114CEF">
              <w:t>2,82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center"/>
            </w:pPr>
            <w:r w:rsidRPr="00114CEF">
              <w:t>2,82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114CEF" w:rsidP="000C4205">
            <w:pPr>
              <w:bidi w:val="0"/>
              <w:spacing w:after="0" w:line="240" w:lineRule="auto"/>
              <w:jc w:val="center"/>
            </w:pPr>
            <w:r w:rsidRPr="00114CEF">
              <w:t>2,82</w:t>
            </w:r>
          </w:p>
        </w:tc>
      </w:tr>
    </w:tbl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tbl>
      <w:tblPr>
        <w:tblStyle w:val="TableNormal"/>
        <w:tblW w:w="8946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01"/>
        <w:gridCol w:w="1276"/>
        <w:gridCol w:w="1275"/>
        <w:gridCol w:w="1418"/>
        <w:gridCol w:w="1276"/>
      </w:tblGrid>
      <w:tr>
        <w:tblPrEx>
          <w:tblW w:w="8946" w:type="dxa"/>
          <w:tblInd w:w="5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 xml:space="preserve">Peňažný príspevok na osobnú asistenciu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2021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 xml:space="preserve">Predpokladaný </w:t>
            </w: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počet poberateľov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>, ktorých navrhovaná zmena dotkne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9 860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9 980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10 210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10 530</w:t>
            </w:r>
          </w:p>
        </w:tc>
      </w:tr>
    </w:tbl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828"/>
        <w:gridCol w:w="1275"/>
        <w:gridCol w:w="1276"/>
        <w:gridCol w:w="1276"/>
        <w:gridCol w:w="12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Možnosť poskytovať peňažný príspevok na osobnú asistenciu aj FO s ŤZP, ktorým sa vykonávajú opatrenia v zariadení sociálnoprávnej ochrany detí a sociálnej kurately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2021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Predpokladaný počet poberateľov, ktorých sa navrhovaná zmena dotkne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245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265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285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300</w:t>
            </w:r>
          </w:p>
        </w:tc>
      </w:tr>
    </w:tbl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D823E1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Peňažný príspevok  na kompenzáciu zvýšených výdavkov súvisiacich so zabezpečením prevádzky osobného motorového vozidla </w:t>
      </w: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828"/>
        <w:gridCol w:w="1275"/>
        <w:gridCol w:w="1276"/>
        <w:gridCol w:w="1276"/>
        <w:gridCol w:w="12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Možnosť poskytovať peňažný príspevok na kompenzáciu zvýšených výdavkov súvisiacich so zabezpečením prevádzky OMV* širšiemu okruhu FO s ŤZP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V roku 2021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Predpokladaný počet poberateľov, ktorých sa navrhovaná zmena dotkne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15 000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15 075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15 093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15 110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Mesačná výška peňažného príspevku v €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33,98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34,66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35,43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36,24</w:t>
            </w:r>
          </w:p>
        </w:tc>
      </w:tr>
    </w:tbl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Cs/>
          <w:sz w:val="20"/>
          <w:szCs w:val="20"/>
          <w:lang w:eastAsia="sk-SK"/>
        </w:rPr>
      </w:pPr>
      <w:r w:rsidRPr="00D823E1">
        <w:rPr>
          <w:rFonts w:ascii="Times New Roman" w:hAnsi="Times New Roman"/>
          <w:bCs/>
          <w:sz w:val="20"/>
          <w:szCs w:val="20"/>
          <w:lang w:eastAsia="sk-SK"/>
        </w:rPr>
        <w:t>* OMV- osobného motorového vozidla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823E1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6E0A9B" w:rsidRPr="00D823E1" w:rsidP="006E0A9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23E1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Grid"/>
        <w:tblW w:w="5000" w:type="pct"/>
        <w:tblLook w:val="04A0"/>
      </w:tblPr>
      <w:tblGrid>
        <w:gridCol w:w="3743"/>
        <w:gridCol w:w="1388"/>
        <w:gridCol w:w="1386"/>
        <w:gridCol w:w="1388"/>
        <w:gridCol w:w="1384"/>
      </w:tblGrid>
      <w:tr>
        <w:tblPrEx>
          <w:tblW w:w="5000" w:type="pct"/>
          <w:tblLook w:val="04A0"/>
        </w:tblPrEx>
        <w:tc>
          <w:tcPr>
            <w:tcW w:w="20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 xml:space="preserve">Popis navrhovaných zmien </w:t>
            </w:r>
          </w:p>
        </w:tc>
        <w:tc>
          <w:tcPr>
            <w:tcW w:w="298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 xml:space="preserve">Finančný vplyv na výdavky MPSVR SR   (- úspora,                     + zvýšenie výdavkov) </w:t>
            </w:r>
          </w:p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v €</w:t>
            </w:r>
          </w:p>
        </w:tc>
      </w:tr>
      <w:tr>
        <w:tblPrEx>
          <w:tblW w:w="5000" w:type="pct"/>
          <w:tblLook w:val="04A0"/>
        </w:tblPrEx>
        <w:tc>
          <w:tcPr>
            <w:tcW w:w="201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>
        <w:tblPrEx>
          <w:tblW w:w="5000" w:type="pct"/>
          <w:tblLook w:val="04A0"/>
        </w:tblPrEx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Zvýšenia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zákonom ustanovených výšok peňažného príspevku na opatrovanie opatrovateľov v produktívnom veku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+ 19 442 731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+ 47 223 349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 47 759 822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+ 48 522 146</w:t>
            </w:r>
          </w:p>
        </w:tc>
      </w:tr>
      <w:tr>
        <w:tblPrEx>
          <w:tblW w:w="5000" w:type="pct"/>
          <w:tblLook w:val="04A0"/>
        </w:tblPrEx>
        <w:tc>
          <w:tcPr>
            <w:tcW w:w="20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Zvýšenia</w:t>
            </w:r>
            <w:r w:rsidRPr="00D8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zákonom ustanovených výšok peňažného príspevku na opatrovanie   pre opatrovateľov poberajúcich dôchodkovú dávku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+ 10 616 799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+ 25 747 246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+ 25 918 025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+ 26 372 995</w:t>
            </w:r>
          </w:p>
        </w:tc>
      </w:tr>
      <w:tr>
        <w:tblPrEx>
          <w:tblW w:w="5000" w:type="pct"/>
          <w:tblLook w:val="04A0"/>
        </w:tblPrEx>
        <w:tc>
          <w:tcPr>
            <w:tcW w:w="20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Poskytovanie peňažného príspevku na opatrovanie za celý mesiac, v ktorom opatrovaná FO s ŤZP zomrela ako aj za mesiac nasledujúci.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+ 1 230 090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+ 2 325 242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+ 2 332 385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+ 2 538 113</w:t>
            </w:r>
          </w:p>
        </w:tc>
      </w:tr>
      <w:tr>
        <w:tblPrEx>
          <w:tblW w:w="5000" w:type="pct"/>
          <w:tblLook w:val="04A0"/>
        </w:tblPrEx>
        <w:tc>
          <w:tcPr>
            <w:tcW w:w="20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Zvýšenie sadzby na jednu hodinu osobnej asistencie</w:t>
            </w:r>
            <w:r w:rsidRPr="00D82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+ 284 362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+ 690 776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+ 706 695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+ 728 844</w:t>
            </w:r>
          </w:p>
        </w:tc>
      </w:tr>
      <w:tr>
        <w:tblPrEx>
          <w:tblW w:w="5000" w:type="pct"/>
          <w:tblLook w:val="04A0"/>
        </w:tblPrEx>
        <w:tc>
          <w:tcPr>
            <w:tcW w:w="20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Možnosť poskytovať peňažný príspevok na osobnú asistenciu aj FO s ŤZP, ktorým sa vykonávajú opatrenia v zariadení sociálnoprávnej ochrany detí a sociálnej kurately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+ 419 061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+ 1 084 520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+ 1 163 292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+ 1 223 418</w:t>
            </w:r>
          </w:p>
        </w:tc>
      </w:tr>
      <w:tr>
        <w:tblPrEx>
          <w:tblW w:w="5000" w:type="pct"/>
          <w:tblLook w:val="04A0"/>
        </w:tblPrEx>
        <w:tc>
          <w:tcPr>
            <w:tcW w:w="20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Rozšírenie  okruhu poberateľov peňažného príspevku na kompenzáciu zvýšených výdavkov súvisiacich s prevádzkou osobného motorového vozidla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sz w:val="20"/>
                <w:szCs w:val="20"/>
                <w:lang w:eastAsia="sk-SK"/>
              </w:rPr>
              <w:t>+ 2 624 955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+ 6 384 184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+ 6 525 656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EA1F40" w:rsidP="000C420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A1F40">
              <w:rPr>
                <w:rFonts w:ascii="Times New Roman" w:hAnsi="Times New Roman"/>
                <w:sz w:val="20"/>
                <w:szCs w:val="20"/>
                <w:lang w:eastAsia="sk-SK"/>
              </w:rPr>
              <w:t>+ 6 679 924</w:t>
            </w:r>
          </w:p>
        </w:tc>
      </w:tr>
      <w:tr>
        <w:tblPrEx>
          <w:tblW w:w="5000" w:type="pct"/>
          <w:tblLook w:val="04A0"/>
        </w:tblPrEx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SPOLU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+  34 617 998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/>
                <w:bCs/>
                <w:sz w:val="20"/>
                <w:szCs w:val="20"/>
              </w:rPr>
              <w:t>+ 83 482 558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/>
                <w:bCs/>
                <w:sz w:val="20"/>
                <w:szCs w:val="20"/>
              </w:rPr>
              <w:t>+ 84 506 941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/>
                <w:bCs/>
                <w:sz w:val="20"/>
                <w:szCs w:val="20"/>
              </w:rPr>
              <w:t>+ 86 249 820</w:t>
            </w:r>
          </w:p>
        </w:tc>
      </w:tr>
    </w:tbl>
    <w:p w:rsidR="006E0A9B" w:rsidRPr="00D823E1" w:rsidP="006E0A9B">
      <w:pPr>
        <w:bidi w:val="0"/>
        <w:rPr>
          <w:rFonts w:ascii="Times New Roman" w:hAnsi="Times New Roman"/>
          <w:b/>
          <w:sz w:val="20"/>
          <w:szCs w:val="20"/>
        </w:rPr>
      </w:pPr>
    </w:p>
    <w:p w:rsidR="006E0A9B" w:rsidRPr="00D823E1" w:rsidP="006E0A9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Limitovanie mechanizmu uplatňovania pohľadávok v konaní o dedičstve pri poskytnutých jednorazových peňažných príspevkoch na kompenzáciu od navrhovanej účinnosti bude mať minimálny vplyv na rozpočet verejnej správy. Predpokladáme, že v dôsledku tejto navrhovanej zmeny v roku 2018 nebude uplatňovaných cca 15 pohľadávok, cca 50 pohľadávok v roku 2019 a v roku 2020 cca 70 pohľadávok v priemernej hodnote pohľadávky cca 960 €. Vplyv na rozpočet verejnej správy v dôsledku neprihliadania na pohľadávky, ktoré boli uplatnené v konaní o dedičstve pred 1. júlom 2018 nie je možné vyčísliť. </w:t>
      </w:r>
    </w:p>
    <w:p w:rsidR="006E0A9B" w:rsidRPr="00D823E1" w:rsidP="006E0A9B">
      <w:pPr>
        <w:bidi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>Nepatrné vplyvy na rozpočet verejnej správy predpokladáme z dôvodu rozšírenia účastníkov právnych vzťahov o cudzinca, ktorému sa poskytla doplnková ochrana ako aj z dôvodu zavedenia výnimky z mechanizmu znižovania peňažného príspevku na opatrovanie v prípade pobytu fyzickej osoby s ťažkým zdravotným postihnutím v zariadení ústavnej zdravotnej starostlivosti dlhšie ako 30 dní za podmienky, že osoba vykonávajúca opatrovanie je sprievodcom fyzickej osoby s ťažkým zdravotným postihnutím v tomto zdravotníckom zariadení.</w:t>
      </w: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D823E1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Navrhované zmeny v podmienkach vyhotovovania parkovacích preukazov nemajú vplyv     na rozpočet Ministerstva práce, sociálnych vecí a rodiny Slovenskej republiky. </w:t>
      </w:r>
      <w:r w:rsidRPr="00D823E1">
        <w:rPr>
          <w:rFonts w:ascii="Times New Roman" w:hAnsi="Times New Roman"/>
          <w:sz w:val="24"/>
          <w:szCs w:val="24"/>
          <w:lang w:eastAsia="sk-SK"/>
        </w:rPr>
        <w:t xml:space="preserve">Parkovací preukaz je určený na uplatňovanie výhod podľa osobitných predpisov (ide napríklad                o </w:t>
      </w:r>
      <w:r w:rsidRPr="00D823E1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oslobodenie od platenia úhrady za diaľničnú známku, úľava na poplatkoch za prenájom parkovacieho miesta v obci). Predpokladáme, že do roku 2020 z dôvodu navrhovanej zmeny postupne narastie počet držiteľov parkovacích preukazov o cca 22 000. Tieto vplyvy           nie je možné vyčísliť.  </w:t>
      </w: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>Pri odhade vplyvu na rozpočet verejnej správy boli zohľadnené nasledovné ukazovatele:</w:t>
      </w:r>
    </w:p>
    <w:p w:rsidR="006E0A9B" w:rsidRPr="00D823E1" w:rsidP="006E0A9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A9B" w:rsidRPr="00D823E1" w:rsidP="006E0A9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Odhad počtu poberateľov, ktorých sa navrhované zmeny dotknú - pri odhade boli zohľadnené údaje o počtoch poberateľov z predchádzajúceho obdobia čerpaného z IS RSD MIS, predpokladaný nárast počtu poberateľov o nových, ako aj údaje z informačného systému vymáhania pohľadávok. </w:t>
      </w:r>
    </w:p>
    <w:p w:rsidR="006E0A9B" w:rsidRPr="00D823E1" w:rsidP="006E0A9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>Pri vyčíslení predpokladaných finančných vplyvov vyplývajúcich z rozšírenia okruhu poberateľov  peňažného príspevku na osobnú asistenciu sme vychádzali z Ročného výkazu o poskytovaní starostlivosti a výchovy deťom v detskom domove a detskom domove pre maloletých bez sprievodu (ŠÚ SR) a z  priemerného ročného rozsahu hodín osobnej asistencii a údajov o čerpaní finančných  prostriedkov z predchádzajúceho obdobia čerpaného z IS RSD MIS.</w:t>
      </w:r>
    </w:p>
    <w:p w:rsidR="006E0A9B" w:rsidRPr="00D823E1" w:rsidP="006E0A9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>Pri odhade predpokladaných vplyvov vyplývajúcich z rozšírenia</w:t>
      </w:r>
      <w:r w:rsidRPr="00D823E1">
        <w:rPr>
          <w:rFonts w:ascii="Times New Roman" w:hAnsi="Times New Roman"/>
          <w:sz w:val="20"/>
          <w:szCs w:val="20"/>
        </w:rPr>
        <w:t xml:space="preserve"> </w:t>
      </w:r>
      <w:r w:rsidRPr="00D823E1">
        <w:rPr>
          <w:rFonts w:ascii="Times New Roman" w:hAnsi="Times New Roman"/>
          <w:sz w:val="24"/>
          <w:szCs w:val="24"/>
        </w:rPr>
        <w:t xml:space="preserve">okruhu účastníkov právnych vzťahov o cudzinca, ktorému sa poskytla doplnková ochrana sme vychádzali z informácií Migračného úradu Ministerstva vnútra Slovenskej republiky. </w:t>
      </w:r>
    </w:p>
    <w:p w:rsidR="006E0A9B" w:rsidRPr="00D823E1" w:rsidP="006E0A9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>Pri vyčíslovaní predpokladaných finančných vplyvov vyplývajúcich z rozšírenia okruhu poberateľov peňažného príspevku na kompenzáciu zvýšených výdavkov súvisiacich              so zabezpečením  prevádzky osobného motorového vozidla sme vychádzali z poslednej makroekonomickej prognózy IFP (zverejnenej 5.2.2018), podľa ktorej predpokladaná valorizácia sumy životného minima pre jednu  plnoletú fyzickú osobu pre rok 2018  bude       2,0 %, pre rok 2019 bude 2,0 %, pre rok 2020 bude 2,2 % a pre rok 2021 bude 2,3 %.</w:t>
      </w:r>
    </w:p>
    <w:p w:rsidR="006E0A9B" w:rsidRPr="00D823E1" w:rsidP="006E0A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D823E1">
        <w:rPr>
          <w:rFonts w:ascii="Times New Roman" w:hAnsi="Times New Roman"/>
          <w:sz w:val="24"/>
          <w:szCs w:val="24"/>
        </w:rPr>
        <w:t xml:space="preserve">Vplyvy na roky 2018 – 2020 boli odhadované za obdobie zodpovedajúce predpokladanej účinnosti navrhovaných legislatívnych zmien t.j. od 1. 7. 2018. </w:t>
      </w:r>
    </w:p>
    <w:p w:rsidR="006E0A9B" w:rsidRPr="00D823E1" w:rsidP="006E0A9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5965EB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7" w:right="1416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D823E1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6E0A9B" w:rsidRPr="00D823E1" w:rsidP="006E0A9B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Vplyv na rozpočet Sociálnej poisťovne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Daňové príjmy (100)</w:t>
            </w:r>
            <w:r w:rsidRPr="00D823E1">
              <w:rPr>
                <w:rFonts w:ascii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D823E1">
              <w:rPr>
                <w:rFonts w:ascii="Times New Roman" w:hAnsi="Times New Roman"/>
                <w:bCs/>
                <w:lang w:eastAsia="sk-SK"/>
              </w:rPr>
              <w:t>Poistné (150)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D823E1">
              <w:rPr>
                <w:rFonts w:ascii="Times New Roman" w:hAnsi="Times New Roman"/>
                <w:bCs/>
                <w:lang w:eastAsia="sk-SK"/>
              </w:rPr>
              <w:t>Poistné na starobné poistenie (152), Poistné do rezervného fondu solidarity (157), Poistné na invalidné poistenie (158)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Nedaňové príjmy (200)</w:t>
            </w:r>
            <w:r w:rsidRPr="00D823E1">
              <w:rPr>
                <w:rFonts w:ascii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Granty a transfery (300)</w:t>
            </w:r>
            <w:r w:rsidRPr="00D823E1">
              <w:rPr>
                <w:rFonts w:ascii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</w:tbl>
    <w:p w:rsidR="006E0A9B" w:rsidRPr="00D823E1" w:rsidP="006E0A9B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D823E1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6E0A9B" w:rsidRPr="00D823E1" w:rsidP="006E0A9B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D823E1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6E0A9B" w:rsidRPr="00D823E1" w:rsidP="006E0A9B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D823E1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D823E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578"/>
        <w:rPr>
          <w:rFonts w:ascii="Times New Roman" w:hAnsi="Times New Roman"/>
          <w:bCs/>
          <w:sz w:val="24"/>
          <w:szCs w:val="24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578"/>
        <w:rPr>
          <w:rFonts w:ascii="Times New Roman" w:hAnsi="Times New Roman"/>
          <w:bCs/>
          <w:sz w:val="24"/>
          <w:szCs w:val="24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D823E1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6E0A9B" w:rsidRPr="00D823E1" w:rsidP="006E0A9B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4954" w:type="dxa"/>
        <w:tblCellMar>
          <w:left w:w="70" w:type="dxa"/>
          <w:right w:w="70" w:type="dxa"/>
        </w:tblCellMar>
      </w:tblPr>
      <w:tblGrid>
        <w:gridCol w:w="7070"/>
        <w:gridCol w:w="1364"/>
        <w:gridCol w:w="1417"/>
        <w:gridCol w:w="1701"/>
        <w:gridCol w:w="1678"/>
        <w:gridCol w:w="1724"/>
      </w:tblGrid>
      <w:tr>
        <w:tblPrEx>
          <w:tblW w:w="1495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poznámka</w:t>
            </w: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2020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2021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+ 34 617 998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Cs/>
                <w:sz w:val="20"/>
                <w:szCs w:val="20"/>
              </w:rPr>
              <w:t>+ 83 482 558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Cs/>
                <w:sz w:val="20"/>
                <w:szCs w:val="20"/>
              </w:rPr>
              <w:t>+ 84 506 941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Cs/>
                <w:sz w:val="20"/>
                <w:szCs w:val="20"/>
              </w:rPr>
              <w:t>+ 86 249 820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D823E1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vertAlign w:val="superscript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D823E1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vertAlign w:val="superscript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 xml:space="preserve">  Tovary a služby (630)</w:t>
            </w:r>
            <w:r w:rsidRPr="00D823E1">
              <w:rPr>
                <w:rFonts w:ascii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D823E1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vertAlign w:val="superscript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 xml:space="preserve">  Bežné transfery (640)</w:t>
            </w:r>
            <w:r w:rsidRPr="00D823E1">
              <w:rPr>
                <w:rFonts w:ascii="Times New Roman" w:hAnsi="Times New Roman"/>
                <w:vertAlign w:val="superscript"/>
                <w:lang w:eastAsia="sk-SK"/>
              </w:rPr>
              <w:t>2</w:t>
            </w:r>
            <w:r w:rsidRPr="00D823E1">
              <w:rPr>
                <w:rFonts w:ascii="Times New Roman" w:hAnsi="Times New Roman"/>
                <w:lang w:eastAsia="sk-SK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+ 34 617 998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Cs/>
                <w:sz w:val="20"/>
                <w:szCs w:val="20"/>
              </w:rPr>
              <w:t>+ 83 482 558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Cs/>
                <w:sz w:val="20"/>
                <w:szCs w:val="20"/>
              </w:rPr>
              <w:t>+ 84 506 941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Cs/>
                <w:sz w:val="20"/>
                <w:szCs w:val="20"/>
              </w:rPr>
              <w:t>+ 86 249 820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D823E1">
              <w:rPr>
                <w:rFonts w:ascii="Times New Roman" w:hAnsi="Times New Roman"/>
              </w:rPr>
              <w:t xml:space="preserve"> Transfery jednotlivcom a neziskovým právnickým osobám (642)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E1">
              <w:rPr>
                <w:rFonts w:ascii="Times New Roman" w:hAnsi="Times New Roman"/>
                <w:sz w:val="20"/>
                <w:szCs w:val="20"/>
              </w:rPr>
              <w:t>+ 34 617 998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Cs/>
                <w:sz w:val="20"/>
                <w:szCs w:val="20"/>
              </w:rPr>
              <w:t>+ 83 482 558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Cs/>
                <w:sz w:val="20"/>
                <w:szCs w:val="20"/>
              </w:rPr>
              <w:t>+ 84 506 941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Cs/>
                <w:sz w:val="20"/>
                <w:szCs w:val="20"/>
              </w:rPr>
              <w:t>+ 86 249 820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 xml:space="preserve">  Splácanie úrokov a ostatné platby súvisiace s </w:t>
            </w:r>
            <w:r w:rsidRPr="00D823E1">
              <w:rPr>
                <w:rFonts w:ascii="Times New Roman" w:hAnsi="Times New Roman"/>
              </w:rPr>
              <w:t xml:space="preserve"> </w:t>
            </w:r>
            <w:r w:rsidRPr="00D823E1">
              <w:rPr>
                <w:rFonts w:ascii="Times New Roman" w:hAnsi="Times New Roman"/>
                <w:lang w:eastAsia="sk-SK"/>
              </w:rPr>
              <w:t>úverom, pôžičkou, návratnou finančnou výpomocou a finančným prenájmom (650)</w:t>
            </w:r>
            <w:r w:rsidRPr="00D823E1">
              <w:rPr>
                <w:rFonts w:ascii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D823E1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D823E1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 xml:space="preserve">  Obstarávanie kapitálových aktív (710)</w:t>
            </w:r>
            <w:r w:rsidRPr="00D823E1">
              <w:rPr>
                <w:rFonts w:ascii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D823E1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 xml:space="preserve">  Kapitálové transfery (720)</w:t>
            </w:r>
            <w:r w:rsidRPr="00D823E1">
              <w:rPr>
                <w:rFonts w:ascii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D823E1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D823E1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6E0A9B" w:rsidRPr="00EA1F40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EA1F40">
              <w:rPr>
                <w:rFonts w:ascii="Times New Roman" w:hAnsi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  <w:tr>
        <w:tblPrEx>
          <w:tblW w:w="149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1">
              <w:rPr>
                <w:rFonts w:ascii="Times New Roman" w:hAnsi="Times New Roman"/>
                <w:b/>
                <w:sz w:val="20"/>
                <w:szCs w:val="20"/>
              </w:rPr>
              <w:t>+ 34 617 998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/>
                <w:bCs/>
                <w:sz w:val="20"/>
                <w:szCs w:val="20"/>
              </w:rPr>
              <w:t>+ 83 482 558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/>
                <w:bCs/>
                <w:sz w:val="20"/>
                <w:szCs w:val="20"/>
              </w:rPr>
              <w:t>+ 84 506 941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EA1F40" w:rsidP="000C4205">
            <w:pPr>
              <w:autoSpaceDN w:val="0"/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F40">
              <w:rPr>
                <w:rFonts w:ascii="Times New Roman" w:hAnsi="Times New Roman"/>
                <w:b/>
                <w:bCs/>
                <w:sz w:val="20"/>
                <w:szCs w:val="20"/>
              </w:rPr>
              <w:t>+ 86 249 820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823E1">
              <w:rPr>
                <w:rFonts w:ascii="Times New Roman" w:hAnsi="Times New Roman"/>
                <w:lang w:eastAsia="sk-SK"/>
              </w:rPr>
              <w:t> </w:t>
            </w:r>
          </w:p>
        </w:tc>
      </w:tr>
    </w:tbl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D823E1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D823E1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D823E1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E0A9B" w:rsidRPr="00D823E1" w:rsidP="006E0A9B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D823E1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6E0A9B" w:rsidRPr="00D823E1" w:rsidP="006E0A9B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6E0A9B" w:rsidRPr="00D823E1" w:rsidP="000C4205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D823E1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23E1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6E0A9B" w:rsidRPr="00D823E1" w:rsidP="000C42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6E0A9B" w:rsidRPr="00D823E1" w:rsidP="006E0A9B">
      <w:pPr>
        <w:tabs>
          <w:tab w:val="left" w:pos="11237"/>
        </w:tabs>
        <w:bidi w:val="0"/>
        <w:rPr>
          <w:rFonts w:ascii="Times New Roman" w:hAnsi="Times New Roman"/>
          <w:sz w:val="24"/>
          <w:szCs w:val="24"/>
          <w:lang w:eastAsia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6E0A9B" w:rsidRPr="00D823E1" w:rsidP="006E0A9B">
      <w:pPr>
        <w:bidi w:val="0"/>
      </w:pPr>
    </w:p>
    <w:p w:rsidR="003135DE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6E0A9B">
      <w:rPr>
        <w:rStyle w:val="PageNumber"/>
        <w:rFonts w:ascii="Times New Roman" w:hAnsi="Times New Roman"/>
      </w:rPr>
      <w:fldChar w:fldCharType="begin"/>
    </w:r>
    <w:r w:rsidR="006E0A9B">
      <w:rPr>
        <w:rStyle w:val="PageNumber"/>
        <w:rFonts w:ascii="Times New Roman" w:hAnsi="Times New Roman"/>
      </w:rPr>
      <w:instrText xml:space="preserve">PAGE  </w:instrText>
    </w:r>
    <w:r w:rsidR="006E0A9B">
      <w:rPr>
        <w:rStyle w:val="PageNumber"/>
        <w:rFonts w:ascii="Times New Roman" w:hAnsi="Times New Roman"/>
      </w:rPr>
      <w:fldChar w:fldCharType="separate"/>
    </w:r>
    <w:r w:rsidR="006E0A9B">
      <w:rPr>
        <w:rStyle w:val="PageNumber"/>
        <w:rFonts w:ascii="Times New Roman" w:hAnsi="Times New Roman"/>
        <w:noProof/>
      </w:rPr>
      <w:t>10</w:t>
    </w:r>
    <w:r w:rsidR="006E0A9B">
      <w:rPr>
        <w:rStyle w:val="PageNumber"/>
        <w:rFonts w:ascii="Times New Roman" w:hAnsi="Times New Roman"/>
      </w:rPr>
      <w:fldChar w:fldCharType="end"/>
    </w:r>
  </w:p>
  <w:p w:rsidR="00CF21F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A1">
    <w:pPr>
      <w:pStyle w:val="Footer"/>
      <w:bidi w:val="0"/>
      <w:jc w:val="center"/>
      <w:rPr>
        <w:rFonts w:ascii="Times New Roman" w:hAnsi="Times New Roman"/>
      </w:rPr>
    </w:pPr>
    <w:r w:rsidR="006E0A9B">
      <w:rPr>
        <w:rFonts w:ascii="Times New Roman" w:hAnsi="Times New Roman"/>
      </w:rPr>
      <w:fldChar w:fldCharType="begin"/>
    </w:r>
    <w:r w:rsidR="006E0A9B">
      <w:rPr>
        <w:rFonts w:ascii="Times New Roman" w:hAnsi="Times New Roman"/>
      </w:rPr>
      <w:instrText>PAGE   \* MERGEFORMAT</w:instrText>
    </w:r>
    <w:r w:rsidR="006E0A9B">
      <w:rPr>
        <w:rFonts w:ascii="Times New Roman" w:hAnsi="Times New Roman"/>
      </w:rPr>
      <w:fldChar w:fldCharType="separate"/>
    </w:r>
    <w:r w:rsidR="00302F46">
      <w:rPr>
        <w:rFonts w:ascii="Times New Roman" w:hAnsi="Times New Roman"/>
        <w:noProof/>
      </w:rPr>
      <w:t>11</w:t>
    </w:r>
    <w:r w:rsidR="006E0A9B">
      <w:rPr>
        <w:rFonts w:ascii="Times New Roman" w:hAnsi="Times New Roman"/>
      </w:rPr>
      <w:fldChar w:fldCharType="end"/>
    </w:r>
  </w:p>
  <w:p w:rsidR="00CF21F5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5">
    <w:pPr>
      <w:pStyle w:val="Footer"/>
      <w:bidi w:val="0"/>
      <w:jc w:val="right"/>
      <w:rPr>
        <w:rFonts w:ascii="Times New Roman" w:hAnsi="Times New Roman"/>
      </w:rPr>
    </w:pPr>
    <w:r w:rsidR="006E0A9B">
      <w:rPr>
        <w:rFonts w:ascii="Times New Roman" w:hAnsi="Times New Roman"/>
      </w:rPr>
      <w:fldChar w:fldCharType="begin"/>
    </w:r>
    <w:r w:rsidR="006E0A9B">
      <w:rPr>
        <w:rFonts w:ascii="Times New Roman" w:hAnsi="Times New Roman"/>
      </w:rPr>
      <w:instrText>PAGE   \* MERGEFORMAT</w:instrText>
    </w:r>
    <w:r w:rsidR="006E0A9B">
      <w:rPr>
        <w:rFonts w:ascii="Times New Roman" w:hAnsi="Times New Roman"/>
      </w:rPr>
      <w:fldChar w:fldCharType="separate"/>
    </w:r>
    <w:r w:rsidR="006E0A9B">
      <w:rPr>
        <w:rFonts w:ascii="Times New Roman" w:hAnsi="Times New Roman"/>
        <w:noProof/>
      </w:rPr>
      <w:t>0</w:t>
    </w:r>
    <w:r w:rsidR="006E0A9B">
      <w:rPr>
        <w:rFonts w:ascii="Times New Roman" w:hAnsi="Times New Roman"/>
      </w:rPr>
      <w:fldChar w:fldCharType="end"/>
    </w:r>
  </w:p>
  <w:p w:rsidR="00CF21F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5" w:rsidP="00240E4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="006E0A9B">
      <w:rPr>
        <w:rFonts w:ascii="Times New Roman" w:hAnsi="Times New Roman"/>
        <w:sz w:val="24"/>
        <w:szCs w:val="24"/>
      </w:rPr>
      <w:t>Príloha č. 2</w:t>
    </w:r>
  </w:p>
  <w:p w:rsidR="00CF21F5" w:rsidRPr="00EB59C8" w:rsidP="00240E4A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5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5" w:rsidRPr="000A15AE" w:rsidP="00240E4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="006E0A9B"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7F7"/>
    <w:multiLevelType w:val="hybridMultilevel"/>
    <w:tmpl w:val="97D676E2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2501"/>
    <w:multiLevelType w:val="hybridMultilevel"/>
    <w:tmpl w:val="64349D1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54D86"/>
    <w:multiLevelType w:val="hybridMultilevel"/>
    <w:tmpl w:val="46102B9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B01C9"/>
    <w:multiLevelType w:val="hybridMultilevel"/>
    <w:tmpl w:val="A4D29F56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41985"/>
    <w:multiLevelType w:val="hybridMultilevel"/>
    <w:tmpl w:val="F6F01AA6"/>
    <w:lvl w:ilvl="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744F5"/>
    <w:multiLevelType w:val="hybridMultilevel"/>
    <w:tmpl w:val="D59EAA3E"/>
    <w:lvl w:ilvl="0">
      <w:start w:val="1"/>
      <w:numFmt w:val="decimal"/>
      <w:lvlText w:val="%1.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80F75"/>
    <w:multiLevelType w:val="hybridMultilevel"/>
    <w:tmpl w:val="02860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C7C59CD"/>
    <w:multiLevelType w:val="hybridMultilevel"/>
    <w:tmpl w:val="DBCCBD54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11542B"/>
    <w:multiLevelType w:val="hybridMultilevel"/>
    <w:tmpl w:val="70EA5C40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D6B3B"/>
    <w:multiLevelType w:val="hybridMultilevel"/>
    <w:tmpl w:val="778E0192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D727A"/>
    <w:multiLevelType w:val="hybridMultilevel"/>
    <w:tmpl w:val="232CB444"/>
    <w:lvl w:ilvl="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D5820"/>
    <w:multiLevelType w:val="hybridMultilevel"/>
    <w:tmpl w:val="9CD63D10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14702"/>
    <w:multiLevelType w:val="hybridMultilevel"/>
    <w:tmpl w:val="AA60A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AC54931"/>
    <w:multiLevelType w:val="hybridMultilevel"/>
    <w:tmpl w:val="FCDE804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579FB"/>
    <w:multiLevelType w:val="hybridMultilevel"/>
    <w:tmpl w:val="9370BA26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14FF9"/>
    <w:multiLevelType w:val="hybridMultilevel"/>
    <w:tmpl w:val="5BA42504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71204"/>
    <w:multiLevelType w:val="hybridMultilevel"/>
    <w:tmpl w:val="76E0D17E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67AC1"/>
    <w:multiLevelType w:val="hybridMultilevel"/>
    <w:tmpl w:val="CC9648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4"/>
  </w:num>
  <w:num w:numId="11">
    <w:abstractNumId w:val="19"/>
  </w:num>
  <w:num w:numId="12">
    <w:abstractNumId w:val="11"/>
  </w:num>
  <w:num w:numId="13">
    <w:abstractNumId w:val="12"/>
  </w:num>
  <w:num w:numId="14">
    <w:abstractNumId w:val="17"/>
  </w:num>
  <w:num w:numId="15">
    <w:abstractNumId w:val="18"/>
  </w:num>
  <w:num w:numId="16">
    <w:abstractNumId w:val="9"/>
  </w:num>
  <w:num w:numId="17">
    <w:abstractNumId w:val="4"/>
  </w:num>
  <w:num w:numId="18">
    <w:abstractNumId w:val="5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E0A9B"/>
    <w:rsid w:val="000A15AE"/>
    <w:rsid w:val="000C4205"/>
    <w:rsid w:val="000D6F0E"/>
    <w:rsid w:val="00114CEF"/>
    <w:rsid w:val="0024067A"/>
    <w:rsid w:val="00240E4A"/>
    <w:rsid w:val="00302F46"/>
    <w:rsid w:val="003135DE"/>
    <w:rsid w:val="003501F4"/>
    <w:rsid w:val="005965EB"/>
    <w:rsid w:val="005D60F6"/>
    <w:rsid w:val="00605379"/>
    <w:rsid w:val="006E0A9B"/>
    <w:rsid w:val="00866B4C"/>
    <w:rsid w:val="00A739BD"/>
    <w:rsid w:val="00B926A1"/>
    <w:rsid w:val="00C107CE"/>
    <w:rsid w:val="00CF21F5"/>
    <w:rsid w:val="00D823E1"/>
    <w:rsid w:val="00E879A2"/>
    <w:rsid w:val="00EA1F40"/>
    <w:rsid w:val="00EA1F89"/>
    <w:rsid w:val="00EB59C8"/>
    <w:rsid w:val="00EE1836"/>
    <w:rsid w:val="00FA44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9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6E0A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6E0A9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E0A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6E0A9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6E0A9B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E0A9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E0A9B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6E0A9B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E0A9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0A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customStyle="1" w:styleId="msoplaceholdertext">
    <w:name w:val="msoplaceholdertext"/>
    <w:basedOn w:val="DefaultParagraphFont"/>
    <w:rsid w:val="006E0A9B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E0A9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E0A9B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E0A9B"/>
    <w:rPr>
      <w:rFonts w:eastAsia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E0A9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E0A9B"/>
    <w:rPr>
      <w:b/>
      <w:bCs/>
    </w:rPr>
  </w:style>
  <w:style w:type="paragraph" w:styleId="Revision">
    <w:name w:val="Revision"/>
    <w:hidden/>
    <w:uiPriority w:val="99"/>
    <w:semiHidden/>
    <w:rsid w:val="006E0A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11</Pages>
  <Words>2817</Words>
  <Characters>16061</Characters>
  <Application>Microsoft Office Word</Application>
  <DocSecurity>0</DocSecurity>
  <Lines>0</Lines>
  <Paragraphs>0</Paragraphs>
  <ScaleCrop>false</ScaleCrop>
  <Company/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Cebulakova Monika</cp:lastModifiedBy>
  <cp:revision>4</cp:revision>
  <dcterms:created xsi:type="dcterms:W3CDTF">2018-04-13T09:54:00Z</dcterms:created>
  <dcterms:modified xsi:type="dcterms:W3CDTF">2018-04-18T09:51:00Z</dcterms:modified>
</cp:coreProperties>
</file>