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976A4" w:rsidRPr="00296A40" w:rsidP="00296A40">
      <w:pPr>
        <w:bidi w:val="0"/>
        <w:spacing w:after="0" w:line="240" w:lineRule="auto"/>
        <w:jc w:val="center"/>
        <w:rPr>
          <w:rFonts w:ascii="Times New Roman" w:hAnsi="Times New Roman"/>
          <w:b/>
          <w:sz w:val="24"/>
          <w:szCs w:val="24"/>
        </w:rPr>
      </w:pPr>
      <w:r w:rsidRPr="00296A40" w:rsidR="00296A40">
        <w:rPr>
          <w:rFonts w:ascii="Times New Roman" w:hAnsi="Times New Roman"/>
          <w:b/>
          <w:sz w:val="24"/>
          <w:szCs w:val="24"/>
        </w:rPr>
        <w:t>DÔVODOVÁ SPRÁVA</w:t>
      </w:r>
    </w:p>
    <w:p w:rsidR="00D976A4" w:rsidP="00DB45A1">
      <w:pPr>
        <w:bidi w:val="0"/>
        <w:spacing w:after="0" w:line="240" w:lineRule="auto"/>
        <w:jc w:val="both"/>
        <w:rPr>
          <w:rFonts w:ascii="Times New Roman" w:hAnsi="Times New Roman"/>
          <w:b/>
          <w:sz w:val="28"/>
          <w:szCs w:val="28"/>
        </w:rPr>
      </w:pPr>
    </w:p>
    <w:p w:rsidR="00C63335" w:rsidP="007A518C">
      <w:pPr>
        <w:bidi w:val="0"/>
        <w:spacing w:after="0" w:line="240" w:lineRule="auto"/>
        <w:jc w:val="both"/>
        <w:rPr>
          <w:rFonts w:ascii="Times New Roman" w:hAnsi="Times New Roman"/>
          <w:b/>
          <w:sz w:val="24"/>
          <w:szCs w:val="24"/>
        </w:rPr>
      </w:pPr>
    </w:p>
    <w:p w:rsidR="007A518C" w:rsidRPr="00B554C3" w:rsidP="007A518C">
      <w:pPr>
        <w:bidi w:val="0"/>
        <w:spacing w:after="0" w:line="240" w:lineRule="auto"/>
        <w:jc w:val="both"/>
        <w:rPr>
          <w:rFonts w:ascii="Times New Roman" w:hAnsi="Times New Roman"/>
          <w:b/>
          <w:sz w:val="24"/>
          <w:szCs w:val="24"/>
        </w:rPr>
      </w:pPr>
      <w:r w:rsidRPr="00B554C3">
        <w:rPr>
          <w:rFonts w:ascii="Times New Roman" w:hAnsi="Times New Roman"/>
          <w:b/>
          <w:sz w:val="24"/>
          <w:szCs w:val="24"/>
        </w:rPr>
        <w:t>A. Všeobecná časť</w:t>
      </w:r>
    </w:p>
    <w:p w:rsidR="007A518C" w:rsidRPr="005F4355" w:rsidP="007A518C">
      <w:pPr>
        <w:bidi w:val="0"/>
        <w:spacing w:after="0" w:line="240" w:lineRule="auto"/>
        <w:jc w:val="both"/>
        <w:rPr>
          <w:rFonts w:ascii="Times New Roman" w:hAnsi="Times New Roman"/>
          <w:sz w:val="28"/>
          <w:szCs w:val="28"/>
        </w:rPr>
      </w:pPr>
    </w:p>
    <w:p w:rsidR="007A518C" w:rsidP="007A518C">
      <w:pPr>
        <w:bidi w:val="0"/>
        <w:spacing w:after="0" w:line="240" w:lineRule="auto"/>
        <w:ind w:firstLine="709"/>
        <w:jc w:val="both"/>
        <w:rPr>
          <w:rFonts w:ascii="Times New Roman" w:hAnsi="Times New Roman"/>
          <w:sz w:val="24"/>
          <w:szCs w:val="24"/>
        </w:rPr>
      </w:pPr>
      <w:r>
        <w:rPr>
          <w:rFonts w:ascii="Times New Roman" w:hAnsi="Times New Roman"/>
          <w:sz w:val="24"/>
          <w:szCs w:val="24"/>
        </w:rPr>
        <w:t>Návrh zákona</w:t>
      </w:r>
      <w:r w:rsidRPr="007F1508">
        <w:rPr>
          <w:rFonts w:ascii="Times New Roman" w:hAnsi="Times New Roman"/>
          <w:sz w:val="24"/>
          <w:szCs w:val="24"/>
        </w:rPr>
        <w:t>, ktorým sa mení a dopĺňa zákon č. 480/2002 Z. z. o azyle a o zmene a</w:t>
      </w:r>
      <w:r>
        <w:rPr>
          <w:rFonts w:ascii="Times New Roman" w:hAnsi="Times New Roman"/>
          <w:sz w:val="24"/>
          <w:szCs w:val="24"/>
        </w:rPr>
        <w:t> </w:t>
      </w:r>
      <w:r w:rsidRPr="007F1508">
        <w:rPr>
          <w:rFonts w:ascii="Times New Roman" w:hAnsi="Times New Roman"/>
          <w:sz w:val="24"/>
          <w:szCs w:val="24"/>
        </w:rPr>
        <w:t xml:space="preserve">doplnení niektorých zákonov v znení neskorších predpisov </w:t>
      </w:r>
      <w:r>
        <w:rPr>
          <w:rFonts w:ascii="Times New Roman" w:hAnsi="Times New Roman"/>
          <w:sz w:val="24"/>
          <w:szCs w:val="24"/>
        </w:rPr>
        <w:t xml:space="preserve">(ďalej len „návrh zákona“) bol vypracovaný najmä z dôvodu transpozície článku 31 ods. 3 až 5 smernice Európskeho parlamentu a Rady 2013/32/EÚ z 26. júna 2013 o spoločných konaniach o poskytovaní a odnímaní medzinárodnej ochrany (prepracované znenie) [ďalej len „prepracovaná procedurálna smernica“]. Transpozíciou uvedených ustanovení, ktorých transpozičná lehota je do 20. júla 2018 sa v Slovenskej republike završuje druhá etapa </w:t>
      </w:r>
      <w:r w:rsidRPr="00144843">
        <w:rPr>
          <w:rFonts w:ascii="Times New Roman" w:hAnsi="Times New Roman"/>
          <w:sz w:val="24"/>
          <w:szCs w:val="24"/>
        </w:rPr>
        <w:t>budovania</w:t>
      </w:r>
      <w:r>
        <w:rPr>
          <w:rFonts w:ascii="Times New Roman" w:hAnsi="Times New Roman"/>
          <w:sz w:val="24"/>
          <w:szCs w:val="24"/>
        </w:rPr>
        <w:t xml:space="preserve"> spoločného európskeho azylového systému.</w:t>
      </w:r>
    </w:p>
    <w:p w:rsidR="007A518C" w:rsidP="007A518C">
      <w:pPr>
        <w:bidi w:val="0"/>
        <w:spacing w:after="0" w:line="240" w:lineRule="auto"/>
        <w:ind w:firstLine="709"/>
        <w:jc w:val="both"/>
        <w:rPr>
          <w:rFonts w:ascii="Times New Roman" w:hAnsi="Times New Roman"/>
          <w:sz w:val="24"/>
          <w:szCs w:val="24"/>
        </w:rPr>
      </w:pPr>
    </w:p>
    <w:p w:rsidR="007A518C" w:rsidP="007A518C">
      <w:pPr>
        <w:bidi w:val="0"/>
        <w:spacing w:after="0" w:line="240" w:lineRule="auto"/>
        <w:jc w:val="both"/>
        <w:rPr>
          <w:rFonts w:ascii="Times New Roman" w:hAnsi="Times New Roman"/>
          <w:sz w:val="24"/>
          <w:szCs w:val="24"/>
        </w:rPr>
      </w:pPr>
      <w:r>
        <w:rPr>
          <w:rFonts w:ascii="Times New Roman" w:hAnsi="Times New Roman"/>
          <w:sz w:val="24"/>
          <w:szCs w:val="24"/>
        </w:rPr>
        <w:t xml:space="preserve">V rámci tejto druhej etapy bola do slovenského právneho poriadku transponovaná </w:t>
      </w:r>
    </w:p>
    <w:p w:rsidR="007A518C" w:rsidRPr="00D618B2" w:rsidP="007A518C">
      <w:pPr>
        <w:pStyle w:val="ListParagraph"/>
        <w:numPr>
          <w:numId w:val="11"/>
        </w:numPr>
        <w:bidi w:val="0"/>
        <w:spacing w:after="0" w:line="240" w:lineRule="auto"/>
        <w:jc w:val="both"/>
        <w:rPr>
          <w:rFonts w:ascii="Times New Roman" w:hAnsi="Times New Roman"/>
          <w:sz w:val="24"/>
          <w:szCs w:val="24"/>
        </w:rPr>
      </w:pPr>
      <w:r>
        <w:rPr>
          <w:rFonts w:ascii="Times New Roman" w:hAnsi="Times New Roman"/>
          <w:sz w:val="24"/>
          <w:szCs w:val="24"/>
        </w:rPr>
        <w:t>z</w:t>
      </w:r>
      <w:r w:rsidRPr="00D618B2">
        <w:rPr>
          <w:rFonts w:ascii="Times New Roman" w:hAnsi="Times New Roman"/>
          <w:sz w:val="24"/>
          <w:szCs w:val="24"/>
        </w:rPr>
        <w:t>ákonom č. 495/2013 Z. z. ktorým sa mení a dopĺňa zákon č.</w:t>
      </w:r>
      <w:r w:rsidRPr="00D618B2">
        <w:rPr>
          <w:rFonts w:ascii="Times New Roman" w:hAnsi="Times New Roman"/>
          <w:i/>
          <w:sz w:val="24"/>
          <w:szCs w:val="24"/>
        </w:rPr>
        <w:t> </w:t>
      </w:r>
      <w:r w:rsidRPr="00D618B2">
        <w:rPr>
          <w:rFonts w:ascii="Times New Roman" w:hAnsi="Times New Roman"/>
          <w:sz w:val="24"/>
          <w:szCs w:val="24"/>
        </w:rPr>
        <w:t xml:space="preserve">480/2002 Z. z. o azyle a o zmene a doplnení niektorých zákonov v znení neskorších predpisov a ktorým sa menia a dopĺňajú niektoré zákony </w:t>
      </w:r>
      <w:r w:rsidRPr="00D618B2">
        <w:rPr>
          <w:rFonts w:ascii="Times New Roman" w:hAnsi="Times New Roman"/>
          <w:i/>
          <w:sz w:val="24"/>
          <w:szCs w:val="24"/>
        </w:rPr>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w:t>
      </w:r>
      <w:r>
        <w:rPr>
          <w:rFonts w:ascii="Times New Roman" w:hAnsi="Times New Roman"/>
          <w:i/>
          <w:sz w:val="24"/>
          <w:szCs w:val="24"/>
        </w:rPr>
        <w:t xml:space="preserve"> a </w:t>
      </w:r>
      <w:r w:rsidRPr="00D618B2">
        <w:rPr>
          <w:rFonts w:ascii="Times New Roman" w:hAnsi="Times New Roman"/>
          <w:sz w:val="24"/>
          <w:szCs w:val="24"/>
        </w:rPr>
        <w:t xml:space="preserve"> </w:t>
      </w:r>
    </w:p>
    <w:p w:rsidR="007A518C" w:rsidRPr="00D618B2" w:rsidP="007A518C">
      <w:pPr>
        <w:pStyle w:val="ListParagraph"/>
        <w:numPr>
          <w:numId w:val="11"/>
        </w:numPr>
        <w:bidi w:val="0"/>
        <w:spacing w:after="0" w:line="240" w:lineRule="auto"/>
        <w:jc w:val="both"/>
        <w:rPr>
          <w:rFonts w:ascii="Times New Roman" w:hAnsi="Times New Roman"/>
          <w:sz w:val="24"/>
          <w:szCs w:val="24"/>
        </w:rPr>
      </w:pPr>
      <w:r>
        <w:rPr>
          <w:rFonts w:ascii="Times New Roman" w:hAnsi="Times New Roman"/>
          <w:sz w:val="24"/>
          <w:szCs w:val="24"/>
        </w:rPr>
        <w:t xml:space="preserve">zákonom č. 131/2015 Z. z. ktorým sa mení a dopĺňa  zákon č. 480/2002 Z. z. o azyle a o zmene a doplnení niektorých zákonov v znení neskorších predpisov a ktorým sa menia a dopĺňajú niektoré zákony </w:t>
      </w:r>
      <w:r w:rsidRPr="00D618B2">
        <w:rPr>
          <w:rFonts w:ascii="Times New Roman" w:hAnsi="Times New Roman"/>
          <w:i/>
          <w:sz w:val="24"/>
          <w:szCs w:val="24"/>
        </w:rPr>
        <w:t>smernica</w:t>
      </w:r>
      <w:r>
        <w:rPr>
          <w:rFonts w:ascii="Times New Roman" w:hAnsi="Times New Roman"/>
          <w:sz w:val="24"/>
          <w:szCs w:val="24"/>
        </w:rPr>
        <w:t xml:space="preserve"> </w:t>
      </w:r>
      <w:r w:rsidRPr="000E3792">
        <w:rPr>
          <w:rFonts w:ascii="Times New Roman" w:hAnsi="Times New Roman"/>
          <w:i/>
          <w:sz w:val="24"/>
          <w:szCs w:val="24"/>
        </w:rPr>
        <w:t>Európskeho parlamentu a Rady 2013/33/EÚ z 26. júna 2013, ktorou sa ustanovujú normy pre prijímanie žiadateľov o medzinárodnú ochranu (prepracované znenie)</w:t>
      </w:r>
      <w:r w:rsidRPr="0060079D">
        <w:rPr>
          <w:rFonts w:ascii="Times New Roman" w:hAnsi="Times New Roman"/>
          <w:sz w:val="24"/>
          <w:szCs w:val="24"/>
        </w:rPr>
        <w:t xml:space="preserve"> a prepracovaná procedurálna smernica</w:t>
      </w:r>
      <w:r>
        <w:rPr>
          <w:rFonts w:ascii="Times New Roman" w:hAnsi="Times New Roman"/>
          <w:sz w:val="24"/>
          <w:szCs w:val="24"/>
        </w:rPr>
        <w:t xml:space="preserve"> s výnimkou článku 31 ods. 3 až 5.</w:t>
      </w:r>
    </w:p>
    <w:p w:rsidR="007A518C" w:rsidP="007A518C">
      <w:pPr>
        <w:bidi w:val="0"/>
        <w:spacing w:after="0" w:line="240" w:lineRule="auto"/>
        <w:jc w:val="both"/>
        <w:rPr>
          <w:rFonts w:ascii="Times New Roman" w:hAnsi="Times New Roman"/>
          <w:sz w:val="24"/>
          <w:szCs w:val="24"/>
        </w:rPr>
      </w:pPr>
    </w:p>
    <w:p w:rsidR="007A518C" w:rsidP="007A518C">
      <w:pPr>
        <w:bidi w:val="0"/>
        <w:spacing w:after="0" w:line="240" w:lineRule="auto"/>
        <w:ind w:firstLine="360"/>
        <w:jc w:val="both"/>
        <w:rPr>
          <w:rFonts w:ascii="Times New Roman" w:hAnsi="Times New Roman"/>
          <w:sz w:val="24"/>
          <w:szCs w:val="24"/>
        </w:rPr>
      </w:pPr>
      <w:r>
        <w:rPr>
          <w:rFonts w:ascii="Times New Roman" w:hAnsi="Times New Roman"/>
          <w:sz w:val="24"/>
          <w:szCs w:val="24"/>
        </w:rPr>
        <w:t xml:space="preserve">Návrh zákona v súvislosti s transpozíciou uvedených ustanovení prepracovanej procedurálnej smernice, potrebnou aktualizáciou niektorých ustanovení zákona č. 480/2002 Z. z. o azyle a o zmene a doplnení niektorých zákonov v znení neskorších predpisov  a vzhľadom na poznatky a potreby aplikačnej praxe najmä </w:t>
      </w:r>
    </w:p>
    <w:p w:rsidR="007A518C" w:rsidP="007A518C">
      <w:pPr>
        <w:pStyle w:val="ListParagraph"/>
        <w:numPr>
          <w:numId w:val="9"/>
        </w:numPr>
        <w:bidi w:val="0"/>
        <w:spacing w:after="0" w:line="240" w:lineRule="auto"/>
        <w:jc w:val="both"/>
        <w:rPr>
          <w:rFonts w:ascii="Times New Roman" w:hAnsi="Times New Roman"/>
          <w:sz w:val="24"/>
          <w:szCs w:val="24"/>
        </w:rPr>
      </w:pPr>
      <w:r>
        <w:rPr>
          <w:rFonts w:ascii="Times New Roman" w:hAnsi="Times New Roman"/>
          <w:sz w:val="24"/>
          <w:szCs w:val="24"/>
        </w:rPr>
        <w:t xml:space="preserve">ustanovuje 6 mesačnú </w:t>
      </w:r>
      <w:r w:rsidRPr="0060079D">
        <w:rPr>
          <w:rFonts w:ascii="Times New Roman" w:hAnsi="Times New Roman"/>
          <w:sz w:val="24"/>
          <w:szCs w:val="24"/>
        </w:rPr>
        <w:t xml:space="preserve"> </w:t>
      </w:r>
      <w:r>
        <w:rPr>
          <w:rFonts w:ascii="Times New Roman" w:hAnsi="Times New Roman"/>
          <w:sz w:val="24"/>
          <w:szCs w:val="24"/>
        </w:rPr>
        <w:t>lehotu na rozhodnutie</w:t>
      </w:r>
      <w:r w:rsidRPr="0060079D">
        <w:rPr>
          <w:rFonts w:ascii="Times New Roman" w:hAnsi="Times New Roman"/>
          <w:sz w:val="24"/>
          <w:szCs w:val="24"/>
        </w:rPr>
        <w:t xml:space="preserve"> v konaní o azyle a</w:t>
      </w:r>
      <w:r>
        <w:rPr>
          <w:rFonts w:ascii="Times New Roman" w:hAnsi="Times New Roman"/>
          <w:sz w:val="24"/>
          <w:szCs w:val="24"/>
        </w:rPr>
        <w:t xml:space="preserve"> upravuje </w:t>
      </w:r>
      <w:r w:rsidRPr="008C3A6B">
        <w:rPr>
          <w:rFonts w:ascii="Times New Roman" w:hAnsi="Times New Roman"/>
          <w:sz w:val="24"/>
          <w:szCs w:val="24"/>
        </w:rPr>
        <w:t>podmienky</w:t>
      </w:r>
      <w:r>
        <w:rPr>
          <w:rFonts w:ascii="Times New Roman" w:hAnsi="Times New Roman"/>
          <w:sz w:val="24"/>
          <w:szCs w:val="24"/>
        </w:rPr>
        <w:t xml:space="preserve"> </w:t>
      </w:r>
      <w:r w:rsidRPr="008C3A6B">
        <w:rPr>
          <w:rFonts w:ascii="Times New Roman" w:hAnsi="Times New Roman"/>
          <w:sz w:val="24"/>
          <w:szCs w:val="24"/>
        </w:rPr>
        <w:t>jej</w:t>
      </w:r>
      <w:r w:rsidRPr="0060079D">
        <w:rPr>
          <w:rFonts w:ascii="Times New Roman" w:hAnsi="Times New Roman"/>
          <w:sz w:val="24"/>
          <w:szCs w:val="24"/>
        </w:rPr>
        <w:t xml:space="preserve"> predĺženia, </w:t>
      </w:r>
    </w:p>
    <w:p w:rsidR="007A518C" w:rsidP="007A518C">
      <w:pPr>
        <w:pStyle w:val="ListParagraph"/>
        <w:numPr>
          <w:numId w:val="9"/>
        </w:numPr>
        <w:bidi w:val="0"/>
        <w:spacing w:after="0" w:line="240" w:lineRule="auto"/>
        <w:jc w:val="both"/>
        <w:rPr>
          <w:rFonts w:ascii="Times New Roman" w:hAnsi="Times New Roman"/>
          <w:sz w:val="24"/>
          <w:szCs w:val="24"/>
        </w:rPr>
      </w:pPr>
      <w:r w:rsidRPr="0060079D">
        <w:rPr>
          <w:rFonts w:ascii="Times New Roman" w:hAnsi="Times New Roman"/>
          <w:sz w:val="24"/>
          <w:szCs w:val="24"/>
        </w:rPr>
        <w:t>zavádza možnosť prerušenia konania o udelenie azylu</w:t>
      </w:r>
      <w:r>
        <w:rPr>
          <w:rFonts w:ascii="Times New Roman" w:hAnsi="Times New Roman"/>
          <w:sz w:val="24"/>
          <w:szCs w:val="24"/>
        </w:rPr>
        <w:t>,</w:t>
      </w:r>
      <w:r w:rsidRPr="0060079D">
        <w:rPr>
          <w:rFonts w:ascii="Times New Roman" w:hAnsi="Times New Roman"/>
          <w:sz w:val="24"/>
          <w:szCs w:val="24"/>
        </w:rPr>
        <w:t xml:space="preserve"> ak vzhľadom na neistú situáciu v krajine pôvodu žiadateľa nemožno očakávať rozhodnutie v riadnych lehotách</w:t>
      </w:r>
      <w:r>
        <w:rPr>
          <w:rFonts w:ascii="Times New Roman" w:hAnsi="Times New Roman"/>
          <w:sz w:val="24"/>
          <w:szCs w:val="24"/>
        </w:rPr>
        <w:t>,</w:t>
      </w:r>
    </w:p>
    <w:p w:rsidR="007A518C" w:rsidRPr="000F4DD9" w:rsidP="007A518C">
      <w:pPr>
        <w:pStyle w:val="ListParagraph"/>
        <w:numPr>
          <w:numId w:val="9"/>
        </w:numPr>
        <w:bidi w:val="0"/>
        <w:spacing w:after="0" w:line="240" w:lineRule="auto"/>
        <w:jc w:val="both"/>
        <w:rPr>
          <w:rFonts w:ascii="Times New Roman" w:hAnsi="Times New Roman"/>
          <w:sz w:val="24"/>
          <w:szCs w:val="24"/>
        </w:rPr>
      </w:pPr>
      <w:r>
        <w:rPr>
          <w:rFonts w:ascii="Times New Roman" w:hAnsi="Times New Roman"/>
          <w:sz w:val="24"/>
          <w:szCs w:val="24"/>
        </w:rPr>
        <w:t>upravuje maximálnu možnú lehotu v trvaní 21 mesiacov na rozhodnutie v konaní o azyle, ak došlo k prerušeniu konania v súvislosti s neistou situáciou v krajine pôvodu žiadateľa,</w:t>
      </w:r>
    </w:p>
    <w:p w:rsidR="007A518C" w:rsidP="007A518C">
      <w:pPr>
        <w:pStyle w:val="ListParagraph"/>
        <w:numPr>
          <w:numId w:val="9"/>
        </w:numPr>
        <w:bidi w:val="0"/>
        <w:spacing w:after="0" w:line="240" w:lineRule="auto"/>
        <w:jc w:val="both"/>
        <w:rPr>
          <w:rFonts w:ascii="Times New Roman" w:hAnsi="Times New Roman"/>
          <w:sz w:val="24"/>
          <w:szCs w:val="24"/>
        </w:rPr>
      </w:pPr>
      <w:r>
        <w:rPr>
          <w:rFonts w:ascii="Times New Roman" w:hAnsi="Times New Roman"/>
          <w:sz w:val="24"/>
          <w:szCs w:val="24"/>
        </w:rPr>
        <w:t xml:space="preserve">rozširuje dôvody zániku azylu, ak azylant nadobudne štátne občianstvo iného členského štátu Európskej únie, alebo ak iný členský štát Európskej únie udelí azylantovi azyl z dôvodu prenasledovania, </w:t>
      </w:r>
    </w:p>
    <w:p w:rsidR="007A518C" w:rsidP="007A518C">
      <w:pPr>
        <w:pStyle w:val="ListParagraph"/>
        <w:numPr>
          <w:numId w:val="9"/>
        </w:numPr>
        <w:bidi w:val="0"/>
        <w:spacing w:after="0" w:line="240" w:lineRule="auto"/>
        <w:jc w:val="both"/>
        <w:rPr>
          <w:rFonts w:ascii="Times New Roman" w:hAnsi="Times New Roman"/>
          <w:sz w:val="24"/>
          <w:szCs w:val="24"/>
        </w:rPr>
      </w:pPr>
      <w:r>
        <w:rPr>
          <w:rFonts w:ascii="Times New Roman" w:hAnsi="Times New Roman"/>
          <w:sz w:val="24"/>
          <w:szCs w:val="24"/>
        </w:rPr>
        <w:t xml:space="preserve">ustanovuje nový dôvod na odňatie azylu, ktorý bol udelený z humanitných dôvodov alebo bol udelený na účel zlúčenia rodiny, ak azylantovi udelil pobyt bez časového obmedzenia iný štát,   </w:t>
      </w:r>
    </w:p>
    <w:p w:rsidR="007A518C" w:rsidP="007A518C">
      <w:pPr>
        <w:pStyle w:val="ListParagraph"/>
        <w:numPr>
          <w:numId w:val="9"/>
        </w:numPr>
        <w:bidi w:val="0"/>
        <w:spacing w:after="0" w:line="240" w:lineRule="auto"/>
        <w:jc w:val="both"/>
        <w:rPr>
          <w:rFonts w:ascii="Times New Roman" w:hAnsi="Times New Roman"/>
          <w:sz w:val="24"/>
          <w:szCs w:val="24"/>
        </w:rPr>
      </w:pPr>
      <w:r>
        <w:rPr>
          <w:rFonts w:ascii="Times New Roman" w:hAnsi="Times New Roman"/>
          <w:sz w:val="24"/>
          <w:szCs w:val="24"/>
        </w:rPr>
        <w:t>rozširuje dôvody zániku doplnkovej ochrany, ak cudzinec, ktorému sa poskytla doplnková ochrana na území Slovenskej republiky, nadobudne štátne občianstvo iného členského štátu Európskej únie, a tiež ak mu iný členský štát Európskej únie udelí azyl z dôvodu prenasledovania alebo doplnkovú ochranu z dôvodu vážneho bezprávia,</w:t>
      </w:r>
    </w:p>
    <w:p w:rsidR="007A518C" w:rsidP="007A518C">
      <w:pPr>
        <w:pStyle w:val="ListParagraph"/>
        <w:numPr>
          <w:numId w:val="9"/>
        </w:numPr>
        <w:bidi w:val="0"/>
        <w:spacing w:after="0" w:line="240" w:lineRule="auto"/>
        <w:jc w:val="both"/>
        <w:rPr>
          <w:rFonts w:ascii="Times New Roman" w:hAnsi="Times New Roman"/>
          <w:sz w:val="24"/>
          <w:szCs w:val="24"/>
        </w:rPr>
      </w:pPr>
      <w:r>
        <w:rPr>
          <w:rFonts w:ascii="Times New Roman" w:hAnsi="Times New Roman"/>
          <w:sz w:val="24"/>
          <w:szCs w:val="24"/>
        </w:rPr>
        <w:t xml:space="preserve">ustanovuje nový dôvod na zrušenie doplnkovej ochrany, ktorá bola poskytnutá na účel zlúčenia rodiny, ak cudzincovi, ktorému sa poskytla doplnková ochrana udelil pobyt bez časového obmedzenia iný štát,   </w:t>
      </w:r>
    </w:p>
    <w:p w:rsidR="007A518C" w:rsidP="007A518C">
      <w:pPr>
        <w:pStyle w:val="ListParagraph"/>
        <w:numPr>
          <w:numId w:val="9"/>
        </w:numPr>
        <w:bidi w:val="0"/>
        <w:spacing w:after="0" w:line="240" w:lineRule="auto"/>
        <w:jc w:val="both"/>
        <w:rPr>
          <w:rFonts w:ascii="Times New Roman" w:hAnsi="Times New Roman"/>
          <w:sz w:val="24"/>
          <w:szCs w:val="24"/>
        </w:rPr>
      </w:pPr>
      <w:r w:rsidRPr="00FA1218">
        <w:rPr>
          <w:rFonts w:ascii="Times New Roman" w:hAnsi="Times New Roman"/>
          <w:sz w:val="24"/>
          <w:szCs w:val="24"/>
        </w:rPr>
        <w:t>v súvislosti s definíciou žiadateľa upresňuje relevantné ustanovenia upravujúce práva, povinnosti alebo iné kritéria tak, aby boli tieto viazané na trvanie statusu (postavenia) žiadateľa, a nie na trvanie, resp</w:t>
      </w:r>
      <w:r>
        <w:rPr>
          <w:rFonts w:ascii="Times New Roman" w:hAnsi="Times New Roman"/>
          <w:sz w:val="24"/>
          <w:szCs w:val="24"/>
        </w:rPr>
        <w:t xml:space="preserve">. skončenie konania o azyle, </w:t>
      </w:r>
    </w:p>
    <w:p w:rsidR="007A518C" w:rsidP="007A518C">
      <w:pPr>
        <w:pStyle w:val="ListParagraph"/>
        <w:numPr>
          <w:numId w:val="9"/>
        </w:numPr>
        <w:bidi w:val="0"/>
        <w:spacing w:after="0" w:line="240" w:lineRule="auto"/>
        <w:jc w:val="both"/>
        <w:rPr>
          <w:rFonts w:ascii="Times New Roman" w:hAnsi="Times New Roman"/>
          <w:sz w:val="24"/>
          <w:szCs w:val="24"/>
        </w:rPr>
      </w:pPr>
      <w:r>
        <w:rPr>
          <w:rFonts w:ascii="Times New Roman" w:hAnsi="Times New Roman"/>
          <w:sz w:val="24"/>
          <w:szCs w:val="24"/>
        </w:rPr>
        <w:t>ustanovuje oprávnenie žiadateľa zotrvať v pracovnoprávnom vzťahu aj počas rozhodovania súdu o priznaní odkladného účinku podľa § 23 ods. 6, atď.</w:t>
      </w:r>
    </w:p>
    <w:p w:rsidR="007A518C" w:rsidP="007A518C">
      <w:pPr>
        <w:bidi w:val="0"/>
        <w:spacing w:after="0" w:line="240" w:lineRule="auto"/>
        <w:jc w:val="both"/>
        <w:rPr>
          <w:rFonts w:ascii="Times New Roman" w:hAnsi="Times New Roman"/>
          <w:sz w:val="24"/>
          <w:szCs w:val="24"/>
        </w:rPr>
      </w:pPr>
    </w:p>
    <w:p w:rsidR="007A518C" w:rsidRPr="00736EA5" w:rsidP="007A518C">
      <w:pPr>
        <w:bidi w:val="0"/>
        <w:spacing w:after="0" w:line="240" w:lineRule="auto"/>
        <w:ind w:firstLine="360"/>
        <w:jc w:val="both"/>
        <w:rPr>
          <w:rFonts w:ascii="Times New Roman" w:hAnsi="Times New Roman"/>
          <w:sz w:val="24"/>
          <w:szCs w:val="24"/>
        </w:rPr>
      </w:pPr>
      <w:r w:rsidRPr="00736EA5">
        <w:rPr>
          <w:rFonts w:ascii="Times New Roman" w:hAnsi="Times New Roman"/>
          <w:sz w:val="24"/>
          <w:szCs w:val="24"/>
        </w:rPr>
        <w:t>Návrh zákona nebude mať vplyvy na rozpočet verejnej správy, vplyvy na podnikateľské prostredie, </w:t>
      </w:r>
      <w:r>
        <w:rPr>
          <w:rFonts w:ascii="Times New Roman" w:hAnsi="Times New Roman"/>
          <w:sz w:val="24"/>
          <w:szCs w:val="24"/>
        </w:rPr>
        <w:t xml:space="preserve">sociálne vplyvy, </w:t>
      </w:r>
      <w:r w:rsidRPr="00736EA5">
        <w:rPr>
          <w:rFonts w:ascii="Times New Roman" w:hAnsi="Times New Roman"/>
          <w:sz w:val="24"/>
          <w:szCs w:val="24"/>
        </w:rPr>
        <w:t>vplyvy na životné prostredie</w:t>
      </w:r>
      <w:r>
        <w:rPr>
          <w:rFonts w:ascii="Times New Roman" w:hAnsi="Times New Roman"/>
          <w:sz w:val="24"/>
          <w:szCs w:val="24"/>
        </w:rPr>
        <w:t>,</w:t>
      </w:r>
      <w:r w:rsidRPr="00736EA5">
        <w:rPr>
          <w:rFonts w:ascii="Times New Roman" w:hAnsi="Times New Roman"/>
          <w:sz w:val="24"/>
          <w:szCs w:val="24"/>
        </w:rPr>
        <w:t xml:space="preserve"> vplyvy na informatizáciu spoločnosti</w:t>
      </w:r>
      <w:r>
        <w:rPr>
          <w:rFonts w:ascii="Times New Roman" w:hAnsi="Times New Roman"/>
          <w:sz w:val="24"/>
          <w:szCs w:val="24"/>
        </w:rPr>
        <w:t xml:space="preserve">, </w:t>
      </w:r>
      <w:r w:rsidRPr="002E6F53">
        <w:rPr>
          <w:rFonts w:ascii="Times New Roman" w:hAnsi="Times New Roman"/>
          <w:sz w:val="24"/>
          <w:szCs w:val="24"/>
        </w:rPr>
        <w:t>ani vplyvy na služby verejnej správy pre občana.</w:t>
      </w:r>
      <w:r w:rsidRPr="00736EA5">
        <w:rPr>
          <w:rFonts w:ascii="Times New Roman" w:hAnsi="Times New Roman"/>
          <w:sz w:val="24"/>
          <w:szCs w:val="24"/>
        </w:rPr>
        <w:t xml:space="preserve"> </w:t>
      </w:r>
    </w:p>
    <w:p w:rsidR="007A518C" w:rsidP="007A518C">
      <w:pPr>
        <w:bidi w:val="0"/>
        <w:spacing w:after="0" w:line="240" w:lineRule="auto"/>
        <w:jc w:val="both"/>
        <w:rPr>
          <w:rFonts w:ascii="Times New Roman" w:hAnsi="Times New Roman"/>
          <w:sz w:val="24"/>
          <w:szCs w:val="24"/>
        </w:rPr>
      </w:pPr>
    </w:p>
    <w:p w:rsidR="007A518C" w:rsidP="007A518C">
      <w:pPr>
        <w:bidi w:val="0"/>
        <w:spacing w:after="0" w:line="240" w:lineRule="auto"/>
        <w:ind w:firstLine="360"/>
        <w:jc w:val="both"/>
        <w:rPr>
          <w:rFonts w:ascii="Times New Roman" w:hAnsi="Times New Roman"/>
          <w:sz w:val="24"/>
          <w:szCs w:val="24"/>
        </w:rPr>
      </w:pPr>
      <w:r>
        <w:rPr>
          <w:rFonts w:ascii="Times New Roman" w:hAnsi="Times New Roman"/>
          <w:sz w:val="24"/>
          <w:szCs w:val="24"/>
        </w:rPr>
        <w:t xml:space="preserve">Návrh zákona je v súlade s Ústavou Slovenskej republiky, ústavnými zákonmi, zákonmi a medzinárodnými zmluvami, ktorými je Slovenská republika viazaná a v súlade s právom Európskej únie.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p>
    <w:p w:rsidR="008B658A" w:rsidRPr="008B658A" w:rsidP="008B658A">
      <w:pPr>
        <w:widowControl w:val="0"/>
        <w:autoSpaceDE w:val="0"/>
        <w:autoSpaceDN w:val="0"/>
        <w:bidi w:val="0"/>
        <w:adjustRightInd w:val="0"/>
        <w:spacing w:after="0" w:line="240" w:lineRule="auto"/>
        <w:jc w:val="center"/>
        <w:rPr>
          <w:rFonts w:ascii="Times New Roman" w:hAnsi="Times New Roman"/>
          <w:b/>
          <w:caps/>
          <w:spacing w:val="30"/>
          <w:sz w:val="24"/>
          <w:szCs w:val="24"/>
          <w:lang w:eastAsia="sk-SK"/>
        </w:rPr>
      </w:pPr>
      <w:r w:rsidRPr="008B658A">
        <w:rPr>
          <w:rFonts w:ascii="Times New Roman" w:hAnsi="Times New Roman"/>
          <w:b/>
          <w:caps/>
          <w:spacing w:val="30"/>
          <w:sz w:val="24"/>
          <w:szCs w:val="24"/>
          <w:lang w:eastAsia="sk-SK"/>
        </w:rPr>
        <w:t>Doložka zlučiteľnosti</w:t>
      </w:r>
    </w:p>
    <w:p w:rsidR="008B658A" w:rsidRPr="008B658A" w:rsidP="008B658A">
      <w:pPr>
        <w:widowControl w:val="0"/>
        <w:autoSpaceDE w:val="0"/>
        <w:autoSpaceDN w:val="0"/>
        <w:bidi w:val="0"/>
        <w:adjustRightInd w:val="0"/>
        <w:spacing w:after="0" w:line="240" w:lineRule="auto"/>
        <w:jc w:val="center"/>
        <w:rPr>
          <w:rFonts w:ascii="Times New Roman" w:hAnsi="Times New Roman"/>
          <w:b/>
          <w:sz w:val="24"/>
          <w:szCs w:val="24"/>
          <w:lang w:eastAsia="sk-SK"/>
        </w:rPr>
      </w:pPr>
      <w:r w:rsidRPr="008B658A">
        <w:rPr>
          <w:rFonts w:ascii="Times New Roman" w:hAnsi="Times New Roman"/>
          <w:b/>
          <w:sz w:val="24"/>
          <w:szCs w:val="24"/>
          <w:lang w:eastAsia="sk-SK"/>
        </w:rPr>
        <w:t>právneho predpisu s právom Európskej únie </w:t>
      </w:r>
    </w:p>
    <w:p w:rsidR="008B658A" w:rsidRP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8B658A">
        <w:rPr>
          <w:rFonts w:ascii="Times New Roman" w:hAnsi="Times New Roman"/>
          <w:b/>
          <w:sz w:val="24"/>
          <w:szCs w:val="24"/>
          <w:lang w:eastAsia="sk-SK"/>
        </w:rPr>
        <w:t>1.</w:t>
        <w:tab/>
        <w:t>Predkladateľ právneho predpisu:</w:t>
      </w:r>
      <w:r w:rsidRPr="008B658A">
        <w:rPr>
          <w:rFonts w:ascii="Times New Roman" w:hAnsi="Times New Roman"/>
          <w:sz w:val="24"/>
          <w:szCs w:val="24"/>
          <w:lang w:eastAsia="sk-SK"/>
        </w:rPr>
        <w:t xml:space="preserve"> vláda Slovenskej republiky </w:t>
      </w:r>
    </w:p>
    <w:p w:rsidR="008B658A" w:rsidRPr="008B658A" w:rsidP="008B658A">
      <w:pPr>
        <w:widowControl w:val="0"/>
        <w:tabs>
          <w:tab w:val="left" w:pos="360"/>
        </w:tabs>
        <w:autoSpaceDE w:val="0"/>
        <w:autoSpaceDN w:val="0"/>
        <w:bidi w:val="0"/>
        <w:adjustRightInd w:val="0"/>
        <w:spacing w:after="0" w:line="240" w:lineRule="auto"/>
        <w:ind w:left="360"/>
        <w:rPr>
          <w:rFonts w:ascii="Times New Roman" w:hAnsi="Times New Roman"/>
          <w:sz w:val="24"/>
          <w:szCs w:val="24"/>
          <w:lang w:eastAsia="sk-SK"/>
        </w:rPr>
      </w:pPr>
      <w:r w:rsidRPr="008B658A">
        <w:rPr>
          <w:rFonts w:ascii="Times New Roman" w:hAnsi="Times New Roman"/>
          <w:sz w:val="24"/>
          <w:szCs w:val="24"/>
          <w:lang w:eastAsia="sk-SK"/>
        </w:rPr>
        <w:t xml:space="preserve"> </w:t>
      </w:r>
    </w:p>
    <w:p w:rsidR="008B658A" w:rsidRPr="008B658A" w:rsidP="008B658A">
      <w:pPr>
        <w:widowControl w:val="0"/>
        <w:autoSpaceDE w:val="0"/>
        <w:autoSpaceDN w:val="0"/>
        <w:bidi w:val="0"/>
        <w:adjustRightInd w:val="0"/>
        <w:spacing w:after="0" w:line="240" w:lineRule="auto"/>
        <w:ind w:left="360" w:hanging="360"/>
        <w:jc w:val="both"/>
        <w:rPr>
          <w:rFonts w:ascii="Times New Roman" w:hAnsi="Times New Roman"/>
          <w:sz w:val="24"/>
          <w:szCs w:val="24"/>
          <w:lang w:eastAsia="sk-SK"/>
        </w:rPr>
      </w:pPr>
      <w:r w:rsidRPr="008B658A">
        <w:rPr>
          <w:rFonts w:ascii="Times New Roman" w:hAnsi="Times New Roman"/>
          <w:b/>
          <w:sz w:val="24"/>
          <w:szCs w:val="24"/>
          <w:lang w:eastAsia="sk-SK"/>
        </w:rPr>
        <w:t>2.</w:t>
        <w:tab/>
        <w:t>Názov návrhu právneho predpisu:</w:t>
      </w:r>
      <w:r w:rsidRPr="008B658A">
        <w:rPr>
          <w:rFonts w:ascii="Times New Roman" w:hAnsi="Times New Roman"/>
          <w:sz w:val="24"/>
          <w:szCs w:val="24"/>
          <w:lang w:eastAsia="sk-SK"/>
        </w:rPr>
        <w:t xml:space="preserve"> návrh zákona, ktorým </w:t>
      </w:r>
      <w:r w:rsidRPr="008B658A">
        <w:rPr>
          <w:rFonts w:ascii="Times New Roman" w:hAnsi="Times New Roman"/>
          <w:sz w:val="24"/>
          <w:szCs w:val="24"/>
          <w:lang w:val="ru-RU" w:eastAsia="sk-SK"/>
        </w:rPr>
        <w:t>sa mení a dopĺňa zákon č.</w:t>
      </w:r>
      <w:r w:rsidRPr="008B658A">
        <w:rPr>
          <w:rFonts w:ascii="Times New Roman" w:hAnsi="Times New Roman"/>
          <w:sz w:val="24"/>
          <w:szCs w:val="24"/>
          <w:lang w:eastAsia="sk-SK"/>
        </w:rPr>
        <w:t> </w:t>
      </w:r>
      <w:r w:rsidRPr="008B658A">
        <w:rPr>
          <w:rFonts w:ascii="Times New Roman" w:hAnsi="Times New Roman"/>
          <w:sz w:val="24"/>
          <w:szCs w:val="24"/>
          <w:lang w:val="ru-RU" w:eastAsia="sk-SK"/>
        </w:rPr>
        <w:t>480/2002 Z. z. o azyle a o zmene a doplnení niektorých zákonov v znení neskorších predpisov</w:t>
      </w:r>
    </w:p>
    <w:p w:rsidR="008B658A" w:rsidRPr="008B658A" w:rsidP="008B658A">
      <w:pPr>
        <w:widowControl w:val="0"/>
        <w:autoSpaceDE w:val="0"/>
        <w:autoSpaceDN w:val="0"/>
        <w:bidi w:val="0"/>
        <w:adjustRightInd w:val="0"/>
        <w:spacing w:after="0" w:line="240" w:lineRule="auto"/>
        <w:ind w:left="360" w:hanging="360"/>
        <w:jc w:val="both"/>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8B658A">
        <w:rPr>
          <w:rFonts w:ascii="Times New Roman" w:hAnsi="Times New Roman"/>
          <w:b/>
          <w:sz w:val="24"/>
          <w:szCs w:val="24"/>
          <w:lang w:eastAsia="sk-SK"/>
        </w:rPr>
        <w:t>3.</w:t>
        <w:tab/>
        <w:t>Problematika návrhu právneho predpisu:</w:t>
      </w:r>
    </w:p>
    <w:p w:rsidR="008B658A" w:rsidRPr="008B658A" w:rsidP="008B658A">
      <w:pPr>
        <w:widowControl w:val="0"/>
        <w:autoSpaceDE w:val="0"/>
        <w:autoSpaceDN w:val="0"/>
        <w:bidi w:val="0"/>
        <w:adjustRightInd w:val="0"/>
        <w:spacing w:after="0" w:line="240" w:lineRule="auto"/>
        <w:ind w:firstLine="360"/>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8B658A">
        <w:rPr>
          <w:rFonts w:ascii="Times New Roman" w:hAnsi="Times New Roman"/>
          <w:sz w:val="24"/>
          <w:szCs w:val="24"/>
          <w:lang w:eastAsia="sk-SK"/>
        </w:rPr>
        <w:t>a)</w:t>
        <w:tab/>
        <w:t>je upravená v práve Európskej únie</w:t>
      </w:r>
    </w:p>
    <w:p w:rsidR="008B658A" w:rsidRPr="008B658A" w:rsidP="008B658A">
      <w:pPr>
        <w:widowControl w:val="0"/>
        <w:autoSpaceDE w:val="0"/>
        <w:autoSpaceDN w:val="0"/>
        <w:bidi w:val="0"/>
        <w:adjustRightInd w:val="0"/>
        <w:spacing w:after="0" w:line="240" w:lineRule="auto"/>
        <w:ind w:left="360"/>
        <w:rPr>
          <w:rFonts w:ascii="Times New Roman" w:hAnsi="Times New Roman"/>
          <w:sz w:val="24"/>
          <w:szCs w:val="24"/>
          <w:lang w:eastAsia="sk-SK"/>
        </w:rPr>
      </w:pPr>
    </w:p>
    <w:p w:rsidR="008B658A" w:rsidRPr="008B658A" w:rsidP="008B658A">
      <w:pPr>
        <w:widowControl w:val="0"/>
        <w:tabs>
          <w:tab w:val="left" w:pos="1068"/>
        </w:tabs>
        <w:autoSpaceDE w:val="0"/>
        <w:autoSpaceDN w:val="0"/>
        <w:bidi w:val="0"/>
        <w:adjustRightInd w:val="0"/>
        <w:spacing w:after="0" w:line="240" w:lineRule="auto"/>
        <w:ind w:left="879" w:hanging="171"/>
        <w:rPr>
          <w:rFonts w:ascii="Times New Roman" w:hAnsi="Times New Roman"/>
          <w:i/>
          <w:sz w:val="24"/>
          <w:szCs w:val="24"/>
          <w:lang w:eastAsia="sk-SK"/>
        </w:rPr>
      </w:pPr>
      <w:r w:rsidRPr="008B658A">
        <w:rPr>
          <w:rFonts w:ascii="Times New Roman" w:hAnsi="Times New Roman"/>
          <w:sz w:val="24"/>
          <w:szCs w:val="24"/>
          <w:lang w:eastAsia="sk-SK"/>
        </w:rPr>
        <w:t>-</w:t>
        <w:tab/>
      </w:r>
      <w:r w:rsidRPr="008B658A">
        <w:rPr>
          <w:rFonts w:ascii="Times New Roman" w:hAnsi="Times New Roman"/>
          <w:i/>
          <w:sz w:val="24"/>
          <w:szCs w:val="24"/>
          <w:lang w:eastAsia="sk-SK"/>
        </w:rPr>
        <w:t>primárnom</w:t>
      </w:r>
    </w:p>
    <w:p w:rsidR="008B658A" w:rsidRPr="008B658A" w:rsidP="008B658A">
      <w:pPr>
        <w:widowControl w:val="0"/>
        <w:autoSpaceDE w:val="0"/>
        <w:autoSpaceDN w:val="0"/>
        <w:bidi w:val="0"/>
        <w:adjustRightInd w:val="0"/>
        <w:spacing w:after="0" w:line="240" w:lineRule="auto"/>
        <w:ind w:left="851"/>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851"/>
        <w:jc w:val="both"/>
        <w:rPr>
          <w:rFonts w:ascii="Times New Roman" w:hAnsi="Times New Roman"/>
          <w:sz w:val="24"/>
          <w:szCs w:val="24"/>
          <w:lang w:eastAsia="sk-SK"/>
        </w:rPr>
      </w:pPr>
      <w:r w:rsidRPr="008B658A">
        <w:rPr>
          <w:rFonts w:ascii="Times New Roman" w:hAnsi="Times New Roman"/>
          <w:sz w:val="24"/>
          <w:szCs w:val="24"/>
          <w:lang w:eastAsia="sk-SK"/>
        </w:rPr>
        <w:t>Zmluva o fungovaní Európskej únie (Hlava V Priestor slobody, bezpečnosti a spravodlivosti, Kapitola 1 Všeobecné ustanovenia, Kapitola 2 politiky vzťahujúce sa na hraničné kontroly, azyl a prisťahovalectvo), čl. 78, najmä ods. 2 písm. d).</w:t>
      </w:r>
    </w:p>
    <w:p w:rsidR="008B658A" w:rsidRPr="008B658A" w:rsidP="008B658A">
      <w:pPr>
        <w:widowControl w:val="0"/>
        <w:autoSpaceDE w:val="0"/>
        <w:autoSpaceDN w:val="0"/>
        <w:bidi w:val="0"/>
        <w:adjustRightInd w:val="0"/>
        <w:spacing w:after="0" w:line="240" w:lineRule="auto"/>
        <w:ind w:firstLine="360"/>
        <w:rPr>
          <w:rFonts w:ascii="Times New Roman" w:hAnsi="Times New Roman"/>
          <w:sz w:val="24"/>
          <w:szCs w:val="24"/>
          <w:lang w:eastAsia="sk-SK"/>
        </w:rPr>
      </w:pPr>
    </w:p>
    <w:p w:rsidR="008B658A" w:rsidRPr="008B658A" w:rsidP="008B658A">
      <w:pPr>
        <w:widowControl w:val="0"/>
        <w:tabs>
          <w:tab w:val="left" w:pos="1068"/>
        </w:tabs>
        <w:autoSpaceDE w:val="0"/>
        <w:autoSpaceDN w:val="0"/>
        <w:bidi w:val="0"/>
        <w:adjustRightInd w:val="0"/>
        <w:spacing w:after="0" w:line="240" w:lineRule="auto"/>
        <w:ind w:left="879" w:hanging="171"/>
        <w:jc w:val="both"/>
        <w:rPr>
          <w:rFonts w:ascii="Times New Roman" w:hAnsi="Times New Roman"/>
          <w:i/>
          <w:sz w:val="24"/>
          <w:szCs w:val="24"/>
          <w:lang w:eastAsia="sk-SK"/>
        </w:rPr>
      </w:pPr>
      <w:r w:rsidRPr="008B658A">
        <w:rPr>
          <w:rFonts w:ascii="Times New Roman" w:hAnsi="Times New Roman"/>
          <w:sz w:val="24"/>
          <w:szCs w:val="24"/>
          <w:lang w:eastAsia="sk-SK"/>
        </w:rPr>
        <w:t>-</w:t>
        <w:tab/>
      </w:r>
      <w:r w:rsidRPr="008B658A">
        <w:rPr>
          <w:rFonts w:ascii="Times New Roman" w:hAnsi="Times New Roman"/>
          <w:i/>
          <w:sz w:val="24"/>
          <w:szCs w:val="24"/>
          <w:lang w:eastAsia="sk-SK"/>
        </w:rPr>
        <w:t>sekundárnom (prijatom po nadobudnutím platnosti Lisabonskej zmluvy, ktorou sa mení a dopĺňa Zmluva o Európskom spoločenstve a Zmluva o Európskej únii – po 30. novembri 2009)</w:t>
      </w:r>
    </w:p>
    <w:p w:rsidR="008B658A" w:rsidRPr="008B658A" w:rsidP="008B658A">
      <w:pPr>
        <w:widowControl w:val="0"/>
        <w:tabs>
          <w:tab w:val="left" w:pos="1068"/>
        </w:tabs>
        <w:autoSpaceDE w:val="0"/>
        <w:autoSpaceDN w:val="0"/>
        <w:bidi w:val="0"/>
        <w:adjustRightInd w:val="0"/>
        <w:spacing w:after="0" w:line="240" w:lineRule="auto"/>
        <w:ind w:left="879" w:hanging="171"/>
        <w:rPr>
          <w:rFonts w:ascii="Times New Roman" w:hAnsi="Times New Roman"/>
          <w:i/>
          <w:sz w:val="24"/>
          <w:szCs w:val="24"/>
          <w:lang w:eastAsia="sk-SK"/>
        </w:rPr>
      </w:pPr>
    </w:p>
    <w:p w:rsidR="008B658A" w:rsidRPr="008B658A" w:rsidP="008B658A">
      <w:pPr>
        <w:widowControl w:val="0"/>
        <w:autoSpaceDE w:val="0"/>
        <w:autoSpaceDN w:val="0"/>
        <w:bidi w:val="0"/>
        <w:adjustRightInd w:val="0"/>
        <w:spacing w:after="0" w:line="240" w:lineRule="auto"/>
        <w:ind w:left="1239" w:hanging="360"/>
        <w:rPr>
          <w:rFonts w:ascii="Times New Roman" w:hAnsi="Times New Roman"/>
          <w:i/>
          <w:sz w:val="24"/>
          <w:szCs w:val="24"/>
          <w:lang w:eastAsia="sk-SK"/>
        </w:rPr>
      </w:pPr>
      <w:r w:rsidRPr="008B658A">
        <w:rPr>
          <w:rFonts w:ascii="Times New Roman" w:hAnsi="Times New Roman"/>
          <w:sz w:val="24"/>
          <w:szCs w:val="24"/>
          <w:lang w:eastAsia="sk-SK"/>
        </w:rPr>
        <w:t>1.</w:t>
        <w:tab/>
        <w:t xml:space="preserve">legislatívne akty </w:t>
      </w:r>
    </w:p>
    <w:p w:rsidR="008B658A" w:rsidRPr="008B658A" w:rsidP="008B658A">
      <w:pPr>
        <w:widowControl w:val="0"/>
        <w:autoSpaceDE w:val="0"/>
        <w:autoSpaceDN w:val="0"/>
        <w:bidi w:val="0"/>
        <w:adjustRightInd w:val="0"/>
        <w:spacing w:after="0" w:line="240" w:lineRule="auto"/>
        <w:ind w:firstLine="360"/>
        <w:rPr>
          <w:rFonts w:ascii="Times New Roman" w:hAnsi="Times New Roman"/>
          <w:sz w:val="24"/>
          <w:szCs w:val="24"/>
          <w:lang w:eastAsia="sk-SK"/>
        </w:rPr>
      </w:pPr>
    </w:p>
    <w:p w:rsidR="008B658A" w:rsidRPr="008B658A" w:rsidP="008B658A">
      <w:pPr>
        <w:bidi w:val="0"/>
        <w:spacing w:before="120" w:after="0" w:line="240" w:lineRule="auto"/>
        <w:ind w:left="709" w:right="50"/>
        <w:jc w:val="both"/>
        <w:rPr>
          <w:rFonts w:ascii="Times New Roman" w:hAnsi="Times New Roman"/>
          <w:sz w:val="24"/>
          <w:szCs w:val="24"/>
          <w:lang w:val="ru-RU" w:eastAsia="sk-SK"/>
        </w:rPr>
      </w:pPr>
      <w:r w:rsidRPr="008B658A">
        <w:rPr>
          <w:rFonts w:ascii="Times New Roman" w:hAnsi="Times New Roman"/>
          <w:sz w:val="24"/>
          <w:szCs w:val="24"/>
          <w:lang w:eastAsia="sk-SK"/>
        </w:rPr>
        <w:t xml:space="preserve">- smernica </w:t>
      </w:r>
      <w:r w:rsidRPr="008B658A">
        <w:rPr>
          <w:rFonts w:ascii="Times New Roman" w:hAnsi="Times New Roman"/>
          <w:sz w:val="24"/>
          <w:szCs w:val="24"/>
          <w:lang w:val="ru-RU" w:eastAsia="sk-SK"/>
        </w:rPr>
        <w:t>Európskeho parlamentu a Rady 2013/32/EÚ z  26. júna 2013 o spoločných konaniach o poskytovaní a odnímaní medzinárodnej ochrany</w:t>
      </w:r>
      <w:r w:rsidRPr="008B658A">
        <w:rPr>
          <w:rFonts w:ascii="Times New Roman" w:hAnsi="Times New Roman"/>
          <w:sz w:val="24"/>
          <w:szCs w:val="24"/>
          <w:lang w:eastAsia="sk-SK"/>
        </w:rPr>
        <w:t xml:space="preserve">  </w:t>
      </w:r>
      <w:r w:rsidRPr="008B658A">
        <w:rPr>
          <w:rFonts w:ascii="Times New Roman" w:hAnsi="Times New Roman"/>
          <w:sz w:val="24"/>
          <w:szCs w:val="24"/>
          <w:lang w:val="ru-RU" w:eastAsia="sk-SK"/>
        </w:rPr>
        <w:t>(Ú.</w:t>
      </w:r>
      <w:r w:rsidRPr="008B658A">
        <w:rPr>
          <w:rFonts w:ascii="Times New Roman" w:hAnsi="Times New Roman"/>
          <w:sz w:val="24"/>
          <w:szCs w:val="24"/>
          <w:lang w:eastAsia="sk-SK"/>
        </w:rPr>
        <w:t xml:space="preserve"> </w:t>
      </w:r>
      <w:r w:rsidRPr="008B658A">
        <w:rPr>
          <w:rFonts w:ascii="Times New Roman" w:hAnsi="Times New Roman"/>
          <w:sz w:val="24"/>
          <w:szCs w:val="24"/>
          <w:lang w:val="ru-RU" w:eastAsia="sk-SK"/>
        </w:rPr>
        <w:t>v.</w:t>
      </w:r>
      <w:r w:rsidRPr="008B658A">
        <w:rPr>
          <w:rFonts w:ascii="Times New Roman" w:hAnsi="Times New Roman"/>
          <w:sz w:val="24"/>
          <w:szCs w:val="24"/>
          <w:lang w:eastAsia="sk-SK"/>
        </w:rPr>
        <w:t xml:space="preserve"> </w:t>
      </w:r>
      <w:r w:rsidRPr="008B658A">
        <w:rPr>
          <w:rFonts w:ascii="Times New Roman" w:hAnsi="Times New Roman"/>
          <w:sz w:val="24"/>
          <w:szCs w:val="24"/>
          <w:lang w:val="ru-RU" w:eastAsia="sk-SK"/>
        </w:rPr>
        <w:t>EÚ L180, 29.06.2013); </w:t>
      </w:r>
    </w:p>
    <w:p w:rsidR="008B658A" w:rsidRPr="008B658A" w:rsidP="008B658A">
      <w:pPr>
        <w:widowControl w:val="0"/>
        <w:autoSpaceDE w:val="0"/>
        <w:autoSpaceDN w:val="0"/>
        <w:bidi w:val="0"/>
        <w:adjustRightInd w:val="0"/>
        <w:spacing w:after="0" w:line="240" w:lineRule="auto"/>
        <w:ind w:left="851"/>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1239" w:hanging="360"/>
        <w:jc w:val="both"/>
        <w:rPr>
          <w:rFonts w:ascii="Times New Roman" w:hAnsi="Times New Roman"/>
          <w:i/>
          <w:sz w:val="24"/>
          <w:szCs w:val="24"/>
          <w:lang w:eastAsia="sk-SK"/>
        </w:rPr>
      </w:pPr>
      <w:r w:rsidRPr="008B658A">
        <w:rPr>
          <w:rFonts w:ascii="Times New Roman" w:hAnsi="Times New Roman"/>
          <w:sz w:val="24"/>
          <w:szCs w:val="24"/>
          <w:lang w:eastAsia="sk-SK"/>
        </w:rPr>
        <w:t>2.</w:t>
        <w:tab/>
        <w:t xml:space="preserve">nelegislatívne akty </w:t>
      </w:r>
    </w:p>
    <w:p w:rsidR="008B658A" w:rsidRPr="008B658A" w:rsidP="008B658A">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r w:rsidRPr="008B658A">
        <w:rPr>
          <w:rFonts w:ascii="Times New Roman" w:hAnsi="Times New Roman"/>
          <w:sz w:val="24"/>
          <w:szCs w:val="24"/>
          <w:lang w:eastAsia="sk-SK"/>
        </w:rPr>
        <w:t xml:space="preserve"> </w:t>
      </w:r>
    </w:p>
    <w:p w:rsidR="008B658A" w:rsidRPr="008B658A" w:rsidP="008B658A">
      <w:pPr>
        <w:widowControl w:val="0"/>
        <w:autoSpaceDE w:val="0"/>
        <w:autoSpaceDN w:val="0"/>
        <w:bidi w:val="0"/>
        <w:adjustRightInd w:val="0"/>
        <w:spacing w:after="0" w:line="240" w:lineRule="auto"/>
        <w:ind w:left="879" w:hanging="171"/>
        <w:jc w:val="both"/>
        <w:rPr>
          <w:rFonts w:ascii="Times New Roman" w:hAnsi="Times New Roman"/>
          <w:i/>
          <w:sz w:val="24"/>
          <w:szCs w:val="24"/>
          <w:lang w:eastAsia="sk-SK"/>
        </w:rPr>
      </w:pPr>
      <w:r w:rsidRPr="008B658A">
        <w:rPr>
          <w:rFonts w:ascii="Times New Roman" w:hAnsi="Times New Roman"/>
          <w:sz w:val="24"/>
          <w:szCs w:val="24"/>
          <w:lang w:eastAsia="sk-SK"/>
        </w:rPr>
        <w:t>-</w:t>
        <w:tab/>
      </w:r>
      <w:r w:rsidRPr="008B658A">
        <w:rPr>
          <w:rFonts w:ascii="Times New Roman" w:hAnsi="Times New Roman"/>
          <w:i/>
          <w:sz w:val="24"/>
          <w:szCs w:val="24"/>
          <w:lang w:eastAsia="sk-SK"/>
        </w:rPr>
        <w:t>sekundárnom (prijatom pred nadobudnutím platnosti Lisabonskej zmluvy, ktorou sa mení a dopĺňa Zmluva o Európskom spoločenstve a Zmluva o Európskej únii – do 30. novembra 2009)</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8B658A" w:rsidRPr="008B658A" w:rsidP="008B658A">
            <w:pPr>
              <w:widowControl w:val="0"/>
              <w:autoSpaceDE w:val="0"/>
              <w:autoSpaceDN w:val="0"/>
              <w:bidi w:val="0"/>
              <w:adjustRightInd w:val="0"/>
              <w:spacing w:after="0" w:line="240" w:lineRule="auto"/>
              <w:jc w:val="both"/>
              <w:rPr>
                <w:rFonts w:ascii="Times New Roman" w:hAnsi="Times New Roman"/>
                <w:sz w:val="24"/>
                <w:szCs w:val="24"/>
                <w:highlight w:val="yellow"/>
                <w:lang w:eastAsia="sk-SK"/>
              </w:rPr>
            </w:pPr>
          </w:p>
        </w:tc>
      </w:tr>
    </w:tbl>
    <w:p w:rsidR="008B658A" w:rsidRPr="008B658A" w:rsidP="008B658A">
      <w:pPr>
        <w:widowControl w:val="0"/>
        <w:autoSpaceDE w:val="0"/>
        <w:autoSpaceDN w:val="0"/>
        <w:bidi w:val="0"/>
        <w:adjustRightInd w:val="0"/>
        <w:spacing w:after="0" w:line="240" w:lineRule="auto"/>
        <w:ind w:firstLine="360"/>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8B658A">
        <w:rPr>
          <w:rFonts w:ascii="Times New Roman" w:hAnsi="Times New Roman"/>
          <w:sz w:val="24"/>
          <w:szCs w:val="24"/>
          <w:lang w:eastAsia="sk-SK"/>
        </w:rPr>
        <w:t>b)</w:t>
        <w:tab/>
        <w:t>je obsiahnutá v judikatúre Súdneho dvora Európskej únie.</w:t>
      </w: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8B658A">
        <w:rPr>
          <w:rFonts w:ascii="Times New Roman" w:hAnsi="Times New Roman"/>
          <w:sz w:val="24"/>
          <w:szCs w:val="24"/>
          <w:lang w:val="ru-RU" w:eastAsia="sk-SK"/>
        </w:rPr>
        <w:t>- napr.</w:t>
      </w:r>
      <w:r w:rsidRPr="008B658A">
        <w:rPr>
          <w:rFonts w:ascii="Times New Roman" w:hAnsi="Times New Roman"/>
          <w:sz w:val="24"/>
          <w:szCs w:val="24"/>
          <w:lang w:eastAsia="sk-SK"/>
        </w:rPr>
        <w:t>:</w:t>
      </w:r>
      <w:r w:rsidRPr="008B658A">
        <w:rPr>
          <w:rFonts w:ascii="Times New Roman" w:hAnsi="Times New Roman"/>
          <w:sz w:val="24"/>
          <w:szCs w:val="24"/>
          <w:lang w:val="ru-RU" w:eastAsia="sk-SK"/>
        </w:rPr>
        <w:t xml:space="preserve"> </w:t>
      </w:r>
      <w:r w:rsidRPr="008B658A">
        <w:rPr>
          <w:rFonts w:ascii="Times New Roman" w:hAnsi="Times New Roman"/>
          <w:sz w:val="24"/>
          <w:szCs w:val="24"/>
          <w:lang w:eastAsia="sk-SK"/>
        </w:rPr>
        <w:t xml:space="preserve">rozsudok </w:t>
      </w:r>
      <w:r w:rsidRPr="008B658A">
        <w:rPr>
          <w:rFonts w:ascii="Times New Roman" w:hAnsi="Times New Roman"/>
          <w:sz w:val="24"/>
          <w:szCs w:val="24"/>
          <w:lang w:val="ru-RU" w:eastAsia="sk-SK"/>
        </w:rPr>
        <w:t>z 28. júla 2011</w:t>
      </w:r>
      <w:r w:rsidRPr="008B658A">
        <w:rPr>
          <w:rFonts w:ascii="Times New Roman" w:hAnsi="Times New Roman"/>
          <w:sz w:val="24"/>
          <w:szCs w:val="24"/>
          <w:lang w:eastAsia="sk-SK"/>
        </w:rPr>
        <w:t xml:space="preserve">, </w:t>
      </w:r>
      <w:r w:rsidRPr="008B658A">
        <w:rPr>
          <w:rFonts w:ascii="Times New Roman" w:hAnsi="Times New Roman"/>
          <w:sz w:val="24"/>
          <w:szCs w:val="24"/>
          <w:lang w:val="ru-RU" w:eastAsia="sk-SK"/>
        </w:rPr>
        <w:t>Samba Diouf</w:t>
      </w:r>
      <w:r w:rsidRPr="008B658A">
        <w:rPr>
          <w:rFonts w:ascii="Times New Roman" w:hAnsi="Times New Roman"/>
          <w:sz w:val="24"/>
          <w:szCs w:val="24"/>
          <w:lang w:eastAsia="sk-SK"/>
        </w:rPr>
        <w:t xml:space="preserve">, C-69/10, EU:C:2010:524;  rozsudok </w:t>
      </w:r>
      <w:r w:rsidRPr="008B658A">
        <w:rPr>
          <w:rFonts w:ascii="Times New Roman" w:hAnsi="Times New Roman"/>
          <w:sz w:val="24"/>
          <w:szCs w:val="24"/>
          <w:lang w:val="ru-RU" w:eastAsia="sk-SK"/>
        </w:rPr>
        <w:t>z</w:t>
      </w:r>
      <w:r w:rsidRPr="008B658A">
        <w:rPr>
          <w:rFonts w:ascii="Times New Roman" w:hAnsi="Times New Roman"/>
          <w:sz w:val="24"/>
          <w:szCs w:val="24"/>
          <w:lang w:eastAsia="sk-SK"/>
        </w:rPr>
        <w:t xml:space="preserve"> 31. Januára 2013, </w:t>
      </w:r>
      <w:r w:rsidRPr="008B658A">
        <w:rPr>
          <w:rFonts w:ascii="Times New Roman" w:hAnsi="Times New Roman"/>
          <w:sz w:val="24"/>
          <w:szCs w:val="24"/>
          <w:lang w:val="ru-RU" w:eastAsia="sk-SK"/>
        </w:rPr>
        <w:t>D. a A.</w:t>
      </w:r>
      <w:r w:rsidRPr="008B658A">
        <w:rPr>
          <w:rFonts w:ascii="Times New Roman" w:hAnsi="Times New Roman"/>
          <w:sz w:val="24"/>
          <w:szCs w:val="24"/>
          <w:lang w:eastAsia="sk-SK"/>
        </w:rPr>
        <w:t>,</w:t>
      </w:r>
      <w:r w:rsidRPr="008B658A">
        <w:rPr>
          <w:rFonts w:ascii="Times New Roman" w:hAnsi="Times New Roman"/>
          <w:sz w:val="24"/>
          <w:szCs w:val="24"/>
          <w:lang w:val="ru-RU" w:eastAsia="sk-SK"/>
        </w:rPr>
        <w:t xml:space="preserve"> </w:t>
      </w:r>
      <w:r w:rsidRPr="008B658A">
        <w:rPr>
          <w:rFonts w:ascii="Times New Roman" w:hAnsi="Times New Roman"/>
          <w:sz w:val="24"/>
          <w:szCs w:val="24"/>
          <w:lang w:eastAsia="sk-SK"/>
        </w:rPr>
        <w:t xml:space="preserve">C-175/11, </w:t>
      </w:r>
      <w:r w:rsidRPr="008B658A">
        <w:rPr>
          <w:rFonts w:ascii="Times New Roman" w:hAnsi="Times New Roman"/>
          <w:sz w:val="24"/>
          <w:szCs w:val="24"/>
          <w:lang w:val="ru-RU" w:eastAsia="sk-SK"/>
        </w:rPr>
        <w:t>EU:C:2013:45</w:t>
      </w:r>
      <w:r w:rsidRPr="008B658A">
        <w:rPr>
          <w:rFonts w:ascii="Times New Roman" w:hAnsi="Times New Roman"/>
          <w:sz w:val="24"/>
          <w:szCs w:val="24"/>
          <w:lang w:eastAsia="sk-SK"/>
        </w:rPr>
        <w:t xml:space="preserve">;  rozsudok </w:t>
      </w:r>
      <w:r w:rsidRPr="008B658A">
        <w:rPr>
          <w:rFonts w:ascii="Times New Roman" w:hAnsi="Times New Roman"/>
          <w:sz w:val="24"/>
          <w:szCs w:val="24"/>
          <w:lang w:val="ru-RU" w:eastAsia="sk-SK"/>
        </w:rPr>
        <w:t>z</w:t>
      </w:r>
      <w:r w:rsidRPr="008B658A">
        <w:rPr>
          <w:rFonts w:ascii="Times New Roman" w:hAnsi="Times New Roman"/>
          <w:sz w:val="24"/>
          <w:szCs w:val="24"/>
          <w:lang w:eastAsia="sk-SK"/>
        </w:rPr>
        <w:t xml:space="preserve">o </w:t>
      </w:r>
      <w:r w:rsidRPr="008B658A">
        <w:rPr>
          <w:rFonts w:ascii="Times New Roman" w:hAnsi="Times New Roman"/>
          <w:sz w:val="24"/>
          <w:szCs w:val="24"/>
          <w:lang w:val="ru-RU" w:eastAsia="sk-SK"/>
        </w:rPr>
        <w:t>17. decembra 2015</w:t>
      </w:r>
      <w:r w:rsidRPr="008B658A">
        <w:rPr>
          <w:rFonts w:ascii="Times New Roman" w:hAnsi="Times New Roman"/>
          <w:sz w:val="24"/>
          <w:szCs w:val="24"/>
          <w:lang w:eastAsia="sk-SK"/>
        </w:rPr>
        <w:t xml:space="preserve">, </w:t>
      </w:r>
      <w:r w:rsidRPr="008B658A">
        <w:rPr>
          <w:rFonts w:ascii="Times New Roman" w:hAnsi="Times New Roman"/>
          <w:sz w:val="24"/>
          <w:szCs w:val="24"/>
          <w:lang w:val="ru-RU" w:eastAsia="sk-SK"/>
        </w:rPr>
        <w:t>Tall</w:t>
      </w:r>
      <w:r w:rsidRPr="008B658A">
        <w:rPr>
          <w:rFonts w:ascii="Times New Roman" w:hAnsi="Times New Roman"/>
          <w:sz w:val="24"/>
          <w:szCs w:val="24"/>
          <w:lang w:eastAsia="sk-SK"/>
        </w:rPr>
        <w:t xml:space="preserve">, </w:t>
      </w:r>
      <w:r w:rsidRPr="008B658A">
        <w:rPr>
          <w:rFonts w:ascii="Times New Roman" w:hAnsi="Times New Roman"/>
          <w:sz w:val="24"/>
          <w:szCs w:val="24"/>
          <w:lang w:val="ru-RU" w:eastAsia="sk-SK"/>
        </w:rPr>
        <w:t xml:space="preserve"> </w:t>
      </w:r>
      <w:r w:rsidRPr="008B658A">
        <w:rPr>
          <w:rFonts w:ascii="Times New Roman" w:hAnsi="Times New Roman"/>
          <w:sz w:val="24"/>
          <w:szCs w:val="24"/>
          <w:lang w:eastAsia="sk-SK"/>
        </w:rPr>
        <w:t xml:space="preserve"> C-239/14, </w:t>
      </w:r>
      <w:r w:rsidRPr="008B658A">
        <w:rPr>
          <w:rFonts w:ascii="Times New Roman" w:hAnsi="Times New Roman"/>
          <w:sz w:val="24"/>
          <w:szCs w:val="24"/>
          <w:lang w:val="ru-RU" w:eastAsia="sk-SK"/>
        </w:rPr>
        <w:t>EU:C:2015:824</w:t>
      </w:r>
      <w:r w:rsidRPr="008B658A">
        <w:rPr>
          <w:rFonts w:ascii="Times New Roman" w:hAnsi="Times New Roman"/>
          <w:sz w:val="24"/>
          <w:szCs w:val="24"/>
          <w:lang w:eastAsia="sk-SK"/>
        </w:rPr>
        <w:t xml:space="preserve">; rozsudok </w:t>
      </w:r>
      <w:r w:rsidRPr="008B658A">
        <w:rPr>
          <w:rFonts w:ascii="Times New Roman" w:hAnsi="Times New Roman"/>
          <w:sz w:val="24"/>
          <w:szCs w:val="24"/>
          <w:lang w:val="ru-RU" w:eastAsia="sk-SK"/>
        </w:rPr>
        <w:t>z 9. februára 2017</w:t>
      </w:r>
      <w:r w:rsidRPr="008B658A">
        <w:rPr>
          <w:rFonts w:ascii="Times New Roman" w:hAnsi="Times New Roman"/>
          <w:sz w:val="24"/>
          <w:szCs w:val="24"/>
          <w:lang w:eastAsia="sk-SK"/>
        </w:rPr>
        <w:t xml:space="preserve">, M, C-560-14, </w:t>
      </w:r>
      <w:r w:rsidRPr="008B658A">
        <w:rPr>
          <w:rFonts w:ascii="Times New Roman" w:hAnsi="Times New Roman"/>
          <w:sz w:val="24"/>
          <w:szCs w:val="24"/>
          <w:lang w:val="ru-RU" w:eastAsia="sk-SK"/>
        </w:rPr>
        <w:t>EU:C:2017:101</w:t>
      </w:r>
      <w:r w:rsidRPr="008B658A">
        <w:rPr>
          <w:rFonts w:ascii="Times New Roman" w:hAnsi="Times New Roman"/>
          <w:sz w:val="24"/>
          <w:szCs w:val="24"/>
          <w:lang w:eastAsia="sk-SK"/>
        </w:rPr>
        <w:t xml:space="preserve">; rozsudok </w:t>
      </w:r>
      <w:r w:rsidRPr="008B658A">
        <w:rPr>
          <w:rFonts w:ascii="Times New Roman" w:hAnsi="Times New Roman"/>
          <w:sz w:val="24"/>
          <w:szCs w:val="24"/>
          <w:lang w:val="ru-RU" w:eastAsia="sk-SK"/>
        </w:rPr>
        <w:t>zo 17. marca 2016</w:t>
      </w:r>
      <w:r w:rsidRPr="008B658A">
        <w:rPr>
          <w:rFonts w:ascii="Times New Roman" w:hAnsi="Times New Roman"/>
          <w:sz w:val="24"/>
          <w:szCs w:val="24"/>
          <w:lang w:eastAsia="sk-SK"/>
        </w:rPr>
        <w:t xml:space="preserve">, Mirza, C-695/15 PPU, </w:t>
      </w:r>
      <w:r w:rsidRPr="008B658A">
        <w:rPr>
          <w:rFonts w:ascii="Times New Roman" w:hAnsi="Times New Roman"/>
          <w:sz w:val="24"/>
          <w:szCs w:val="24"/>
          <w:lang w:val="ru-RU" w:eastAsia="sk-SK"/>
        </w:rPr>
        <w:t>EU:C:2016:188</w:t>
      </w:r>
      <w:r w:rsidRPr="008B658A">
        <w:rPr>
          <w:rFonts w:ascii="Times New Roman" w:hAnsi="Times New Roman"/>
          <w:sz w:val="24"/>
          <w:szCs w:val="24"/>
          <w:lang w:eastAsia="sk-SK"/>
        </w:rPr>
        <w:t>; atď.</w:t>
      </w:r>
    </w:p>
    <w:p w:rsidR="008B658A" w:rsidRP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8B658A">
        <w:rPr>
          <w:rFonts w:ascii="Times New Roman" w:hAnsi="Times New Roman"/>
          <w:b/>
          <w:sz w:val="24"/>
          <w:szCs w:val="24"/>
          <w:lang w:eastAsia="sk-SK"/>
        </w:rPr>
        <w:t>4.</w:t>
        <w:tab/>
        <w:t xml:space="preserve">Záväzky Slovenskej republiky vo vzťahu k Európskej únii: </w:t>
      </w:r>
    </w:p>
    <w:p w:rsidR="008B658A" w:rsidRP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8B658A">
        <w:rPr>
          <w:rFonts w:ascii="Times New Roman" w:hAnsi="Times New Roman"/>
          <w:sz w:val="24"/>
          <w:szCs w:val="24"/>
          <w:lang w:eastAsia="sk-SK"/>
        </w:rPr>
        <w:t>a)</w:t>
        <w:tab/>
        <w:t>lehota na prebratie smernice alebo lehota na implementáciu nariadenia alebo rozhodnutia</w:t>
      </w:r>
    </w:p>
    <w:p w:rsidR="008B658A" w:rsidRPr="008B658A" w:rsidP="008B658A">
      <w:pPr>
        <w:widowControl w:val="0"/>
        <w:autoSpaceDE w:val="0"/>
        <w:autoSpaceDN w:val="0"/>
        <w:bidi w:val="0"/>
        <w:adjustRightInd w:val="0"/>
        <w:spacing w:after="0" w:line="240" w:lineRule="auto"/>
        <w:ind w:left="720"/>
        <w:rPr>
          <w:rFonts w:ascii="Times New Roman" w:hAnsi="Times New Roman"/>
          <w:color w:val="000000"/>
          <w:sz w:val="24"/>
          <w:szCs w:val="24"/>
          <w:lang w:eastAsia="sk-SK"/>
        </w:rPr>
      </w:pPr>
    </w:p>
    <w:p w:rsidR="008B658A" w:rsidRPr="008B658A" w:rsidP="008B658A">
      <w:pPr>
        <w:suppressAutoHyphens/>
        <w:bidi w:val="0"/>
        <w:spacing w:after="0" w:line="240" w:lineRule="auto"/>
        <w:ind w:left="709"/>
        <w:jc w:val="both"/>
        <w:rPr>
          <w:rFonts w:ascii="Times New Roman" w:hAnsi="Times New Roman"/>
          <w:sz w:val="24"/>
          <w:szCs w:val="24"/>
          <w:lang w:eastAsia="sk-SK"/>
        </w:rPr>
      </w:pPr>
      <w:r w:rsidRPr="008B658A">
        <w:rPr>
          <w:rFonts w:ascii="Times New Roman" w:hAnsi="Times New Roman"/>
          <w:iCs/>
          <w:sz w:val="24"/>
          <w:szCs w:val="24"/>
          <w:lang w:eastAsia="cs-CZ"/>
        </w:rPr>
        <w:t xml:space="preserve">- lehota na prebratie smernice 2013/32/EÚ bola do 20. júla 2015, </w:t>
      </w:r>
      <w:r w:rsidRPr="008B658A">
        <w:rPr>
          <w:rFonts w:ascii="Times New Roman" w:hAnsi="Times New Roman"/>
          <w:sz w:val="24"/>
          <w:szCs w:val="24"/>
          <w:lang w:eastAsia="sk-SK"/>
        </w:rPr>
        <w:t xml:space="preserve">okrem čl. 31 ods. 3, 4 a 5, ktorý má byť prebratý do 20. júla 2018; </w:t>
      </w:r>
    </w:p>
    <w:p w:rsidR="008B658A" w:rsidRP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8B658A">
        <w:rPr>
          <w:rFonts w:ascii="Times New Roman" w:hAnsi="Times New Roman"/>
          <w:sz w:val="24"/>
          <w:szCs w:val="24"/>
          <w:lang w:eastAsia="sk-SK"/>
        </w:rPr>
        <w:t>b)</w:t>
        <w:tab/>
      </w:r>
      <w:r w:rsidRPr="008B658A">
        <w:rPr>
          <w:rFonts w:ascii="Times New Roman" w:hAnsi="Times New Roman"/>
          <w:color w:val="000000"/>
          <w:sz w:val="24"/>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8B658A">
        <w:rPr>
          <w:rFonts w:ascii="Times New Roman" w:hAnsi="Times New Roman"/>
          <w:sz w:val="24"/>
          <w:szCs w:val="24"/>
          <w:lang w:eastAsia="sk-SK"/>
        </w:rPr>
        <w:tab/>
      </w:r>
    </w:p>
    <w:p w:rsidR="008B658A" w:rsidRPr="008B658A" w:rsidP="008B658A">
      <w:pPr>
        <w:suppressAutoHyphens/>
        <w:bidi w:val="0"/>
        <w:spacing w:after="0" w:line="240" w:lineRule="auto"/>
        <w:ind w:left="709"/>
        <w:jc w:val="both"/>
        <w:rPr>
          <w:rFonts w:ascii="Times New Roman" w:hAnsi="Times New Roman"/>
          <w:iCs/>
          <w:sz w:val="24"/>
          <w:szCs w:val="24"/>
          <w:lang w:eastAsia="cs-CZ"/>
        </w:rPr>
      </w:pPr>
      <w:r w:rsidRPr="008B658A">
        <w:rPr>
          <w:rFonts w:ascii="Times New Roman" w:hAnsi="Times New Roman"/>
          <w:iCs/>
          <w:sz w:val="24"/>
          <w:szCs w:val="24"/>
          <w:lang w:eastAsia="cs-CZ"/>
        </w:rPr>
        <w:t>- uznesením vlády č. 566 z 26. septembra 2013 podpredsedovi vlády a ministrovi vnútra do 31. marca 2015, resp. do 31. marca 2018 (lehota týkajúca sa prebratia čl. 31 ods. 3, 4 a 5) predložiť v spolupráci s ministrom spravodlivosti na rokovanie vlády návrhy právnych predpisov, ktorými sa zabezpečí prebratie smernice prebratie smernice Európskeho parlamentu a Rady 2013/32/EÚ z 26. júna 2013 o spoločných konaniach o poskytovaní a odnímaní medzinárodnej ochrany (prepracované znenie).  </w:t>
      </w: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8B658A">
        <w:rPr>
          <w:rFonts w:ascii="Times New Roman" w:hAnsi="Times New Roman"/>
          <w:sz w:val="24"/>
          <w:szCs w:val="24"/>
          <w:lang w:eastAsia="sk-SK"/>
        </w:rPr>
        <w:t>c)</w:t>
        <w:tab/>
        <w:t>informácia o konaní začatom proti Slovenskej republike o porušení podľa čl. 258 až 260 Zmluvy o fungovaní Európskej únie</w:t>
      </w:r>
    </w:p>
    <w:p w:rsidR="008B658A" w:rsidRPr="008B658A" w:rsidP="008B658A">
      <w:pPr>
        <w:widowControl w:val="0"/>
        <w:autoSpaceDE w:val="0"/>
        <w:autoSpaceDN w:val="0"/>
        <w:bidi w:val="0"/>
        <w:adjustRightInd w:val="0"/>
        <w:spacing w:after="0" w:line="240" w:lineRule="auto"/>
        <w:ind w:left="720"/>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firstLine="708"/>
        <w:rPr>
          <w:rFonts w:ascii="Times New Roman" w:hAnsi="Times New Roman"/>
          <w:sz w:val="24"/>
          <w:szCs w:val="24"/>
          <w:lang w:eastAsia="sk-SK"/>
        </w:rPr>
      </w:pPr>
      <w:r w:rsidRPr="008B658A">
        <w:rPr>
          <w:rFonts w:ascii="Times New Roman" w:hAnsi="Times New Roman"/>
          <w:sz w:val="24"/>
          <w:szCs w:val="24"/>
          <w:lang w:eastAsia="sk-SK"/>
        </w:rPr>
        <w:t>- nebolo začaté; </w:t>
      </w:r>
    </w:p>
    <w:p w:rsidR="008B658A" w:rsidRPr="008B658A" w:rsidP="008B658A">
      <w:pPr>
        <w:widowControl w:val="0"/>
        <w:autoSpaceDE w:val="0"/>
        <w:autoSpaceDN w:val="0"/>
        <w:bidi w:val="0"/>
        <w:adjustRightInd w:val="0"/>
        <w:spacing w:after="0" w:line="240" w:lineRule="auto"/>
        <w:ind w:firstLine="708"/>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8B658A">
        <w:rPr>
          <w:rFonts w:ascii="Times New Roman" w:hAnsi="Times New Roman"/>
          <w:sz w:val="24"/>
          <w:szCs w:val="24"/>
          <w:lang w:eastAsia="sk-SK"/>
        </w:rPr>
        <w:t>d)</w:t>
        <w:tab/>
        <w:t>informácia o právnych predpisoch, v ktorých sú preberané smernice už prebraté spolu s uvedením rozsahu tohto prebratia</w:t>
      </w:r>
    </w:p>
    <w:p w:rsidR="008B658A" w:rsidRPr="008B658A" w:rsidP="008B658A">
      <w:pPr>
        <w:widowControl w:val="0"/>
        <w:autoSpaceDE w:val="0"/>
        <w:autoSpaceDN w:val="0"/>
        <w:bidi w:val="0"/>
        <w:adjustRightInd w:val="0"/>
        <w:spacing w:after="0" w:line="240" w:lineRule="auto"/>
        <w:ind w:left="709" w:hanging="349"/>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708"/>
        <w:jc w:val="both"/>
        <w:rPr>
          <w:rFonts w:ascii="Times New Roman" w:hAnsi="Times New Roman"/>
          <w:iCs/>
          <w:sz w:val="24"/>
          <w:szCs w:val="24"/>
          <w:lang w:eastAsia="cs-CZ"/>
        </w:rPr>
      </w:pPr>
      <w:r w:rsidRPr="008B658A">
        <w:rPr>
          <w:rFonts w:ascii="Times New Roman" w:hAnsi="Times New Roman"/>
          <w:iCs/>
          <w:sz w:val="24"/>
          <w:szCs w:val="24"/>
          <w:lang w:eastAsia="cs-CZ"/>
        </w:rPr>
        <w:t xml:space="preserve">Smernica </w:t>
      </w:r>
      <w:r w:rsidRPr="008B658A">
        <w:rPr>
          <w:rFonts w:ascii="Times New Roman" w:hAnsi="Times New Roman"/>
          <w:color w:val="000000"/>
          <w:sz w:val="24"/>
          <w:szCs w:val="24"/>
          <w:lang w:val="ru-RU" w:eastAsia="sk-SK"/>
        </w:rPr>
        <w:t>201</w:t>
      </w:r>
      <w:r w:rsidRPr="008B658A">
        <w:rPr>
          <w:rFonts w:ascii="Times New Roman" w:hAnsi="Times New Roman"/>
          <w:color w:val="000000"/>
          <w:sz w:val="24"/>
          <w:szCs w:val="24"/>
          <w:lang w:eastAsia="sk-SK"/>
        </w:rPr>
        <w:t>3</w:t>
      </w:r>
      <w:r w:rsidRPr="008B658A">
        <w:rPr>
          <w:rFonts w:ascii="Times New Roman" w:hAnsi="Times New Roman"/>
          <w:color w:val="000000"/>
          <w:sz w:val="24"/>
          <w:szCs w:val="24"/>
          <w:lang w:val="ru-RU" w:eastAsia="sk-SK"/>
        </w:rPr>
        <w:t>/</w:t>
      </w:r>
      <w:r w:rsidRPr="008B658A">
        <w:rPr>
          <w:rFonts w:ascii="Times New Roman" w:hAnsi="Times New Roman"/>
          <w:color w:val="000000"/>
          <w:sz w:val="24"/>
          <w:szCs w:val="24"/>
          <w:lang w:eastAsia="sk-SK"/>
        </w:rPr>
        <w:t>32/</w:t>
      </w:r>
      <w:r w:rsidRPr="008B658A">
        <w:rPr>
          <w:rFonts w:ascii="Times New Roman" w:hAnsi="Times New Roman"/>
          <w:iCs/>
          <w:sz w:val="24"/>
          <w:szCs w:val="24"/>
          <w:lang w:eastAsia="cs-CZ"/>
        </w:rPr>
        <w:t xml:space="preserve">EÚ bola, s výnimkou  článku  </w:t>
      </w:r>
      <w:r w:rsidRPr="008B658A">
        <w:rPr>
          <w:rFonts w:ascii="Times New Roman" w:hAnsi="Times New Roman"/>
          <w:sz w:val="24"/>
          <w:szCs w:val="24"/>
          <w:lang w:eastAsia="sk-SK"/>
        </w:rPr>
        <w:t>31 ods. 3, 4 a 5,</w:t>
      </w:r>
      <w:r w:rsidRPr="008B658A">
        <w:rPr>
          <w:rFonts w:ascii="Times New Roman" w:hAnsi="Times New Roman"/>
          <w:iCs/>
          <w:sz w:val="24"/>
          <w:szCs w:val="24"/>
          <w:lang w:eastAsia="cs-CZ"/>
        </w:rPr>
        <w:t xml:space="preserve"> úplne prebratá v zákone </w:t>
      </w:r>
      <w:r w:rsidRPr="008B658A">
        <w:rPr>
          <w:rFonts w:ascii="Times New Roman" w:hAnsi="Times New Roman"/>
          <w:sz w:val="24"/>
          <w:szCs w:val="24"/>
          <w:lang w:val="ru-RU" w:eastAsia="sk-SK"/>
        </w:rPr>
        <w:t>č. 480/</w:t>
      </w:r>
      <w:r w:rsidRPr="008B658A">
        <w:rPr>
          <w:rFonts w:ascii="Times New Roman" w:hAnsi="Times New Roman"/>
          <w:iCs/>
          <w:sz w:val="24"/>
          <w:szCs w:val="24"/>
          <w:lang w:eastAsia="cs-CZ"/>
        </w:rPr>
        <w:t xml:space="preserve">2002 Z. z. o azyle a o zmene a doplnení niektorých zákonov v znení neskorších predpisov, zákone č. 404/2011 Z. z. o pobyte cudzincov a o zmene a doplnení niektorých zákonov v znení neskorších predpisov, zákone č. 71/1967 Zb. o správnom konaní (správny poriadok) v znení neskorších predpisov, zákone č. 99/1963 Zb. Občiansky súdny poriadok v znení neskorších predpisov, zákone č. 40/1964 Zb. Občiansky zákonník v znení neskorších predpisov, zákone č. 400/2009 Z. z. o štátnej službe a o zmene a doplnení niektorých zákonov v znení neskorších predpisov (resp.  zákone </w:t>
      </w:r>
      <w:r w:rsidRPr="008B658A">
        <w:rPr>
          <w:rFonts w:ascii="Times New Roman" w:hAnsi="Times New Roman"/>
          <w:sz w:val="24"/>
          <w:szCs w:val="24"/>
          <w:lang w:eastAsia="sk-SK"/>
        </w:rPr>
        <w:t>č. 55/2017 Z. z. o štátnej službe a o zmene a doplnení niektorých zákonov v znení neskorších predpisov),</w:t>
      </w:r>
      <w:r w:rsidRPr="008B658A">
        <w:rPr>
          <w:rFonts w:ascii="Times New Roman" w:hAnsi="Times New Roman"/>
          <w:iCs/>
          <w:sz w:val="24"/>
          <w:szCs w:val="24"/>
          <w:lang w:eastAsia="cs-CZ"/>
        </w:rPr>
        <w:t xml:space="preserve"> zákone č. 552/2003 Z. z. o výkone práce vo verejnom záujme v znení neskorších predpisov, zákone č. 36/2005 Z. z. o rodine a o zmene a doplnení niektorých zákonov v znení neskorších predpisov, zákone č. 305/2005 Z. z. o sociálnoprávnej ochrane detí a o sociálnej kuratele a o zmene a doplnení niektorých zákonov v znení neskorších predpisov, zákone č. 382/2004 Z. z. o znalcoch, tlmočníkoch a prekladateľoch a o zmene a doplnení niektorých zákonov v znení neskorších predpisov, zákone č. 327/2005 Z. z. o poskytovaní právnej pomoci osobám v materiálnej núdzi a o zmene a doplnení zákona č. 586/2003 Z. z. o advokácii a o zmene a doplnení zákona č. 455/1991 Zb. o živnostenskom podnikaní (živnostenský zákon) v znení neskorších predpisov, zákone č. 215/2004 Z. z. o ochrane utajovaných skutočností a o zmene a doplnení niektorých zákonov v znení neskorších predpisov.</w:t>
      </w:r>
    </w:p>
    <w:p w:rsidR="008B658A" w:rsidRPr="008B658A" w:rsidP="008B658A">
      <w:pPr>
        <w:widowControl w:val="0"/>
        <w:autoSpaceDE w:val="0"/>
        <w:autoSpaceDN w:val="0"/>
        <w:bidi w:val="0"/>
        <w:adjustRightInd w:val="0"/>
        <w:spacing w:after="0" w:line="240" w:lineRule="auto"/>
        <w:ind w:left="709" w:hanging="1"/>
        <w:jc w:val="both"/>
        <w:rPr>
          <w:rFonts w:ascii="Times New Roman" w:hAnsi="Times New Roman"/>
          <w:iCs/>
          <w:sz w:val="24"/>
          <w:szCs w:val="24"/>
          <w:lang w:eastAsia="cs-CZ"/>
        </w:rPr>
      </w:pPr>
    </w:p>
    <w:p w:rsidR="008B658A" w:rsidRPr="008B658A" w:rsidP="008B658A">
      <w:pPr>
        <w:widowControl w:val="0"/>
        <w:autoSpaceDE w:val="0"/>
        <w:autoSpaceDN w:val="0"/>
        <w:bidi w:val="0"/>
        <w:adjustRightInd w:val="0"/>
        <w:spacing w:after="0" w:line="240" w:lineRule="auto"/>
        <w:ind w:firstLine="708"/>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8B658A">
        <w:rPr>
          <w:rFonts w:ascii="Times New Roman" w:hAnsi="Times New Roman"/>
          <w:b/>
          <w:sz w:val="24"/>
          <w:szCs w:val="24"/>
          <w:lang w:eastAsia="sk-SK"/>
        </w:rPr>
        <w:t>5.</w:t>
        <w:tab/>
        <w:t>Stupeň zlučiteľnosti návrhu právneho predpisu s právom Európskej únie:</w:t>
      </w:r>
    </w:p>
    <w:p w:rsidR="008B658A" w:rsidRP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360"/>
        <w:jc w:val="both"/>
        <w:rPr>
          <w:rFonts w:ascii="Times New Roman" w:hAnsi="Times New Roman"/>
          <w:sz w:val="24"/>
          <w:szCs w:val="24"/>
          <w:lang w:eastAsia="sk-SK"/>
        </w:rPr>
      </w:pPr>
      <w:r w:rsidRPr="008B658A">
        <w:rPr>
          <w:rFonts w:ascii="Times New Roman" w:hAnsi="Times New Roman"/>
          <w:sz w:val="24"/>
          <w:szCs w:val="24"/>
          <w:lang w:eastAsia="sk-SK"/>
        </w:rPr>
        <w:t xml:space="preserve">Stupeň zlučiteľnosti – úplný </w:t>
      </w:r>
    </w:p>
    <w:p w:rsidR="008B658A" w:rsidRP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8B658A" w:rsidRPr="008B658A" w:rsidP="008B658A">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8B658A">
        <w:rPr>
          <w:rFonts w:ascii="Times New Roman" w:hAnsi="Times New Roman"/>
          <w:b/>
          <w:sz w:val="24"/>
          <w:szCs w:val="24"/>
          <w:lang w:eastAsia="sk-SK"/>
        </w:rPr>
        <w:t>6.</w:t>
        <w:tab/>
        <w:t xml:space="preserve">Gestor a spolupracujúce rezorty: </w:t>
      </w:r>
    </w:p>
    <w:p w:rsidR="008B658A" w:rsidRPr="008B658A" w:rsidP="008B658A">
      <w:pPr>
        <w:widowControl w:val="0"/>
        <w:tabs>
          <w:tab w:val="left" w:pos="360"/>
        </w:tabs>
        <w:autoSpaceDE w:val="0"/>
        <w:autoSpaceDN w:val="0"/>
        <w:bidi w:val="0"/>
        <w:adjustRightInd w:val="0"/>
        <w:spacing w:after="0" w:line="240" w:lineRule="auto"/>
        <w:ind w:left="360"/>
        <w:rPr>
          <w:rFonts w:ascii="Times New Roman" w:hAnsi="Times New Roman"/>
          <w:sz w:val="24"/>
          <w:szCs w:val="24"/>
          <w:lang w:eastAsia="sk-SK"/>
        </w:rPr>
      </w:pPr>
    </w:p>
    <w:p w:rsidR="008B658A" w:rsidRPr="008B658A" w:rsidP="008B658A">
      <w:pPr>
        <w:widowControl w:val="0"/>
        <w:tabs>
          <w:tab w:val="left" w:pos="360"/>
        </w:tabs>
        <w:autoSpaceDE w:val="0"/>
        <w:autoSpaceDN w:val="0"/>
        <w:bidi w:val="0"/>
        <w:adjustRightInd w:val="0"/>
        <w:spacing w:after="0" w:line="240" w:lineRule="auto"/>
        <w:ind w:left="360"/>
        <w:jc w:val="both"/>
        <w:rPr>
          <w:rFonts w:ascii="Times New Roman" w:hAnsi="Times New Roman"/>
          <w:strike/>
          <w:sz w:val="24"/>
          <w:szCs w:val="24"/>
          <w:lang w:eastAsia="sk-SK"/>
        </w:rPr>
      </w:pPr>
      <w:r w:rsidRPr="008B658A">
        <w:rPr>
          <w:rFonts w:ascii="Times New Roman" w:hAnsi="Times New Roman"/>
          <w:sz w:val="24"/>
          <w:szCs w:val="24"/>
          <w:lang w:eastAsia="sk-SK"/>
        </w:rPr>
        <w:t>Ministerstvo vnútra SR, Ministerstvo spravodlivosti SR</w:t>
      </w:r>
    </w:p>
    <w:p w:rsidR="008B658A"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C63335" w:rsidRPr="00C63335" w:rsidP="008B658A">
      <w:pPr>
        <w:widowControl w:val="0"/>
        <w:autoSpaceDE w:val="0"/>
        <w:autoSpaceDN w:val="0"/>
        <w:bidi w:val="0"/>
        <w:adjustRightInd w:val="0"/>
        <w:spacing w:after="0" w:line="240" w:lineRule="auto"/>
        <w:rPr>
          <w:rFonts w:ascii="Times New Roman" w:hAnsi="Times New Roman"/>
          <w:sz w:val="24"/>
          <w:szCs w:val="24"/>
          <w:lang w:eastAsia="sk-SK"/>
        </w:rPr>
      </w:pPr>
    </w:p>
    <w:p w:rsidR="008C3A6B" w:rsidP="00C444C9">
      <w:pPr>
        <w:bidi w:val="0"/>
        <w:spacing w:after="0" w:line="240" w:lineRule="auto"/>
        <w:jc w:val="both"/>
        <w:rPr>
          <w:rFonts w:ascii="Times New Roman" w:hAnsi="Times New Roman"/>
          <w:b/>
          <w:sz w:val="24"/>
          <w:szCs w:val="24"/>
        </w:rPr>
      </w:pPr>
    </w:p>
    <w:p w:rsidR="008B658A" w:rsidP="008B658A">
      <w:pPr>
        <w:pStyle w:val="NormalWeb"/>
        <w:bidi w:val="0"/>
        <w:spacing w:before="0" w:beforeAutospacing="0" w:after="0" w:afterAutospacing="0"/>
        <w:jc w:val="center"/>
        <w:rPr>
          <w:rFonts w:ascii="Times New Roman" w:hAnsi="Times New Roman"/>
          <w:b/>
          <w:bCs/>
          <w:sz w:val="28"/>
          <w:szCs w:val="28"/>
        </w:rPr>
      </w:pPr>
      <w:r w:rsidRPr="00C579E9">
        <w:rPr>
          <w:rFonts w:ascii="Times New Roman" w:hAnsi="Times New Roman"/>
          <w:b/>
          <w:bCs/>
          <w:sz w:val="28"/>
          <w:szCs w:val="28"/>
        </w:rPr>
        <w:t>Doložka vybraných vplyvov</w:t>
      </w:r>
    </w:p>
    <w:p w:rsidR="008B658A" w:rsidP="008B658A">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BE26DF" w:rsidP="00E324D7">
            <w:pPr>
              <w:bidi w:val="0"/>
              <w:rPr>
                <w:rFonts w:ascii="Times" w:hAnsi="Times" w:cs="Times"/>
                <w:szCs w:val="20"/>
              </w:rPr>
            </w:pPr>
            <w:r w:rsidRPr="00BE26DF">
              <w:rPr>
                <w:rFonts w:ascii="Times" w:hAnsi="Times" w:cs="Times"/>
                <w:szCs w:val="20"/>
              </w:rPr>
              <w:t xml:space="preserve">Zákon, ktorým sa mení a dopĺňa zákon č. 480/2002 Z. z. o azyle a o zmene a doplnení niektorých zákonov  v znení neskorších predpisov </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BE26DF" w:rsidP="00E324D7">
            <w:pPr>
              <w:bidi w:val="0"/>
              <w:rPr>
                <w:rFonts w:ascii="Times" w:hAnsi="Times" w:cs="Times"/>
                <w:szCs w:val="20"/>
              </w:rPr>
            </w:pPr>
            <w:r w:rsidRPr="00BE26DF">
              <w:rPr>
                <w:rFonts w:ascii="Times" w:hAnsi="Times" w:cs="Times"/>
                <w:szCs w:val="20"/>
              </w:rPr>
              <w:t>minister vnútra Slovenskej republiky</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8B658A" w:rsidP="00E324D7">
            <w:pPr>
              <w:bidi w:val="0"/>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293"/>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sz w:val="20"/>
                <w:szCs w:val="20"/>
              </w:rPr>
            </w:pPr>
            <w:r>
              <w:rPr>
                <w:rFonts w:ascii="Times" w:hAnsi="Times" w:cs="Times"/>
                <w:sz w:val="20"/>
                <w:szCs w:val="20"/>
              </w:rPr>
              <w:t xml:space="preserve"> Začiatok:    </w:t>
              <w:br/>
              <w:t xml:space="preserve"> Ukončenie: </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BE26DF" w:rsidP="00E324D7">
            <w:pPr>
              <w:bidi w:val="0"/>
              <w:rPr>
                <w:rFonts w:ascii="Times" w:hAnsi="Times" w:cs="Times"/>
                <w:szCs w:val="20"/>
              </w:rPr>
            </w:pPr>
            <w:r>
              <w:rPr>
                <w:rFonts w:ascii="Times" w:hAnsi="Times" w:cs="Times"/>
                <w:szCs w:val="20"/>
              </w:rPr>
              <w:t xml:space="preserve"> </w:t>
            </w:r>
            <w:r w:rsidRPr="00BE26DF">
              <w:rPr>
                <w:rFonts w:ascii="Times" w:hAnsi="Times" w:cs="Times"/>
                <w:szCs w:val="20"/>
              </w:rPr>
              <w:t>3.– 23. januára 2018</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BE26DF" w:rsidP="00E324D7">
            <w:pPr>
              <w:bidi w:val="0"/>
              <w:rPr>
                <w:rFonts w:ascii="Times" w:hAnsi="Times" w:cs="Times"/>
                <w:szCs w:val="20"/>
              </w:rPr>
            </w:pPr>
            <w:r>
              <w:rPr>
                <w:rFonts w:ascii="Times" w:hAnsi="Times" w:cs="Times"/>
                <w:szCs w:val="20"/>
              </w:rPr>
              <w:t xml:space="preserve"> </w:t>
            </w:r>
            <w:r w:rsidRPr="00BE26DF">
              <w:rPr>
                <w:rFonts w:ascii="Times" w:hAnsi="Times" w:cs="Times"/>
                <w:szCs w:val="20"/>
              </w:rPr>
              <w:t>marec 2018</w:t>
            </w:r>
          </w:p>
        </w:tc>
      </w:tr>
    </w:tbl>
    <w:p w:rsidR="008B658A" w:rsidP="008B658A">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sz w:val="20"/>
                <w:szCs w:val="20"/>
              </w:rPr>
            </w:pPr>
            <w:r>
              <w:rPr>
                <w:rFonts w:ascii="Times" w:hAnsi="Times" w:cs="Times"/>
                <w:sz w:val="20"/>
                <w:szCs w:val="20"/>
              </w:rPr>
              <w:t>Uveďte základné problémy, na ktoré navrhovaná regulácia reaguje.</w:t>
              <w:br/>
              <w:t xml:space="preserve">Potreba dokončenia transpozície smernice Európskeho parlamentu a Rady 2013/32/EÚ do právneho poriadku Slovenskej republiky, konkrétne článku 31 ods. 3 až 5, ktoré sa týkajú lehôt na rozhodovanie a podmienok ich predlžovania. </w:t>
              <w:br/>
              <w:t xml:space="preserve">Nie úplne jednoznačný výklad niektorých ustanovení zákona o azyle vzhľadom na definíciu žiadateľa v § 2 písm. h) zákona o azyle, ako aj skutočnosť, že niektoré práva a povinnosti sú viazané na obdobie počas trvania, resp. skončenia konania o azyle, je potrebné jednoznačne určiť, ktoré práva a povinnosti sa vzťahujú na osobu, keď je v postavení žiadateľa, a ktoré, keď je v postavení len cudzinca. </w:t>
              <w:br/>
              <w:t xml:space="preserve">Nedostatočné oznamovanie (zo strany azylantov, resp. cudzincov, ktorým bola poskytnutá doplnková ochrana na území SR) tých skutočností, ktoré majú vplyv na trvanie azylu alebo doplnkovej ochrany, spôsobené čiastočnou absenciou takejto povinnosti v zákone o azyle v prípade azylantov, ale najmä cudzincov, ktorým sa poskytla doplnková ochrana. </w:t>
              <w:br/>
              <w:t xml:space="preserve">Duplicita rovnakých, resp. obdobných statusov udelených osobe v rámci dvoch členských štátov Európskej únie. Aj keď ide len o výnimočné prípady, nie je možné vylúčiť situáciu, že azylantovi môže byť následne udelený azyl z dôvodu prenasledovania aj v inom členskom štáte Európskej únie, resp. cudzincovi, ktorému bola poskytnutá doplnková ochrana, môže byť následne udelený azyl z dôvodu prenasledovania alebo poskytnutá doplnková ochrana z dôvodu vážneho bezprávia aj v inom členskom štáte Európskej únie. </w:t>
              <w:br/>
              <w:t>Duplicita pobytových statusov. Osoba, ktorej sa udelí azyl z humanitných dôvodov alebo na účel zlúčenia rodiny má na území SR trvalý pobyt a cudzinec, ktorému sa poskytla doplnková ochrana na účel zlúčenia rodiny má na území SR prechodný pobyt. Nie je potrebné a ani žiaduce, aby v prípade, ak sa tejto osobe následne udelí pobyt bez časového obmedzenia v inom štáte,  mala naďalej vyššie uvedený status v SR.</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sz w:val="20"/>
                <w:szCs w:val="20"/>
              </w:rPr>
            </w:pPr>
            <w:r>
              <w:rPr>
                <w:rFonts w:ascii="Times" w:hAnsi="Times" w:cs="Times"/>
                <w:sz w:val="20"/>
                <w:szCs w:val="20"/>
              </w:rPr>
              <w:t xml:space="preserve">Premietnutie príslušných ustanovení smernice Európskeho parlamentu a Rady 2013/32/EÚ do právneho poriadku Slovenskej republiky, a tým ukončenie transpozície predmetnej smernice, a tiež zavŕšenie druhej etapy budovania spoločného európskeho azylového systému. </w:t>
              <w:br/>
              <w:t xml:space="preserve">Precizovanie ustanovení zákona o azyle vyplývajúce z aplikačnej praxe. </w:t>
              <w:br/>
              <w:t xml:space="preserve">Zabezpečenie oznamovania tých skutočností, ktoré majú vplyv na trvanie azylu alebo doplnkovej ochrany. Zjednodušenie zániku medzinárodnej ochrany (azylu alebo doplnkovej ochrany) v prípade nadobudnutia štátneho občianstva iného členského štátu Európskej únie. Navrhuje sa, aby rovnako ako v prípade nadobudnutia štátneho občianstva Slovenskej republiky, aj nadobudnutie štátneho občianstva iného členského štátu Európskej únie bolo dôvodom na zánik azylu, resp. zánik doplnkovej ochrany priamo zo zákona. </w:t>
              <w:br/>
              <w:t xml:space="preserve">Vyriešenie otázky duplicity jednotlivých foriem medzinárodnej ochrany poskytnutých v členských štátoch Európskej únie. Nie je potrebné, a ani žiaduce, aby mala osoba aj naďalej niektorú z foriem medzinárodnej ochrany (azyl, resp. doplnkovú ochranu) na území SR, ak je jej neskôr udelená rovnocenná alebo vyššia forma medzinárodnej ochrany v inom členskom štáte Európskej únie. </w:t>
              <w:br/>
              <w:t>Ukončenie trvania azylu z humanitných dôvodov alebo na účel zlúčenia rodiny alebo trvania doplnkovej ochrany na účel zlúčenia rodiny za situácie, že osobe, ktorá má takýto status poskytnutý na území SR, sa následne udelí pobyt bez časového obmedzenia v inom štáte</w:t>
            </w:r>
            <w:r w:rsidRPr="00040ECF">
              <w:rPr>
                <w:rFonts w:ascii="Times" w:hAnsi="Times" w:cs="Times"/>
                <w:sz w:val="20"/>
                <w:szCs w:val="20"/>
              </w:rPr>
              <w:t>.</w:t>
            </w:r>
            <w:r>
              <w:rPr>
                <w:rFonts w:ascii="Times" w:hAnsi="Times" w:cs="Times"/>
                <w:sz w:val="20"/>
                <w:szCs w:val="20"/>
              </w:rPr>
              <w:t xml:space="preserve">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sz w:val="20"/>
                <w:szCs w:val="20"/>
              </w:rPr>
            </w:pPr>
            <w:r>
              <w:rPr>
                <w:rFonts w:ascii="Times" w:hAnsi="Times" w:cs="Times"/>
                <w:sz w:val="20"/>
                <w:szCs w:val="20"/>
              </w:rPr>
              <w:t>- žiadatelia o udelenie azylu v Slovenskej republike</w:t>
              <w:br/>
              <w:t>- cudzinci, ktorým bol udelený azyl v Slovenskej republike (azylanti),</w:t>
              <w:br/>
              <w:t>- cudzinci, ktorým bola poskytnutá doplnková ochrana v Slovenskej republike,</w:t>
              <w:br/>
              <w:t>- cudzinci v konaní o odovzdaní do iného štátu, atď.</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BA6A5E" w:rsidP="00E324D7">
            <w:pPr>
              <w:bidi w:val="0"/>
              <w:rPr>
                <w:rFonts w:ascii="Times" w:hAnsi="Times" w:cs="Times"/>
                <w:bCs/>
                <w:sz w:val="20"/>
                <w:szCs w:val="20"/>
              </w:rPr>
            </w:pPr>
            <w:r w:rsidRPr="00BA6A5E">
              <w:rPr>
                <w:rFonts w:ascii="Times" w:hAnsi="Times" w:cs="Times"/>
                <w:bCs/>
                <w:sz w:val="20"/>
                <w:szCs w:val="20"/>
              </w:rPr>
              <w:t xml:space="preserve">Neboli posudzované alternatívne riešenia.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BA6A5E" w:rsidP="00E324D7">
            <w:pPr>
              <w:bidi w:val="0"/>
              <w:rPr>
                <w:rFonts w:ascii="Times" w:hAnsi="Times" w:cs="Times"/>
                <w:bCs/>
                <w:sz w:val="20"/>
                <w:szCs w:val="20"/>
              </w:rPr>
            </w:pPr>
            <w:r w:rsidRPr="00BA6A5E">
              <w:rPr>
                <w:rFonts w:ascii="Times" w:hAnsi="Times" w:cs="Times"/>
                <w:bCs/>
                <w:sz w:val="20"/>
                <w:szCs w:val="20"/>
              </w:rPr>
              <w:t xml:space="preserve">Návrhom zákona sa dokončuje transpozícia smernice Európskeho parlamentu a Rady 2013/32/EÚ o spoločných konaniach o poskytnutí a odnímaní medzinárodnej ochrany (prepracované znenie), konkrétne premietnutím článku 31 ods. 3 až 5 do slovenského právneho poriadku. Nedochádza k rozšíreniu pôsobnosti smernice.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2B7DA0" w:rsidP="00E324D7">
            <w:pPr>
              <w:bidi w:val="0"/>
              <w:rPr>
                <w:rFonts w:ascii="Times" w:hAnsi="Times" w:cs="Times"/>
                <w:b/>
                <w:bCs/>
                <w:sz w:val="20"/>
                <w:szCs w:val="20"/>
              </w:rPr>
            </w:pPr>
          </w:p>
        </w:tc>
      </w:tr>
    </w:tbl>
    <w:p w:rsidR="008B658A" w:rsidP="008B658A">
      <w:pPr>
        <w:pStyle w:val="NormalWeb"/>
        <w:bidi w:val="0"/>
        <w:spacing w:before="0" w:beforeAutospacing="0" w:after="0" w:afterAutospacing="0"/>
        <w:rPr>
          <w:rFonts w:ascii="Times New Roman" w:hAnsi="Times New Roman"/>
          <w:bCs/>
          <w:sz w:val="22"/>
          <w:szCs w:val="22"/>
        </w:rPr>
      </w:pPr>
    </w:p>
    <w:p w:rsidR="008B658A" w:rsidRPr="00543B8E" w:rsidP="008B658A">
      <w:pPr>
        <w:bidi w:val="0"/>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8B658A" w:rsidP="008B658A">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8B658A" w:rsidP="008B658A">
      <w:pPr>
        <w:pStyle w:val="NormalWeb"/>
        <w:bidi w:val="0"/>
        <w:spacing w:before="0" w:beforeAutospacing="0" w:after="0" w:afterAutospacing="0"/>
        <w:rPr>
          <w:rFonts w:ascii="Times New Roman" w:hAnsi="Times New Roman"/>
          <w:sz w:val="20"/>
          <w:szCs w:val="20"/>
        </w:rPr>
      </w:pPr>
    </w:p>
    <w:p w:rsidR="00C63335" w:rsidP="008B658A">
      <w:pPr>
        <w:pStyle w:val="NormalWeb"/>
        <w:bidi w:val="0"/>
        <w:spacing w:before="0" w:beforeAutospacing="0" w:after="0" w:afterAutospacing="0"/>
        <w:rPr>
          <w:rFonts w:ascii="Times New Roman" w:hAnsi="Times New Roman"/>
          <w:sz w:val="20"/>
          <w:szCs w:val="20"/>
        </w:rPr>
      </w:pPr>
    </w:p>
    <w:p w:rsidR="008B658A" w:rsidP="008B658A">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3"/>
        <w:gridCol w:w="1818"/>
        <w:gridCol w:w="1818"/>
        <w:gridCol w:w="1819"/>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8B658A" w:rsidP="00E324D7">
            <w:pPr>
              <w:bidi w:val="0"/>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8B658A" w:rsidP="00E324D7">
            <w:pPr>
              <w:bidi w:val="0"/>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8B658A" w:rsidP="00E324D7">
            <w:pPr>
              <w:bidi w:val="0"/>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8B658A" w:rsidP="00E324D7">
            <w:pPr>
              <w:bidi w:val="0"/>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8B658A" w:rsidP="00E324D7">
            <w:pPr>
              <w:bidi w:val="0"/>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8B658A" w:rsidP="00E324D7">
            <w:pPr>
              <w:bidi w:val="0"/>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8B658A" w:rsidP="00E324D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10.  Poznámky</w:t>
            </w:r>
          </w:p>
        </w:tc>
      </w:tr>
      <w:tr>
        <w:tblPrEx>
          <w:tblW w:w="5000" w:type="pct"/>
          <w:jc w:val="center"/>
          <w:tblCellMar>
            <w:left w:w="0" w:type="dxa"/>
            <w:right w:w="0" w:type="dxa"/>
          </w:tblCellMar>
          <w:tblLook w:val="04A0"/>
        </w:tblPrEx>
        <w:trPr>
          <w:trHeight w:val="332"/>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b/>
                <w:bCs/>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sz w:val="20"/>
                <w:szCs w:val="20"/>
              </w:rPr>
            </w:pPr>
            <w:r>
              <w:rPr>
                <w:rFonts w:ascii="Times" w:hAnsi="Times" w:cs="Times"/>
                <w:sz w:val="20"/>
                <w:szCs w:val="20"/>
              </w:rPr>
              <w:t xml:space="preserve">Mgr. Dominika Marková – hlavný štátny radca organizačného a právneho odboru migračného úradu Ministerstva vnútra Slovenskej republiky. Tel. 02/48254102, e-mail </w:t>
            </w:r>
            <w:hyperlink r:id="rId5" w:history="1">
              <w:r w:rsidRPr="00CD5C5D">
                <w:rPr>
                  <w:rStyle w:val="Hyperlink"/>
                  <w:rFonts w:ascii="Times" w:hAnsi="Times" w:cs="Times"/>
                  <w:sz w:val="20"/>
                  <w:szCs w:val="20"/>
                </w:rPr>
                <w:t>dominika.markova@minv.sk</w:t>
              </w:r>
            </w:hyperlink>
            <w:r>
              <w:rPr>
                <w:rFonts w:ascii="Times" w:hAnsi="Times" w:cs="Times"/>
                <w:sz w:val="20"/>
                <w:szCs w:val="20"/>
              </w:rPr>
              <w:t xml:space="preserve"> .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8B658A" w:rsidRPr="00BA6A5E" w:rsidP="00E324D7">
            <w:pPr>
              <w:bidi w:val="0"/>
              <w:rPr>
                <w:bCs/>
                <w:sz w:val="20"/>
                <w:szCs w:val="20"/>
              </w:rPr>
            </w:pPr>
            <w:r w:rsidRPr="00BA6A5E">
              <w:rPr>
                <w:bCs/>
                <w:sz w:val="20"/>
                <w:szCs w:val="20"/>
              </w:rPr>
              <w:t xml:space="preserve">Informačný systém MV SR (IS MIGRA).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8B658A" w:rsidP="00E324D7">
            <w:pPr>
              <w:bidi w:val="0"/>
              <w:rPr>
                <w:rFonts w:ascii="Times" w:hAnsi="Times" w:cs="Times"/>
                <w:b/>
                <w:bCs/>
              </w:rPr>
            </w:pPr>
            <w:r>
              <w:rPr>
                <w:rFonts w:ascii="Times" w:hAnsi="Times" w:cs="Times"/>
                <w:b/>
                <w:bCs/>
              </w:rPr>
              <w:t>  13.  Stanovisko Komisie pre posudzovanie vybraných vplyvov z PPK</w:t>
            </w:r>
          </w:p>
        </w:tc>
      </w:tr>
      <w:tr>
        <w:tblPrEx>
          <w:tblW w:w="5000" w:type="pct"/>
          <w:jc w:val="center"/>
          <w:tblCellMar>
            <w:left w:w="0" w:type="dxa"/>
            <w:right w:w="0" w:type="dxa"/>
          </w:tblCellMar>
          <w:tblLook w:val="04A0"/>
        </w:tblPrEx>
        <w:trPr>
          <w:trHeight w:val="777"/>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8B658A" w:rsidP="00E324D7">
            <w:pPr>
              <w:bidi w:val="0"/>
              <w:rPr>
                <w:rFonts w:ascii="Times" w:hAnsi="Times" w:cs="Times"/>
                <w:b/>
                <w:bCs/>
              </w:rPr>
            </w:pPr>
          </w:p>
        </w:tc>
      </w:tr>
    </w:tbl>
    <w:p w:rsidR="008B658A" w:rsidRPr="00543B8E" w:rsidP="008B658A">
      <w:pPr>
        <w:pStyle w:val="NormalWeb"/>
        <w:bidi w:val="0"/>
        <w:spacing w:before="0" w:beforeAutospacing="0" w:after="0" w:afterAutospacing="0"/>
        <w:rPr>
          <w:rFonts w:ascii="Times New Roman" w:hAnsi="Times New Roman"/>
          <w:bCs/>
          <w:sz w:val="20"/>
          <w:szCs w:val="20"/>
        </w:rPr>
      </w:pPr>
    </w:p>
    <w:p w:rsidR="008B658A" w:rsidP="00C444C9">
      <w:pPr>
        <w:bidi w:val="0"/>
        <w:spacing w:after="0" w:line="240" w:lineRule="auto"/>
        <w:jc w:val="both"/>
        <w:rPr>
          <w:rFonts w:ascii="Times New Roman" w:hAnsi="Times New Roman"/>
          <w:b/>
          <w:sz w:val="24"/>
          <w:szCs w:val="24"/>
        </w:rPr>
      </w:pPr>
    </w:p>
    <w:p w:rsidR="007A518C" w:rsidP="00C63335">
      <w:pPr>
        <w:bidi w:val="0"/>
        <w:rPr>
          <w:rFonts w:ascii="Times New Roman" w:hAnsi="Times New Roman"/>
          <w:b/>
          <w:sz w:val="24"/>
          <w:szCs w:val="24"/>
        </w:rPr>
      </w:pPr>
      <w:r w:rsidR="00013B50">
        <w:rPr>
          <w:rFonts w:ascii="Times New Roman" w:hAnsi="Times New Roman"/>
          <w:b/>
          <w:sz w:val="24"/>
          <w:szCs w:val="24"/>
        </w:rPr>
        <w:br w:type="page"/>
      </w:r>
      <w:r>
        <w:rPr>
          <w:rFonts w:ascii="Times New Roman" w:hAnsi="Times New Roman"/>
          <w:b/>
          <w:sz w:val="24"/>
          <w:szCs w:val="24"/>
        </w:rPr>
        <w:t>B</w:t>
      </w:r>
      <w:r w:rsidRPr="00C444C9">
        <w:rPr>
          <w:rFonts w:ascii="Times New Roman" w:hAnsi="Times New Roman"/>
          <w:b/>
          <w:sz w:val="24"/>
          <w:szCs w:val="24"/>
        </w:rPr>
        <w:t xml:space="preserve">. </w:t>
      </w:r>
      <w:r>
        <w:rPr>
          <w:rFonts w:ascii="Times New Roman" w:hAnsi="Times New Roman"/>
          <w:b/>
          <w:sz w:val="24"/>
          <w:szCs w:val="24"/>
        </w:rPr>
        <w:t>Osobitná</w:t>
      </w:r>
      <w:r w:rsidRPr="00C444C9">
        <w:rPr>
          <w:rFonts w:ascii="Times New Roman" w:hAnsi="Times New Roman"/>
          <w:b/>
          <w:sz w:val="24"/>
          <w:szCs w:val="24"/>
        </w:rPr>
        <w:t xml:space="preserve"> časť</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u w:val="single"/>
        </w:rPr>
      </w:pPr>
      <w:r w:rsidRPr="0006235C">
        <w:rPr>
          <w:rFonts w:ascii="Times New Roman" w:hAnsi="Times New Roman"/>
          <w:b/>
          <w:sz w:val="24"/>
          <w:szCs w:val="24"/>
          <w:u w:val="single"/>
        </w:rPr>
        <w:t>K čl. I</w:t>
      </w:r>
    </w:p>
    <w:p w:rsidR="007A518C" w:rsidP="007A518C">
      <w:pPr>
        <w:bidi w:val="0"/>
        <w:spacing w:after="0" w:line="240" w:lineRule="auto"/>
        <w:jc w:val="both"/>
        <w:rPr>
          <w:rFonts w:ascii="Times New Roman" w:hAnsi="Times New Roman"/>
          <w:b/>
          <w:sz w:val="24"/>
          <w:szCs w:val="24"/>
          <w:u w:val="single"/>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1 (§ 3 ods. 4)</w:t>
      </w:r>
    </w:p>
    <w:p w:rsidR="007A518C" w:rsidRPr="00990016"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S cieľom predísť </w:t>
      </w:r>
      <w:r w:rsidRPr="00033B41">
        <w:rPr>
          <w:rFonts w:ascii="Times New Roman" w:hAnsi="Times New Roman"/>
          <w:sz w:val="24"/>
          <w:szCs w:val="24"/>
        </w:rPr>
        <w:t xml:space="preserve">prípadným nejasnostiam pri výklade tohto ustanovenia, je potrebné </w:t>
      </w:r>
      <w:r>
        <w:rPr>
          <w:rFonts w:ascii="Times New Roman" w:hAnsi="Times New Roman"/>
          <w:sz w:val="24"/>
          <w:szCs w:val="24"/>
        </w:rPr>
        <w:t>ho</w:t>
      </w:r>
      <w:r w:rsidRPr="00033B41">
        <w:rPr>
          <w:rFonts w:ascii="Times New Roman" w:hAnsi="Times New Roman"/>
          <w:sz w:val="24"/>
          <w:szCs w:val="24"/>
        </w:rPr>
        <w:t xml:space="preserve"> upraviť tak, aby povinnosť policajného útvaru na požiadanie vrátiť cudzincovi zadržané doklady bola podmienená skutočnosťou, že cudzinec už nie je žiadateľom a nie ukončením konania o udelenie azylu.</w:t>
      </w:r>
      <w:r>
        <w:rPr>
          <w:rFonts w:ascii="Times New Roman" w:hAnsi="Times New Roman"/>
          <w:sz w:val="24"/>
          <w:szCs w:val="24"/>
        </w:rPr>
        <w:t xml:space="preserve"> Uvedená zmena sa navrhuje z dôvodu, že konanie o udelenie azylu je právoplatne ukončené už doručením rozhodnutia, ktoré bolo vydané v tomto konaní, pričom podľa § 2 písm. h) zákona o azyle sa žiadateľom o udelenie azylu rozumie cudzinec aj počas lehoty na podanie správnej žaloby, resp. kasačnej sťažnosti, ako aj počas konania o tejto správnej žalobe, resp. kasačnej sťažnosti, bez ohľadu na to, či súd prizná alebo neprizná správnej žalobe, resp. kasačnej sťažnosti odkladný účinok.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2 [§ 4 ods. 2, § 10 ods. 2, § 13b ods. 2, § 23 ods. 4 písm. a) a i)]</w:t>
      </w:r>
    </w:p>
    <w:p w:rsidR="007A518C" w:rsidRPr="00F12267"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sidRPr="00F12267">
        <w:rPr>
          <w:rFonts w:ascii="Times New Roman" w:hAnsi="Times New Roman"/>
          <w:sz w:val="24"/>
          <w:szCs w:val="24"/>
        </w:rPr>
        <w:t xml:space="preserve">Navrhuje sa úprava predmetných ustanovení prostredníctvom vypustenia slov „počas konania o udelenie azylu“ z dôvodu, že </w:t>
      </w:r>
      <w:r>
        <w:rPr>
          <w:rFonts w:ascii="Times New Roman" w:hAnsi="Times New Roman"/>
          <w:sz w:val="24"/>
          <w:szCs w:val="24"/>
        </w:rPr>
        <w:t>práva, povinností, kritériá,</w:t>
      </w:r>
      <w:r w:rsidRPr="00F12267">
        <w:rPr>
          <w:rFonts w:ascii="Times New Roman" w:hAnsi="Times New Roman"/>
          <w:sz w:val="24"/>
          <w:szCs w:val="24"/>
        </w:rPr>
        <w:t xml:space="preserve"> atď. vymedzené v týchto ustanoveniach nie je možné limitovať, rovnako ako v prípade uvedenom v bode 1, iba na čas konania o udelenie azylu, ale je potrebné brať do úvahy dlhšie obdobie v súvislosti s definíciou žiadateľa o udelenie podľa § 2 písm. h)</w:t>
      </w:r>
      <w:r>
        <w:rPr>
          <w:rFonts w:ascii="Times New Roman" w:hAnsi="Times New Roman"/>
          <w:sz w:val="24"/>
          <w:szCs w:val="24"/>
        </w:rPr>
        <w:t xml:space="preserve"> zákona o azyle</w:t>
      </w:r>
      <w:r w:rsidRPr="00F12267">
        <w:rPr>
          <w:rFonts w:ascii="Times New Roman" w:hAnsi="Times New Roman"/>
          <w:sz w:val="24"/>
          <w:szCs w:val="24"/>
        </w:rPr>
        <w:t>. Žiadateľom sa podľa tohto ustanovenia rozumie cudzinec, ktorý na útvare policajného zboru vyhlási, že žiada o udelenie azylu alebo poskytnutie doplnkovej ochrany na území Slovenskej republiky</w:t>
      </w:r>
      <w:r>
        <w:rPr>
          <w:rFonts w:ascii="Times New Roman" w:hAnsi="Times New Roman"/>
          <w:sz w:val="24"/>
          <w:szCs w:val="24"/>
        </w:rPr>
        <w:t xml:space="preserve"> alebo iná osoba o ktorej to ustanovuje tento zákon, a to </w:t>
      </w:r>
      <w:r w:rsidRPr="00F12267">
        <w:rPr>
          <w:rFonts w:ascii="Times New Roman" w:hAnsi="Times New Roman"/>
          <w:sz w:val="24"/>
          <w:szCs w:val="24"/>
        </w:rPr>
        <w:t>nielen počas konania o udelenie azylu</w:t>
      </w:r>
      <w:r>
        <w:rPr>
          <w:rFonts w:ascii="Times New Roman" w:hAnsi="Times New Roman"/>
          <w:sz w:val="24"/>
          <w:szCs w:val="24"/>
        </w:rPr>
        <w:t>, ale</w:t>
      </w:r>
      <w:r w:rsidRPr="00F12267">
        <w:rPr>
          <w:rFonts w:ascii="Times New Roman" w:hAnsi="Times New Roman"/>
          <w:sz w:val="24"/>
          <w:szCs w:val="24"/>
        </w:rPr>
        <w:t xml:space="preserve"> aj počas lehoty na podanie správnej žaloby proti rozhodnutiu ministerstva vnútra vydanému v konaní o udelenie azylu, resp. kasačnej sťažnosti, ako aj počas konania o správnej žalobe, resp. kasačnej sťažnosti, bez ohľadu na to, či súd prizná alebo neprizná správnej žalobe, resp. kasačnej sťažnosti odkladný účinok.     </w:t>
      </w:r>
    </w:p>
    <w:p w:rsidR="007A518C" w:rsidP="007A518C">
      <w:pPr>
        <w:bidi w:val="0"/>
        <w:spacing w:after="0" w:line="240" w:lineRule="auto"/>
        <w:jc w:val="both"/>
        <w:rPr>
          <w:rFonts w:ascii="Times New Roman" w:hAnsi="Times New Roman"/>
          <w:b/>
          <w:sz w:val="24"/>
          <w:szCs w:val="24"/>
        </w:rPr>
      </w:pPr>
    </w:p>
    <w:p w:rsidR="007A518C" w:rsidRPr="00DB77A1" w:rsidP="007A518C">
      <w:pPr>
        <w:bidi w:val="0"/>
        <w:spacing w:after="0" w:line="240" w:lineRule="auto"/>
        <w:jc w:val="both"/>
        <w:rPr>
          <w:rFonts w:ascii="Times New Roman" w:hAnsi="Times New Roman"/>
          <w:b/>
          <w:sz w:val="24"/>
          <w:szCs w:val="24"/>
        </w:rPr>
      </w:pPr>
      <w:r w:rsidRPr="00DB77A1">
        <w:rPr>
          <w:rFonts w:ascii="Times New Roman" w:hAnsi="Times New Roman"/>
          <w:b/>
          <w:sz w:val="24"/>
          <w:szCs w:val="24"/>
        </w:rPr>
        <w:t>K bodu 3 (§ 5 ods. 1)</w:t>
      </w:r>
    </w:p>
    <w:p w:rsidR="007A518C" w:rsidRPr="00DB77A1" w:rsidP="007A518C">
      <w:pPr>
        <w:bidi w:val="0"/>
        <w:spacing w:after="0" w:line="240" w:lineRule="auto"/>
        <w:jc w:val="both"/>
        <w:rPr>
          <w:rFonts w:ascii="Times New Roman" w:hAnsi="Times New Roman"/>
          <w:sz w:val="24"/>
          <w:szCs w:val="24"/>
        </w:rPr>
      </w:pPr>
      <w:r w:rsidRPr="00DB77A1">
        <w:rPr>
          <w:rFonts w:ascii="Times New Roman" w:hAnsi="Times New Roman"/>
          <w:b/>
          <w:sz w:val="24"/>
          <w:szCs w:val="24"/>
        </w:rPr>
        <w:tab/>
      </w:r>
      <w:r w:rsidRPr="00DB77A1">
        <w:rPr>
          <w:rFonts w:ascii="Times New Roman" w:hAnsi="Times New Roman"/>
          <w:sz w:val="24"/>
          <w:szCs w:val="24"/>
        </w:rPr>
        <w:t xml:space="preserve">Z obdobných dôvodov, aké sú uvedené v bodoch 1 a 2, sa z predmetného ustanovenia navrhuje vypustenie slov „na čas konania o udelenie azylu“. Preukaz žiadateľa má mať žiadateľ k dispozícií nielen počas konania o udelenie azylu, ale tiež po jeho skončení, kým je cudzinec žiadateľom.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w:t>
      </w:r>
      <w:r w:rsidRPr="00613CED">
        <w:rPr>
          <w:rFonts w:ascii="Times New Roman" w:hAnsi="Times New Roman"/>
          <w:b/>
          <w:sz w:val="24"/>
          <w:szCs w:val="24"/>
        </w:rPr>
        <w:t>bodu 4</w:t>
      </w:r>
      <w:r>
        <w:rPr>
          <w:rFonts w:ascii="Times New Roman" w:hAnsi="Times New Roman"/>
          <w:b/>
          <w:sz w:val="24"/>
          <w:szCs w:val="24"/>
        </w:rPr>
        <w:t xml:space="preserve"> [§ 11 ods. 4 písm. c) a § 12 ods. 5 písm. c)]</w:t>
      </w: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V predmetných ustanoveniach sa navrhuje nahradenie pojmu „opravný prostriedok“ pojmom „správna žaloba“ z dôvodu zosúladenia terminológie s ostatnými ustanoveniami zákona o azyle a zákona č. 162/2015 Z. z. Správny súdny poriadok.   </w:t>
      </w:r>
    </w:p>
    <w:p w:rsidR="007A518C" w:rsidP="007A518C">
      <w:pPr>
        <w:bidi w:val="0"/>
        <w:spacing w:after="0" w:line="240" w:lineRule="auto"/>
        <w:jc w:val="both"/>
        <w:rPr>
          <w:rFonts w:ascii="Times New Roman" w:hAnsi="Times New Roman"/>
          <w:sz w:val="24"/>
          <w:szCs w:val="24"/>
        </w:rPr>
      </w:pPr>
    </w:p>
    <w:p w:rsidR="007A518C" w:rsidP="007A518C">
      <w:pPr>
        <w:bidi w:val="0"/>
        <w:spacing w:after="0" w:line="240" w:lineRule="auto"/>
        <w:jc w:val="both"/>
        <w:rPr>
          <w:rFonts w:ascii="Times New Roman" w:hAnsi="Times New Roman"/>
          <w:b/>
          <w:sz w:val="24"/>
          <w:szCs w:val="24"/>
        </w:rPr>
      </w:pPr>
      <w:r w:rsidRPr="003E5717">
        <w:rPr>
          <w:rFonts w:ascii="Times New Roman" w:hAnsi="Times New Roman"/>
          <w:b/>
          <w:sz w:val="24"/>
          <w:szCs w:val="24"/>
        </w:rPr>
        <w:t>K bodom 5</w:t>
      </w:r>
      <w:r w:rsidRPr="004F1A65">
        <w:rPr>
          <w:rFonts w:ascii="Times New Roman" w:hAnsi="Times New Roman"/>
          <w:b/>
          <w:sz w:val="24"/>
          <w:szCs w:val="24"/>
        </w:rPr>
        <w:t xml:space="preserve"> </w:t>
      </w:r>
      <w:r w:rsidRPr="003E5717">
        <w:rPr>
          <w:rFonts w:ascii="Times New Roman" w:hAnsi="Times New Roman"/>
          <w:b/>
          <w:sz w:val="24"/>
          <w:szCs w:val="24"/>
        </w:rPr>
        <w:t>a 6</w:t>
      </w:r>
      <w:r>
        <w:rPr>
          <w:rFonts w:ascii="Times New Roman" w:hAnsi="Times New Roman"/>
          <w:b/>
          <w:sz w:val="24"/>
          <w:szCs w:val="24"/>
        </w:rPr>
        <w:t xml:space="preserve"> [§ 13 ods. 5 písm. a) a b), § 14 ods. 1 písm. g), </w:t>
      </w:r>
      <w:r w:rsidRPr="00E56F6B">
        <w:rPr>
          <w:rFonts w:ascii="Times New Roman" w:hAnsi="Times New Roman"/>
          <w:b/>
          <w:sz w:val="24"/>
          <w:szCs w:val="24"/>
        </w:rPr>
        <w:t>§ 15 ods. 3 písm. b)</w:t>
      </w:r>
      <w:r>
        <w:rPr>
          <w:rFonts w:ascii="Times New Roman" w:hAnsi="Times New Roman"/>
          <w:b/>
          <w:sz w:val="24"/>
          <w:szCs w:val="24"/>
        </w:rPr>
        <w:t xml:space="preserve"> a § 15a ods. 1 písm. i</w:t>
      </w:r>
      <w:r w:rsidRPr="00E56F6B">
        <w:rPr>
          <w:rFonts w:ascii="Times New Roman" w:hAnsi="Times New Roman"/>
          <w:b/>
          <w:sz w:val="24"/>
          <w:szCs w:val="24"/>
        </w:rPr>
        <w:t>)]</w:t>
      </w: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sidRPr="003E5717">
        <w:rPr>
          <w:rFonts w:ascii="Times New Roman" w:hAnsi="Times New Roman"/>
          <w:sz w:val="24"/>
          <w:szCs w:val="24"/>
        </w:rPr>
        <w:t xml:space="preserve">Ide o legislatívno-technickú </w:t>
      </w:r>
      <w:r>
        <w:rPr>
          <w:rFonts w:ascii="Times New Roman" w:hAnsi="Times New Roman"/>
          <w:sz w:val="24"/>
          <w:szCs w:val="24"/>
        </w:rPr>
        <w:t>úpravu z dôvodu doplnenia nového písmena.</w:t>
      </w:r>
    </w:p>
    <w:p w:rsidR="007A518C" w:rsidRPr="003E5717" w:rsidP="007A518C">
      <w:pPr>
        <w:bidi w:val="0"/>
        <w:spacing w:after="0" w:line="240" w:lineRule="auto"/>
        <w:jc w:val="both"/>
        <w:rPr>
          <w:rFonts w:ascii="Times New Roman" w:hAnsi="Times New Roman"/>
          <w:sz w:val="24"/>
          <w:szCs w:val="24"/>
        </w:rPr>
      </w:pPr>
    </w:p>
    <w:p w:rsidR="007A518C" w:rsidRPr="00DB77A1" w:rsidP="007A518C">
      <w:pPr>
        <w:bidi w:val="0"/>
        <w:spacing w:after="0" w:line="240" w:lineRule="auto"/>
        <w:jc w:val="both"/>
        <w:rPr>
          <w:rFonts w:ascii="Times New Roman" w:hAnsi="Times New Roman"/>
          <w:b/>
          <w:sz w:val="24"/>
          <w:szCs w:val="24"/>
        </w:rPr>
      </w:pPr>
      <w:r w:rsidRPr="00DB77A1">
        <w:rPr>
          <w:rFonts w:ascii="Times New Roman" w:hAnsi="Times New Roman"/>
          <w:b/>
          <w:sz w:val="24"/>
          <w:szCs w:val="24"/>
        </w:rPr>
        <w:t xml:space="preserve">K bodom </w:t>
      </w:r>
      <w:r>
        <w:rPr>
          <w:rFonts w:ascii="Times New Roman" w:hAnsi="Times New Roman"/>
          <w:b/>
          <w:sz w:val="24"/>
          <w:szCs w:val="24"/>
        </w:rPr>
        <w:t>7</w:t>
      </w:r>
      <w:r w:rsidRPr="00DB77A1">
        <w:rPr>
          <w:rFonts w:ascii="Times New Roman" w:hAnsi="Times New Roman"/>
          <w:b/>
          <w:sz w:val="24"/>
          <w:szCs w:val="24"/>
        </w:rPr>
        <w:t xml:space="preserve">, </w:t>
      </w:r>
      <w:r>
        <w:rPr>
          <w:rFonts w:ascii="Times New Roman" w:hAnsi="Times New Roman"/>
          <w:b/>
          <w:sz w:val="24"/>
          <w:szCs w:val="24"/>
        </w:rPr>
        <w:t>8</w:t>
      </w:r>
      <w:r w:rsidRPr="00DB77A1">
        <w:rPr>
          <w:rFonts w:ascii="Times New Roman" w:hAnsi="Times New Roman"/>
          <w:b/>
          <w:sz w:val="24"/>
          <w:szCs w:val="24"/>
        </w:rPr>
        <w:t xml:space="preserve"> a 2</w:t>
      </w:r>
      <w:r>
        <w:rPr>
          <w:rFonts w:ascii="Times New Roman" w:hAnsi="Times New Roman"/>
          <w:b/>
          <w:sz w:val="24"/>
          <w:szCs w:val="24"/>
        </w:rPr>
        <w:t>0</w:t>
      </w:r>
      <w:r w:rsidRPr="00DB77A1">
        <w:rPr>
          <w:rFonts w:ascii="Times New Roman" w:hAnsi="Times New Roman"/>
          <w:b/>
          <w:sz w:val="24"/>
          <w:szCs w:val="24"/>
        </w:rPr>
        <w:t xml:space="preserve"> (§ 13 ods. 5 písm. c), § 13c ods. 4, § 19a ods. 9) </w:t>
        <w:tab/>
      </w:r>
    </w:p>
    <w:p w:rsidR="007A518C" w:rsidRPr="00DB77A1" w:rsidP="007A518C">
      <w:pPr>
        <w:bidi w:val="0"/>
        <w:spacing w:after="0" w:line="240" w:lineRule="auto"/>
        <w:ind w:firstLine="708"/>
        <w:jc w:val="both"/>
        <w:rPr>
          <w:rFonts w:ascii="Times New Roman" w:hAnsi="Times New Roman"/>
          <w:sz w:val="24"/>
          <w:szCs w:val="24"/>
        </w:rPr>
      </w:pPr>
      <w:r w:rsidRPr="00DB77A1">
        <w:rPr>
          <w:rFonts w:ascii="Times New Roman" w:hAnsi="Times New Roman"/>
          <w:sz w:val="24"/>
          <w:szCs w:val="24"/>
        </w:rPr>
        <w:t xml:space="preserve">Navrhuje sa doplnenie nového dôvodu na neudelenie azylu na účel zlúčenia rodiny a nového dôvodu na neposkytnutie doplnkovej ochrany v prípade, ak stanovisko Slovenskej informačnej služby alebo stanovisko Vojenského spravodajstva obsahuje nesúhlas s udelením azylu alebo s poskytnutím doplnkovej ochrany. </w:t>
      </w:r>
    </w:p>
    <w:p w:rsidR="007A518C" w:rsidRPr="00DB77A1" w:rsidP="007A518C">
      <w:pPr>
        <w:bidi w:val="0"/>
        <w:spacing w:after="0" w:line="240" w:lineRule="auto"/>
        <w:ind w:firstLine="708"/>
        <w:jc w:val="both"/>
        <w:rPr>
          <w:rFonts w:ascii="Times New Roman" w:hAnsi="Times New Roman"/>
          <w:sz w:val="24"/>
          <w:szCs w:val="24"/>
        </w:rPr>
      </w:pPr>
      <w:r w:rsidRPr="00DB77A1">
        <w:rPr>
          <w:rFonts w:ascii="Times New Roman" w:hAnsi="Times New Roman"/>
          <w:sz w:val="24"/>
          <w:szCs w:val="24"/>
        </w:rPr>
        <w:t>Nové znenie odseku 9 ustanovuje, že okrem Slovenskej informačnej služby bude ministerstvo žiadať stanovisko k posúdeniu žiadosti o udelenie azylu aj od Vojenského spravodajstva, pričom sa budú posudzovať len žiadosti o udelenie azylu žiadateľov starších ako 14 rokov. Upravuje sa tiež lehota na zaslanie stanoviska (predtým vyjadrenia), a to z 10 dní na 20 dní. Rovnako ako v prípade Slovenskej informačnej služby sa Vojenskému spravodajstvu  umožňuje vstup do evidencií podľa § 48 ods. 1 zákona o azyle a priznáva sa mu oprávnenosť spracúvať osobné údaje podľa § 48 ods. 1 zákona o azyle.</w:t>
      </w:r>
    </w:p>
    <w:p w:rsidR="007A518C" w:rsidRPr="00DB77A1" w:rsidP="007A518C">
      <w:pPr>
        <w:bidi w:val="0"/>
        <w:spacing w:after="0" w:line="240" w:lineRule="auto"/>
        <w:ind w:firstLine="708"/>
        <w:jc w:val="both"/>
        <w:rPr>
          <w:rFonts w:ascii="Times New Roman" w:hAnsi="Times New Roman"/>
          <w:sz w:val="24"/>
          <w:szCs w:val="24"/>
        </w:rPr>
      </w:pPr>
      <w:r w:rsidRPr="00DB77A1">
        <w:rPr>
          <w:rFonts w:ascii="Times New Roman" w:hAnsi="Times New Roman"/>
          <w:sz w:val="24"/>
          <w:szCs w:val="24"/>
        </w:rPr>
        <w:t xml:space="preserve"> Spravodajské služby budú pri spracovaní predmetného stanoviska (obsahujúceho súhlas alebo nesúhlas s udelením azylu alebo poskytnutím doplnkovej ochrany) posudzovať nebezpečnosť žiadateľa pre bezpečnosť Slovenskej republiky z hľadiska ohrozenia záujmu, ktorého ochrana patrí do pôsobnosti Slovenskej informačnej služby alebo Vojenského spravodajstva. </w:t>
      </w:r>
    </w:p>
    <w:p w:rsidR="007A518C" w:rsidP="007A518C">
      <w:pPr>
        <w:bidi w:val="0"/>
        <w:spacing w:after="0" w:line="240" w:lineRule="auto"/>
        <w:jc w:val="both"/>
        <w:rPr>
          <w:rFonts w:ascii="Times New Roman" w:hAnsi="Times New Roman"/>
          <w:b/>
          <w:color w:val="FF0000"/>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bodom 9</w:t>
      </w:r>
      <w:r w:rsidRPr="00613CED">
        <w:rPr>
          <w:rFonts w:ascii="Times New Roman" w:hAnsi="Times New Roman"/>
          <w:b/>
          <w:sz w:val="24"/>
          <w:szCs w:val="24"/>
        </w:rPr>
        <w:t xml:space="preserve"> a 1</w:t>
      </w:r>
      <w:r>
        <w:rPr>
          <w:rFonts w:ascii="Times New Roman" w:hAnsi="Times New Roman"/>
          <w:b/>
          <w:sz w:val="24"/>
          <w:szCs w:val="24"/>
        </w:rPr>
        <w:t>1</w:t>
      </w:r>
      <w:r w:rsidRPr="00613CED">
        <w:rPr>
          <w:rFonts w:ascii="Times New Roman" w:hAnsi="Times New Roman"/>
          <w:b/>
          <w:sz w:val="24"/>
          <w:szCs w:val="24"/>
        </w:rPr>
        <w:t xml:space="preserve"> </w:t>
      </w:r>
      <w:r>
        <w:rPr>
          <w:rFonts w:ascii="Times New Roman" w:hAnsi="Times New Roman"/>
          <w:b/>
          <w:sz w:val="24"/>
          <w:szCs w:val="24"/>
        </w:rPr>
        <w:t>[§ 14 ods. 1 písm. a) a h)]</w:t>
      </w:r>
    </w:p>
    <w:p w:rsidR="007A518C" w:rsidRPr="00C15408"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sidRPr="00C15408">
        <w:rPr>
          <w:rFonts w:ascii="Times New Roman" w:hAnsi="Times New Roman"/>
          <w:sz w:val="24"/>
          <w:szCs w:val="24"/>
        </w:rPr>
        <w:t>Rozširujú sa dôvody zániku azylu.</w:t>
      </w:r>
      <w:r>
        <w:rPr>
          <w:rFonts w:ascii="Times New Roman" w:hAnsi="Times New Roman"/>
          <w:sz w:val="24"/>
          <w:szCs w:val="24"/>
        </w:rPr>
        <w:t xml:space="preserve"> </w:t>
      </w:r>
      <w:r w:rsidRPr="00C15408">
        <w:rPr>
          <w:rFonts w:ascii="Times New Roman" w:hAnsi="Times New Roman"/>
          <w:sz w:val="24"/>
          <w:szCs w:val="24"/>
        </w:rPr>
        <w:t>Navrhuje sa</w:t>
      </w:r>
      <w:r>
        <w:rPr>
          <w:rFonts w:ascii="Times New Roman" w:hAnsi="Times New Roman"/>
          <w:sz w:val="24"/>
          <w:szCs w:val="24"/>
        </w:rPr>
        <w:t>, aby</w:t>
      </w:r>
      <w:r w:rsidRPr="00C15408">
        <w:rPr>
          <w:rFonts w:ascii="Times New Roman" w:hAnsi="Times New Roman"/>
          <w:sz w:val="24"/>
          <w:szCs w:val="24"/>
        </w:rPr>
        <w:t xml:space="preserve"> rovnako ako v prípade nadobudnutia štátneho občianstva Slovenskej republiky, </w:t>
      </w:r>
      <w:r>
        <w:rPr>
          <w:rFonts w:ascii="Times New Roman" w:hAnsi="Times New Roman"/>
          <w:sz w:val="24"/>
          <w:szCs w:val="24"/>
        </w:rPr>
        <w:t xml:space="preserve">aj </w:t>
      </w:r>
      <w:r w:rsidRPr="00C15408">
        <w:rPr>
          <w:rFonts w:ascii="Times New Roman" w:hAnsi="Times New Roman"/>
          <w:sz w:val="24"/>
          <w:szCs w:val="24"/>
        </w:rPr>
        <w:t xml:space="preserve">nadobudnutie štátneho občianstva iného členského štátu Európskej únie bolo dôvodom na zánik azylu priamo zo zákona. To znamená, že </w:t>
      </w:r>
      <w:r>
        <w:rPr>
          <w:rFonts w:ascii="Times New Roman" w:hAnsi="Times New Roman"/>
          <w:sz w:val="24"/>
          <w:szCs w:val="24"/>
        </w:rPr>
        <w:t>rovnako ako v prípade nadobudnutia štátneho občianstva Slovenskej republiky, ani v prípade nadobudnutia štátneho občianstva iného členského štátu nie je dôvod, aby sa rozhodovalo o odňatí azylu.</w:t>
      </w:r>
    </w:p>
    <w:p w:rsidR="007A518C" w:rsidRPr="00047CAF" w:rsidP="007A518C">
      <w:pPr>
        <w:bidi w:val="0"/>
        <w:spacing w:after="0" w:line="240" w:lineRule="auto"/>
        <w:jc w:val="both"/>
        <w:rPr>
          <w:rFonts w:ascii="Times New Roman" w:hAnsi="Times New Roman"/>
          <w:sz w:val="24"/>
          <w:szCs w:val="24"/>
        </w:rPr>
      </w:pPr>
      <w:r w:rsidRPr="00047CAF">
        <w:rPr>
          <w:rFonts w:ascii="Times New Roman" w:hAnsi="Times New Roman"/>
          <w:sz w:val="24"/>
          <w:szCs w:val="24"/>
        </w:rPr>
        <w:tab/>
        <w:t xml:space="preserve">Navrhuje sa </w:t>
      </w:r>
      <w:r>
        <w:rPr>
          <w:rFonts w:ascii="Times New Roman" w:hAnsi="Times New Roman"/>
          <w:sz w:val="24"/>
          <w:szCs w:val="24"/>
        </w:rPr>
        <w:t xml:space="preserve">doplnenie nového dôvodu zániku azylu aj </w:t>
      </w:r>
      <w:r w:rsidRPr="0067280E">
        <w:rPr>
          <w:rFonts w:ascii="Times New Roman" w:hAnsi="Times New Roman"/>
          <w:sz w:val="24"/>
          <w:szCs w:val="24"/>
        </w:rPr>
        <w:t>v</w:t>
      </w:r>
      <w:r>
        <w:rPr>
          <w:rFonts w:ascii="Times New Roman" w:hAnsi="Times New Roman"/>
          <w:sz w:val="24"/>
          <w:szCs w:val="24"/>
        </w:rPr>
        <w:t> </w:t>
      </w:r>
      <w:r w:rsidRPr="0067280E">
        <w:rPr>
          <w:rFonts w:ascii="Times New Roman" w:hAnsi="Times New Roman"/>
          <w:sz w:val="24"/>
          <w:szCs w:val="24"/>
        </w:rPr>
        <w:t>prípade</w:t>
      </w:r>
      <w:r>
        <w:rPr>
          <w:rFonts w:ascii="Times New Roman" w:hAnsi="Times New Roman"/>
          <w:sz w:val="24"/>
          <w:szCs w:val="24"/>
        </w:rPr>
        <w:t>,</w:t>
      </w:r>
      <w:r w:rsidRPr="0067280E">
        <w:rPr>
          <w:rFonts w:ascii="Times New Roman" w:hAnsi="Times New Roman"/>
          <w:sz w:val="24"/>
          <w:szCs w:val="24"/>
        </w:rPr>
        <w:t xml:space="preserve"> </w:t>
      </w:r>
      <w:r>
        <w:rPr>
          <w:rFonts w:ascii="Times New Roman" w:hAnsi="Times New Roman"/>
          <w:sz w:val="24"/>
          <w:szCs w:val="24"/>
        </w:rPr>
        <w:t>ak azylantovi udelil azyl z dôvodu prenasledovania iný členský štát Európskej únie. Takéto doplnenie je potrebné z dôvodu, že nie je možné v praxi vylúčiť situáciu, že by cudzincovi s udeleným azylom na území Slovenskej republiky udelil azyl iný členský štát Európskej únie; takúto situáciu pripúšťa aj zákon o azyle v § 11 ods. 1 písm. d).</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sidRPr="00DE0F24">
        <w:rPr>
          <w:rFonts w:ascii="Times New Roman" w:hAnsi="Times New Roman"/>
          <w:b/>
          <w:sz w:val="24"/>
          <w:szCs w:val="24"/>
        </w:rPr>
        <w:t>K bod</w:t>
      </w:r>
      <w:r>
        <w:rPr>
          <w:rFonts w:ascii="Times New Roman" w:hAnsi="Times New Roman"/>
          <w:b/>
          <w:sz w:val="24"/>
          <w:szCs w:val="24"/>
        </w:rPr>
        <w:t>u</w:t>
      </w:r>
      <w:r w:rsidRPr="00DE0F24">
        <w:rPr>
          <w:rFonts w:ascii="Times New Roman" w:hAnsi="Times New Roman"/>
          <w:b/>
          <w:sz w:val="24"/>
          <w:szCs w:val="24"/>
        </w:rPr>
        <w:t xml:space="preserve"> 10</w:t>
      </w:r>
      <w:r>
        <w:rPr>
          <w:rFonts w:ascii="Times New Roman" w:hAnsi="Times New Roman"/>
          <w:b/>
          <w:sz w:val="24"/>
          <w:szCs w:val="24"/>
        </w:rPr>
        <w:t xml:space="preserve"> [§ 14 ods. 1 písm. f), § 15 ods. 3 písm. a), § 15a ods. 1 písm. h)]</w:t>
      </w:r>
    </w:p>
    <w:p w:rsidR="007A518C" w:rsidP="007A518C">
      <w:pPr>
        <w:bidi w:val="0"/>
        <w:spacing w:after="0" w:line="240" w:lineRule="auto"/>
        <w:jc w:val="both"/>
        <w:rPr>
          <w:rFonts w:ascii="Times New Roman" w:hAnsi="Times New Roman"/>
          <w:b/>
          <w:color w:val="FF0000"/>
          <w:sz w:val="24"/>
          <w:szCs w:val="24"/>
        </w:rPr>
      </w:pPr>
      <w:r>
        <w:rPr>
          <w:rFonts w:ascii="Times New Roman" w:hAnsi="Times New Roman"/>
          <w:b/>
          <w:sz w:val="24"/>
          <w:szCs w:val="24"/>
        </w:rPr>
        <w:tab/>
      </w:r>
      <w:r>
        <w:rPr>
          <w:rFonts w:ascii="Times New Roman" w:hAnsi="Times New Roman"/>
          <w:sz w:val="24"/>
          <w:szCs w:val="24"/>
        </w:rPr>
        <w:t>Ide o legislatívno-technickú úpravu z dôvodu doplnenia nového písmena</w:t>
      </w:r>
      <w:r w:rsidRPr="008302C3">
        <w:rPr>
          <w:rFonts w:ascii="Times New Roman" w:hAnsi="Times New Roman"/>
          <w:sz w:val="24"/>
          <w:szCs w:val="24"/>
        </w:rPr>
        <w:t>.</w:t>
      </w:r>
    </w:p>
    <w:p w:rsidR="007A518C" w:rsidRPr="008302C3" w:rsidP="007A518C">
      <w:pPr>
        <w:bidi w:val="0"/>
        <w:spacing w:after="0" w:line="240" w:lineRule="auto"/>
        <w:jc w:val="both"/>
        <w:rPr>
          <w:rFonts w:ascii="Times New Roman" w:hAnsi="Times New Roman"/>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E17A4E">
        <w:rPr>
          <w:rFonts w:ascii="Times New Roman" w:hAnsi="Times New Roman"/>
          <w:b/>
          <w:sz w:val="24"/>
          <w:szCs w:val="24"/>
        </w:rPr>
        <w:t>1</w:t>
      </w:r>
      <w:r>
        <w:rPr>
          <w:rFonts w:ascii="Times New Roman" w:hAnsi="Times New Roman"/>
          <w:b/>
          <w:sz w:val="24"/>
          <w:szCs w:val="24"/>
        </w:rPr>
        <w:t>2 [§ 15 ods. 3 písm. c)]</w:t>
      </w: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Navrhuje sa doplnenie nového dôvodu na odňatie azylu. Ministerstvo vnútra odníme azyl, ktorý bol udelený z humanitných dôvodov (§ 9) alebo bol udelený na účel zlúčenia rodiny (§ 10), ak azylantovi udelil pobyt bez časového obmedzenia iný štát. Slovami „iný štát“ sa v tomto ustanovení rozumejú všetky štáty okrem krajiny pôvodu takéhoto cudzinca a Slovenskej republiky. </w:t>
      </w:r>
      <w:r w:rsidRPr="00230314">
        <w:rPr>
          <w:rFonts w:ascii="Times New Roman" w:hAnsi="Times New Roman"/>
          <w:sz w:val="24"/>
          <w:szCs w:val="24"/>
        </w:rPr>
        <w:t xml:space="preserve">Je len na rozhodnutí </w:t>
      </w:r>
      <w:r>
        <w:rPr>
          <w:rFonts w:ascii="Times New Roman" w:hAnsi="Times New Roman"/>
          <w:sz w:val="24"/>
          <w:szCs w:val="24"/>
        </w:rPr>
        <w:t xml:space="preserve">samotného </w:t>
      </w:r>
      <w:r w:rsidRPr="00230314">
        <w:rPr>
          <w:rFonts w:ascii="Times New Roman" w:hAnsi="Times New Roman"/>
          <w:sz w:val="24"/>
          <w:szCs w:val="24"/>
        </w:rPr>
        <w:t>azylanta</w:t>
      </w:r>
      <w:r>
        <w:rPr>
          <w:rFonts w:ascii="Times New Roman" w:hAnsi="Times New Roman"/>
          <w:sz w:val="24"/>
          <w:szCs w:val="24"/>
        </w:rPr>
        <w:t>, ktorému bol udelený azyl z humanitných dôvodov alebo na účel zlúčenia rodiny</w:t>
      </w:r>
      <w:r w:rsidRPr="00230314">
        <w:rPr>
          <w:rFonts w:ascii="Times New Roman" w:hAnsi="Times New Roman"/>
          <w:sz w:val="24"/>
          <w:szCs w:val="24"/>
        </w:rPr>
        <w:t>, či uprednostní pobyt bez časového obmedzenia v inom štáte pred užívaním azylu, a tým aj trvalého pobytu v Slovenskej republike.</w:t>
      </w:r>
      <w:r>
        <w:rPr>
          <w:rFonts w:ascii="Times New Roman" w:hAnsi="Times New Roman"/>
          <w:sz w:val="24"/>
          <w:szCs w:val="24"/>
        </w:rPr>
        <w:t xml:space="preserve"> </w:t>
      </w:r>
      <w:r w:rsidRPr="00D27591">
        <w:rPr>
          <w:rFonts w:ascii="Times New Roman" w:hAnsi="Times New Roman"/>
          <w:sz w:val="24"/>
          <w:szCs w:val="24"/>
        </w:rPr>
        <w:t xml:space="preserve">Nie je potrebné, </w:t>
      </w:r>
      <w:r>
        <w:rPr>
          <w:rFonts w:ascii="Times New Roman" w:hAnsi="Times New Roman"/>
          <w:sz w:val="24"/>
          <w:szCs w:val="24"/>
        </w:rPr>
        <w:t xml:space="preserve">a </w:t>
      </w:r>
      <w:r w:rsidRPr="00D27591">
        <w:rPr>
          <w:rFonts w:ascii="Times New Roman" w:hAnsi="Times New Roman"/>
          <w:sz w:val="24"/>
          <w:szCs w:val="24"/>
        </w:rPr>
        <w:t>ani žiad</w:t>
      </w:r>
      <w:r>
        <w:rPr>
          <w:rFonts w:ascii="Times New Roman" w:hAnsi="Times New Roman"/>
          <w:sz w:val="24"/>
          <w:szCs w:val="24"/>
        </w:rPr>
        <w:t>u</w:t>
      </w:r>
      <w:r w:rsidRPr="00D27591">
        <w:rPr>
          <w:rFonts w:ascii="Times New Roman" w:hAnsi="Times New Roman"/>
          <w:sz w:val="24"/>
          <w:szCs w:val="24"/>
        </w:rPr>
        <w:t>ce, aby osoba</w:t>
      </w:r>
      <w:r>
        <w:rPr>
          <w:rFonts w:ascii="Times New Roman" w:hAnsi="Times New Roman"/>
          <w:b/>
          <w:sz w:val="24"/>
          <w:szCs w:val="24"/>
        </w:rPr>
        <w:t xml:space="preserve"> </w:t>
      </w:r>
      <w:r w:rsidRPr="00D27591">
        <w:rPr>
          <w:rFonts w:ascii="Times New Roman" w:hAnsi="Times New Roman"/>
          <w:sz w:val="24"/>
          <w:szCs w:val="24"/>
        </w:rPr>
        <w:t>mala</w:t>
      </w:r>
      <w:r>
        <w:rPr>
          <w:rFonts w:ascii="Times New Roman" w:hAnsi="Times New Roman"/>
          <w:b/>
          <w:sz w:val="24"/>
          <w:szCs w:val="24"/>
        </w:rPr>
        <w:t xml:space="preserve"> </w:t>
      </w:r>
      <w:r>
        <w:rPr>
          <w:rFonts w:ascii="Times New Roman" w:hAnsi="Times New Roman"/>
          <w:sz w:val="24"/>
          <w:szCs w:val="24"/>
        </w:rPr>
        <w:t>udelený azyl podľa § 9 alebo § 10 v Slovenskej republike a </w:t>
      </w:r>
      <w:r w:rsidRPr="00D27591">
        <w:rPr>
          <w:rFonts w:ascii="Times New Roman" w:hAnsi="Times New Roman"/>
          <w:sz w:val="24"/>
          <w:szCs w:val="24"/>
        </w:rPr>
        <w:t>súčasne</w:t>
      </w:r>
      <w:r>
        <w:rPr>
          <w:rFonts w:ascii="Times New Roman" w:hAnsi="Times New Roman"/>
          <w:sz w:val="24"/>
          <w:szCs w:val="24"/>
        </w:rPr>
        <w:t xml:space="preserve"> mala pobyt bez časového obmedzenia v inom štáte.  </w:t>
      </w:r>
    </w:p>
    <w:p w:rsidR="007A518C" w:rsidRPr="00D27591" w:rsidP="007A518C">
      <w:pPr>
        <w:bidi w:val="0"/>
        <w:spacing w:after="0" w:line="240" w:lineRule="auto"/>
        <w:jc w:val="both"/>
        <w:rPr>
          <w:rFonts w:ascii="Times New Roman" w:hAnsi="Times New Roman"/>
          <w:b/>
          <w:sz w:val="24"/>
          <w:szCs w:val="24"/>
        </w:rPr>
      </w:pPr>
      <w:r w:rsidRPr="00D27591">
        <w:rPr>
          <w:rFonts w:ascii="Times New Roman" w:hAnsi="Times New Roman"/>
          <w:b/>
          <w:sz w:val="24"/>
          <w:szCs w:val="24"/>
        </w:rPr>
        <w:t xml:space="preserve">  </w:t>
      </w:r>
    </w:p>
    <w:p w:rsidR="007A518C" w:rsidRPr="008A0FD9"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bodom </w:t>
      </w:r>
      <w:r w:rsidRPr="00E17A4E">
        <w:rPr>
          <w:rFonts w:ascii="Times New Roman" w:hAnsi="Times New Roman"/>
          <w:b/>
          <w:sz w:val="24"/>
          <w:szCs w:val="24"/>
        </w:rPr>
        <w:t>1</w:t>
      </w:r>
      <w:r>
        <w:rPr>
          <w:rFonts w:ascii="Times New Roman" w:hAnsi="Times New Roman"/>
          <w:b/>
          <w:sz w:val="24"/>
          <w:szCs w:val="24"/>
        </w:rPr>
        <w:t>3</w:t>
      </w:r>
      <w:r>
        <w:rPr>
          <w:rFonts w:ascii="Times New Roman" w:hAnsi="Times New Roman"/>
          <w:b/>
          <w:color w:val="00B050"/>
          <w:sz w:val="24"/>
          <w:szCs w:val="24"/>
        </w:rPr>
        <w:t xml:space="preserve"> </w:t>
      </w:r>
      <w:r>
        <w:rPr>
          <w:rFonts w:ascii="Times New Roman" w:hAnsi="Times New Roman"/>
          <w:b/>
          <w:sz w:val="24"/>
          <w:szCs w:val="24"/>
        </w:rPr>
        <w:t>a </w:t>
      </w:r>
      <w:r w:rsidRPr="00E17A4E">
        <w:rPr>
          <w:rFonts w:ascii="Times New Roman" w:hAnsi="Times New Roman"/>
          <w:b/>
          <w:sz w:val="24"/>
          <w:szCs w:val="24"/>
        </w:rPr>
        <w:t>1</w:t>
      </w:r>
      <w:r>
        <w:rPr>
          <w:rFonts w:ascii="Times New Roman" w:hAnsi="Times New Roman"/>
          <w:b/>
          <w:sz w:val="24"/>
          <w:szCs w:val="24"/>
        </w:rPr>
        <w:t>4 [§ 15a ods. 1 písm. g) a j)]</w:t>
      </w:r>
    </w:p>
    <w:p w:rsidR="007A518C" w:rsidP="007A518C">
      <w:pPr>
        <w:bidi w:val="0"/>
        <w:spacing w:after="0" w:line="240" w:lineRule="auto"/>
        <w:ind w:firstLine="708"/>
        <w:jc w:val="both"/>
        <w:rPr>
          <w:rFonts w:ascii="Times New Roman" w:hAnsi="Times New Roman"/>
          <w:b/>
          <w:sz w:val="24"/>
          <w:szCs w:val="24"/>
        </w:rPr>
      </w:pPr>
      <w:r w:rsidRPr="00C15408">
        <w:rPr>
          <w:rFonts w:ascii="Times New Roman" w:hAnsi="Times New Roman"/>
          <w:sz w:val="24"/>
          <w:szCs w:val="24"/>
        </w:rPr>
        <w:t xml:space="preserve">Rozširujú sa dôvody zániku </w:t>
      </w:r>
      <w:r>
        <w:rPr>
          <w:rFonts w:ascii="Times New Roman" w:hAnsi="Times New Roman"/>
          <w:sz w:val="24"/>
          <w:szCs w:val="24"/>
        </w:rPr>
        <w:t>doplnkovej ochrany</w:t>
      </w:r>
      <w:r w:rsidRPr="00C15408">
        <w:rPr>
          <w:rFonts w:ascii="Times New Roman" w:hAnsi="Times New Roman"/>
          <w:sz w:val="24"/>
          <w:szCs w:val="24"/>
        </w:rPr>
        <w:t>. Navrhuje sa</w:t>
      </w:r>
      <w:r>
        <w:rPr>
          <w:rFonts w:ascii="Times New Roman" w:hAnsi="Times New Roman"/>
          <w:sz w:val="24"/>
          <w:szCs w:val="24"/>
        </w:rPr>
        <w:t>, aby</w:t>
      </w:r>
      <w:r w:rsidRPr="00C15408">
        <w:rPr>
          <w:rFonts w:ascii="Times New Roman" w:hAnsi="Times New Roman"/>
          <w:sz w:val="24"/>
          <w:szCs w:val="24"/>
        </w:rPr>
        <w:t xml:space="preserve"> rovnako ako v prípade nadobudnutia štátneho občianstva Slovenskej republiky, </w:t>
      </w:r>
      <w:r>
        <w:rPr>
          <w:rFonts w:ascii="Times New Roman" w:hAnsi="Times New Roman"/>
          <w:sz w:val="24"/>
          <w:szCs w:val="24"/>
        </w:rPr>
        <w:t xml:space="preserve">aj </w:t>
      </w:r>
      <w:r w:rsidRPr="00C15408">
        <w:rPr>
          <w:rFonts w:ascii="Times New Roman" w:hAnsi="Times New Roman"/>
          <w:sz w:val="24"/>
          <w:szCs w:val="24"/>
        </w:rPr>
        <w:t xml:space="preserve">nadobudnutie štátneho občianstva iného členského štátu Európskej únie bolo dôvodom na zánik </w:t>
      </w:r>
      <w:r>
        <w:rPr>
          <w:rFonts w:ascii="Times New Roman" w:hAnsi="Times New Roman"/>
          <w:sz w:val="24"/>
          <w:szCs w:val="24"/>
        </w:rPr>
        <w:t>doplnkovej ochrany</w:t>
      </w:r>
      <w:r w:rsidRPr="00C15408">
        <w:rPr>
          <w:rFonts w:ascii="Times New Roman" w:hAnsi="Times New Roman"/>
          <w:sz w:val="24"/>
          <w:szCs w:val="24"/>
        </w:rPr>
        <w:t xml:space="preserve"> priamo zo zákona. To znamená, že </w:t>
      </w:r>
      <w:r>
        <w:rPr>
          <w:rFonts w:ascii="Times New Roman" w:hAnsi="Times New Roman"/>
          <w:sz w:val="24"/>
          <w:szCs w:val="24"/>
        </w:rPr>
        <w:t>rovnako ako v prípade nadobudnutia štátneho občianstva Slovenskej republiky, ani v prípade nadobudnutia štátneho občianstva iného členského štátu nie je dôvod, aby sa rozhodovalo o zrušení, či nepredĺžení doplnkovej ochrany.</w:t>
      </w:r>
    </w:p>
    <w:p w:rsidR="007A518C" w:rsidP="007A518C">
      <w:pPr>
        <w:bidi w:val="0"/>
        <w:spacing w:after="0" w:line="240" w:lineRule="auto"/>
        <w:ind w:firstLine="708"/>
        <w:jc w:val="both"/>
        <w:rPr>
          <w:rFonts w:ascii="Times New Roman" w:hAnsi="Times New Roman"/>
          <w:b/>
          <w:sz w:val="24"/>
          <w:szCs w:val="24"/>
        </w:rPr>
      </w:pPr>
      <w:r w:rsidRPr="003C435A">
        <w:rPr>
          <w:rFonts w:ascii="Times New Roman" w:hAnsi="Times New Roman"/>
          <w:sz w:val="24"/>
          <w:szCs w:val="24"/>
        </w:rPr>
        <w:t>Navrhuje</w:t>
      </w:r>
      <w:r>
        <w:rPr>
          <w:rFonts w:ascii="Times New Roman" w:hAnsi="Times New Roman"/>
          <w:sz w:val="24"/>
          <w:szCs w:val="24"/>
        </w:rPr>
        <w:t xml:space="preserve"> sa doplnenie nového dôvodu zániku doplnkovej ochrany aj </w:t>
      </w:r>
      <w:r w:rsidRPr="00B11759">
        <w:rPr>
          <w:rFonts w:ascii="Times New Roman" w:hAnsi="Times New Roman"/>
          <w:sz w:val="24"/>
          <w:szCs w:val="24"/>
        </w:rPr>
        <w:t>v</w:t>
      </w:r>
      <w:r>
        <w:rPr>
          <w:rFonts w:ascii="Times New Roman" w:hAnsi="Times New Roman"/>
          <w:sz w:val="24"/>
          <w:szCs w:val="24"/>
        </w:rPr>
        <w:t> </w:t>
      </w:r>
      <w:r w:rsidRPr="00B11759">
        <w:rPr>
          <w:rFonts w:ascii="Times New Roman" w:hAnsi="Times New Roman"/>
          <w:sz w:val="24"/>
          <w:szCs w:val="24"/>
        </w:rPr>
        <w:t>prípade</w:t>
      </w:r>
      <w:r>
        <w:rPr>
          <w:rFonts w:ascii="Times New Roman" w:hAnsi="Times New Roman"/>
          <w:sz w:val="24"/>
          <w:szCs w:val="24"/>
        </w:rPr>
        <w:t>, ak cudzincovi, ktorému sa poskytla doplnková ochrana na území Slovenskej republiky, udelí azyl z dôvodu prenasledovania alebo poskytne doplnkovú ochranu z dôvodu vážneho bezprávia iný členský štát Európskej únie. Takéto doplnenie je potrebné z dôvodu, že nie je možné v praxi vylúčiť situáciu, že by cudzincovi s poskytnutou doplnkovou ochranou na území Slovenskej republiky udelil azyl, resp. poskytol doplnkovú ochranu iný členský štát Európskej únie; takúto situáciu pripúšťa aj zákon o azyle v § 11 ods. 1 písm. d).</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15</w:t>
      </w:r>
      <w:r>
        <w:rPr>
          <w:rFonts w:ascii="Times New Roman" w:hAnsi="Times New Roman"/>
          <w:b/>
          <w:color w:val="00B050"/>
          <w:sz w:val="24"/>
          <w:szCs w:val="24"/>
        </w:rPr>
        <w:t xml:space="preserve"> </w:t>
      </w:r>
      <w:r>
        <w:rPr>
          <w:rFonts w:ascii="Times New Roman" w:hAnsi="Times New Roman"/>
          <w:b/>
          <w:sz w:val="24"/>
          <w:szCs w:val="24"/>
        </w:rPr>
        <w:t xml:space="preserve">(§ 15b ods. 3) </w:t>
      </w:r>
    </w:p>
    <w:p w:rsidR="007A518C" w:rsidP="007A518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Navrhuje sa doplnenie nového dôvodu na zrušenie doplnkovej ochrany. Ministerstvo vnútra zruší doplnkovú ochranu, ktorá bola poskytnutá na účel zlúčenia rodiny (§13b), v prípade, ak cudzincovi udelil pobyt bez časového obmedzenia iný štát. Slovami „iný štát“ sa v tomto ustanovení rozumejú všetky štáty okrem krajiny pôvodu takéhoto cudzinca a Slovenskej republiky. </w:t>
      </w:r>
      <w:r w:rsidRPr="00230314">
        <w:rPr>
          <w:rFonts w:ascii="Times New Roman" w:hAnsi="Times New Roman"/>
          <w:sz w:val="24"/>
          <w:szCs w:val="24"/>
        </w:rPr>
        <w:t xml:space="preserve">Je len na rozhodnutí </w:t>
      </w:r>
      <w:r>
        <w:rPr>
          <w:rFonts w:ascii="Times New Roman" w:hAnsi="Times New Roman"/>
          <w:sz w:val="24"/>
          <w:szCs w:val="24"/>
        </w:rPr>
        <w:t>samotného cudzinca</w:t>
      </w:r>
      <w:r w:rsidRPr="00230314">
        <w:rPr>
          <w:rFonts w:ascii="Times New Roman" w:hAnsi="Times New Roman"/>
          <w:sz w:val="24"/>
          <w:szCs w:val="24"/>
        </w:rPr>
        <w:t>,</w:t>
      </w:r>
      <w:r>
        <w:rPr>
          <w:rFonts w:ascii="Times New Roman" w:hAnsi="Times New Roman"/>
          <w:sz w:val="24"/>
          <w:szCs w:val="24"/>
        </w:rPr>
        <w:t xml:space="preserve"> ktorému sa poskytla doplnková ochrana na účel zlúčenia rodiny,</w:t>
      </w:r>
      <w:r w:rsidRPr="00230314">
        <w:rPr>
          <w:rFonts w:ascii="Times New Roman" w:hAnsi="Times New Roman"/>
          <w:sz w:val="24"/>
          <w:szCs w:val="24"/>
        </w:rPr>
        <w:t xml:space="preserve"> či uprednostní pobyt bez časového obmedzenia v inom štáte pred užívaním </w:t>
      </w:r>
      <w:r>
        <w:rPr>
          <w:rFonts w:ascii="Times New Roman" w:hAnsi="Times New Roman"/>
          <w:sz w:val="24"/>
          <w:szCs w:val="24"/>
        </w:rPr>
        <w:t>doplnkovej ochrany</w:t>
      </w:r>
      <w:r w:rsidRPr="00230314">
        <w:rPr>
          <w:rFonts w:ascii="Times New Roman" w:hAnsi="Times New Roman"/>
          <w:sz w:val="24"/>
          <w:szCs w:val="24"/>
        </w:rPr>
        <w:t xml:space="preserve">, a tým </w:t>
      </w:r>
      <w:r>
        <w:rPr>
          <w:rFonts w:ascii="Times New Roman" w:hAnsi="Times New Roman"/>
          <w:sz w:val="24"/>
          <w:szCs w:val="24"/>
        </w:rPr>
        <w:t>aj prechodného</w:t>
      </w:r>
      <w:r w:rsidRPr="00230314">
        <w:rPr>
          <w:rFonts w:ascii="Times New Roman" w:hAnsi="Times New Roman"/>
          <w:sz w:val="24"/>
          <w:szCs w:val="24"/>
        </w:rPr>
        <w:t xml:space="preserve"> pobytu v Slovenskej republike. </w:t>
      </w:r>
      <w:r w:rsidRPr="00D27591">
        <w:rPr>
          <w:rFonts w:ascii="Times New Roman" w:hAnsi="Times New Roman"/>
          <w:sz w:val="24"/>
          <w:szCs w:val="24"/>
        </w:rPr>
        <w:t xml:space="preserve">Nie je potrebné, </w:t>
      </w:r>
      <w:r>
        <w:rPr>
          <w:rFonts w:ascii="Times New Roman" w:hAnsi="Times New Roman"/>
          <w:sz w:val="24"/>
          <w:szCs w:val="24"/>
        </w:rPr>
        <w:t xml:space="preserve">a </w:t>
      </w:r>
      <w:r w:rsidRPr="00D27591">
        <w:rPr>
          <w:rFonts w:ascii="Times New Roman" w:hAnsi="Times New Roman"/>
          <w:sz w:val="24"/>
          <w:szCs w:val="24"/>
        </w:rPr>
        <w:t>ani žiad</w:t>
      </w:r>
      <w:r>
        <w:rPr>
          <w:rFonts w:ascii="Times New Roman" w:hAnsi="Times New Roman"/>
          <w:sz w:val="24"/>
          <w:szCs w:val="24"/>
        </w:rPr>
        <w:t>u</w:t>
      </w:r>
      <w:r w:rsidRPr="00D27591">
        <w:rPr>
          <w:rFonts w:ascii="Times New Roman" w:hAnsi="Times New Roman"/>
          <w:sz w:val="24"/>
          <w:szCs w:val="24"/>
        </w:rPr>
        <w:t>ce, aby osoba</w:t>
      </w:r>
      <w:r>
        <w:rPr>
          <w:rFonts w:ascii="Times New Roman" w:hAnsi="Times New Roman"/>
          <w:b/>
          <w:sz w:val="24"/>
          <w:szCs w:val="24"/>
        </w:rPr>
        <w:t xml:space="preserve"> </w:t>
      </w:r>
      <w:r w:rsidRPr="00D27591">
        <w:rPr>
          <w:rFonts w:ascii="Times New Roman" w:hAnsi="Times New Roman"/>
          <w:sz w:val="24"/>
          <w:szCs w:val="24"/>
        </w:rPr>
        <w:t>mala</w:t>
      </w:r>
      <w:r>
        <w:rPr>
          <w:rFonts w:ascii="Times New Roman" w:hAnsi="Times New Roman"/>
          <w:b/>
          <w:sz w:val="24"/>
          <w:szCs w:val="24"/>
        </w:rPr>
        <w:t xml:space="preserve"> </w:t>
      </w:r>
      <w:r>
        <w:rPr>
          <w:rFonts w:ascii="Times New Roman" w:hAnsi="Times New Roman"/>
          <w:sz w:val="24"/>
          <w:szCs w:val="24"/>
        </w:rPr>
        <w:t>poskytnutú doplnkovú ochranu podľa § 13b v Slovenskej republike a </w:t>
      </w:r>
      <w:r w:rsidRPr="00D27591">
        <w:rPr>
          <w:rFonts w:ascii="Times New Roman" w:hAnsi="Times New Roman"/>
          <w:sz w:val="24"/>
          <w:szCs w:val="24"/>
        </w:rPr>
        <w:t>súčasne</w:t>
      </w:r>
      <w:r>
        <w:rPr>
          <w:rFonts w:ascii="Times New Roman" w:hAnsi="Times New Roman"/>
          <w:sz w:val="24"/>
          <w:szCs w:val="24"/>
        </w:rPr>
        <w:t xml:space="preserve"> mala pobyt bez časového obmedzenia v inom štáte.  </w:t>
      </w:r>
    </w:p>
    <w:p w:rsidR="007A518C" w:rsidP="007A518C">
      <w:pPr>
        <w:bidi w:val="0"/>
        <w:spacing w:after="0" w:line="240" w:lineRule="auto"/>
        <w:jc w:val="both"/>
        <w:rPr>
          <w:rFonts w:ascii="Times New Roman" w:hAnsi="Times New Roman"/>
          <w:b/>
          <w:sz w:val="24"/>
          <w:szCs w:val="24"/>
        </w:rPr>
      </w:pPr>
      <w:r w:rsidRPr="00230314">
        <w:rPr>
          <w:rFonts w:ascii="Times New Roman" w:hAnsi="Times New Roman"/>
          <w:sz w:val="24"/>
          <w:szCs w:val="24"/>
        </w:rPr>
        <w:t xml:space="preserve"> </w:t>
      </w:r>
    </w:p>
    <w:p w:rsidR="007A518C" w:rsidRPr="00EE25BC" w:rsidP="007A518C">
      <w:pPr>
        <w:bidi w:val="0"/>
        <w:spacing w:after="0" w:line="240" w:lineRule="auto"/>
        <w:jc w:val="both"/>
        <w:rPr>
          <w:rFonts w:ascii="Times New Roman" w:hAnsi="Times New Roman"/>
          <w:b/>
          <w:color w:val="FF0000"/>
          <w:sz w:val="24"/>
          <w:szCs w:val="24"/>
        </w:rPr>
      </w:pPr>
      <w:r>
        <w:rPr>
          <w:rFonts w:ascii="Times New Roman" w:hAnsi="Times New Roman"/>
          <w:b/>
          <w:sz w:val="24"/>
          <w:szCs w:val="24"/>
        </w:rPr>
        <w:t xml:space="preserve">K bodu 16 (§ 17 ods. 1) </w:t>
      </w:r>
    </w:p>
    <w:p w:rsidR="007A518C" w:rsidRPr="00DB77A1" w:rsidP="007A518C">
      <w:pPr>
        <w:bidi w:val="0"/>
        <w:spacing w:after="0" w:line="240" w:lineRule="auto"/>
        <w:ind w:firstLine="708"/>
        <w:jc w:val="both"/>
        <w:rPr>
          <w:rFonts w:ascii="Times New Roman" w:hAnsi="Times New Roman"/>
          <w:b/>
          <w:strike/>
          <w:sz w:val="24"/>
          <w:szCs w:val="24"/>
        </w:rPr>
      </w:pPr>
      <w:r w:rsidRPr="00DB77A1">
        <w:rPr>
          <w:rFonts w:ascii="Times New Roman" w:hAnsi="Times New Roman"/>
          <w:sz w:val="24"/>
          <w:szCs w:val="24"/>
        </w:rPr>
        <w:t xml:space="preserve">Nové znenie v odseku 1 sa navrhuje z obdobného dôvodu, ako v bodoch 1 až 3. Žiadateľ o udelenie azylu má právo byť v styku s úradom vysokého komisára a mimovládnymi organizáciami, ktoré sa na území Slovenskej republiky zaoberajú starostlivosťou o žiadateľov a azylantov nielen počas správneho konania, ale aj po jeho ukončení, kým je žiadateľom. </w:t>
      </w:r>
    </w:p>
    <w:p w:rsidR="007A518C" w:rsidP="007A518C">
      <w:pPr>
        <w:bidi w:val="0"/>
        <w:spacing w:after="0" w:line="240" w:lineRule="auto"/>
        <w:jc w:val="both"/>
        <w:rPr>
          <w:rFonts w:ascii="Times New Roman" w:hAnsi="Times New Roman"/>
          <w:sz w:val="24"/>
          <w:szCs w:val="24"/>
        </w:rPr>
      </w:pPr>
    </w:p>
    <w:p w:rsidR="007A518C" w:rsidRPr="00DB77A1" w:rsidP="007A518C">
      <w:pPr>
        <w:bidi w:val="0"/>
        <w:spacing w:after="0" w:line="240" w:lineRule="auto"/>
        <w:jc w:val="both"/>
        <w:rPr>
          <w:rFonts w:ascii="Times New Roman" w:hAnsi="Times New Roman"/>
          <w:b/>
          <w:sz w:val="24"/>
          <w:szCs w:val="24"/>
        </w:rPr>
      </w:pPr>
      <w:r w:rsidRPr="00DB77A1">
        <w:rPr>
          <w:rFonts w:ascii="Times New Roman" w:hAnsi="Times New Roman"/>
          <w:b/>
          <w:sz w:val="24"/>
          <w:szCs w:val="24"/>
        </w:rPr>
        <w:t xml:space="preserve">K bodu </w:t>
      </w:r>
      <w:r>
        <w:rPr>
          <w:rFonts w:ascii="Times New Roman" w:hAnsi="Times New Roman"/>
          <w:b/>
          <w:sz w:val="24"/>
          <w:szCs w:val="24"/>
        </w:rPr>
        <w:t>17</w:t>
      </w:r>
      <w:r w:rsidRPr="00DB77A1">
        <w:rPr>
          <w:rFonts w:ascii="Times New Roman" w:hAnsi="Times New Roman"/>
          <w:b/>
          <w:sz w:val="24"/>
          <w:szCs w:val="24"/>
        </w:rPr>
        <w:t xml:space="preserve"> (§ 17a ods. 1) </w:t>
      </w:r>
    </w:p>
    <w:p w:rsidR="007A518C" w:rsidRPr="00DB77A1" w:rsidP="007A518C">
      <w:pPr>
        <w:bidi w:val="0"/>
        <w:spacing w:after="0" w:line="240" w:lineRule="auto"/>
        <w:jc w:val="both"/>
        <w:rPr>
          <w:rFonts w:ascii="Times New Roman" w:hAnsi="Times New Roman"/>
          <w:sz w:val="24"/>
          <w:szCs w:val="24"/>
        </w:rPr>
      </w:pPr>
      <w:r w:rsidRPr="00DB77A1">
        <w:rPr>
          <w:rFonts w:ascii="Times New Roman" w:hAnsi="Times New Roman"/>
          <w:sz w:val="24"/>
          <w:szCs w:val="24"/>
        </w:rPr>
        <w:tab/>
        <w:t>Navrhuje sa umožniť zastupovanie účastníka konania, jeho zákonného zástupcu alebo opatrovníka v konaní o azyle mimovládnou organizáciou, ktorá poskytuje právnu pomoc cudzincom, pričom sa vymedzuje, kto môže za takúto mimovládnu organizáciu konať (ide o totožné vymedzenie ako v § 50 ods. 2 druhá veta Správneho súdneho poriadku).</w:t>
      </w:r>
    </w:p>
    <w:p w:rsidR="007A518C" w:rsidRPr="0017519B" w:rsidP="007A518C">
      <w:pPr>
        <w:bidi w:val="0"/>
        <w:spacing w:after="0" w:line="240" w:lineRule="auto"/>
        <w:jc w:val="both"/>
        <w:rPr>
          <w:rFonts w:ascii="Times New Roman" w:hAnsi="Times New Roman"/>
          <w:b/>
          <w:color w:val="FF0000"/>
          <w:sz w:val="24"/>
          <w:szCs w:val="24"/>
        </w:rPr>
      </w:pPr>
    </w:p>
    <w:p w:rsidR="007A518C" w:rsidRPr="00D13C86"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18 (§ </w:t>
      </w:r>
      <w:r w:rsidRPr="00D13C86">
        <w:rPr>
          <w:rFonts w:ascii="Times New Roman" w:hAnsi="Times New Roman"/>
          <w:b/>
          <w:sz w:val="24"/>
          <w:szCs w:val="24"/>
        </w:rPr>
        <w:t>18a ods. 2)</w:t>
      </w: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Ide o transpozíciu čl. 31 ods. 4 prepracovanej procedurálnej smernice. Navrhuje sa nová možnosť ministerstva vnútra</w:t>
      </w:r>
      <w:r w:rsidRPr="002065EA">
        <w:rPr>
          <w:rFonts w:ascii="Times New Roman" w:hAnsi="Times New Roman"/>
          <w:sz w:val="24"/>
          <w:szCs w:val="24"/>
        </w:rPr>
        <w:t xml:space="preserve"> </w:t>
      </w:r>
      <w:r>
        <w:rPr>
          <w:rFonts w:ascii="Times New Roman" w:hAnsi="Times New Roman"/>
          <w:sz w:val="24"/>
          <w:szCs w:val="24"/>
        </w:rPr>
        <w:t>prerušiť konanie o udelenie azylu, ak sú splnené podmienky uvedené v predmetnom ustanovení. Určuje sa lehota na prerušenie konania, skutočnosť, že konanie môže byť prerušené aj opakovane a maximálna doba, počas ktorej môže byť konanie prerušené.</w:t>
      </w:r>
      <w:r w:rsidRPr="002065EA">
        <w:rPr>
          <w:rFonts w:ascii="Times New Roman" w:hAnsi="Times New Roman"/>
          <w:sz w:val="24"/>
          <w:szCs w:val="24"/>
        </w:rPr>
        <w:t xml:space="preserve"> </w:t>
      </w:r>
      <w:r>
        <w:rPr>
          <w:rFonts w:ascii="Times New Roman" w:hAnsi="Times New Roman"/>
          <w:sz w:val="24"/>
          <w:szCs w:val="24"/>
        </w:rPr>
        <w:t>Počas takéhoto prerušenia konania neplynú lehoty podľa zákona o azyle, okrem lehoty 21 mesiacov, ktorá je maximálnou možnou lehotou na rozhodnutie v konaní o udelenie azylu, ak bolo konanie prerušené podľa predmetného ustanovenia.</w:t>
      </w:r>
      <w:r>
        <w:rPr>
          <w:rFonts w:ascii="Times New Roman" w:hAnsi="Times New Roman"/>
          <w:color w:val="1F497D" w:themeColor="tx2" w:themeShade="FF"/>
          <w:sz w:val="24"/>
          <w:szCs w:val="24"/>
        </w:rPr>
        <w:t xml:space="preserve"> </w:t>
      </w:r>
      <w:r>
        <w:rPr>
          <w:rFonts w:ascii="Times New Roman" w:hAnsi="Times New Roman"/>
          <w:sz w:val="24"/>
          <w:szCs w:val="24"/>
        </w:rPr>
        <w:t xml:space="preserve">Zároveň sa určuje povinnosť ministerstva vnútra informovať Európsku komisiu o prerušení konaní v súvislosti s určitou krajinou pôvodu.        </w:t>
      </w:r>
    </w:p>
    <w:p w:rsidR="007A518C" w:rsidRPr="00CA4774" w:rsidP="007A518C">
      <w:pPr>
        <w:bidi w:val="0"/>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p>
    <w:p w:rsidR="007A518C" w:rsidRPr="00972EBF"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19 [§ 19 ods. 1 písm. j)]</w:t>
      </w:r>
    </w:p>
    <w:p w:rsidR="007A518C" w:rsidRPr="00E1013F" w:rsidP="007A518C">
      <w:pPr>
        <w:bidi w:val="0"/>
        <w:spacing w:after="0" w:line="240" w:lineRule="auto"/>
        <w:ind w:firstLine="708"/>
        <w:jc w:val="both"/>
        <w:rPr>
          <w:rFonts w:ascii="Times New Roman" w:hAnsi="Times New Roman"/>
          <w:b/>
          <w:color w:val="FF0000"/>
          <w:sz w:val="24"/>
          <w:szCs w:val="24"/>
          <w:u w:val="single"/>
        </w:rPr>
      </w:pPr>
      <w:r>
        <w:rPr>
          <w:rFonts w:ascii="Times New Roman" w:hAnsi="Times New Roman"/>
          <w:sz w:val="24"/>
          <w:szCs w:val="24"/>
        </w:rPr>
        <w:t xml:space="preserve">Ide o legislatívno-technickú úpravu súvisiacu s doplnením nového odseku 2 v § 18a </w:t>
      </w:r>
      <w:r w:rsidRPr="007A08DB">
        <w:rPr>
          <w:rFonts w:ascii="Times New Roman" w:hAnsi="Times New Roman"/>
          <w:sz w:val="24"/>
          <w:szCs w:val="24"/>
        </w:rPr>
        <w:t xml:space="preserve">(bod </w:t>
      </w:r>
      <w:r w:rsidRPr="00C35D50">
        <w:rPr>
          <w:rFonts w:ascii="Times New Roman" w:hAnsi="Times New Roman"/>
          <w:sz w:val="24"/>
          <w:szCs w:val="24"/>
        </w:rPr>
        <w:t>21</w:t>
      </w:r>
      <w:r w:rsidRPr="007A08DB">
        <w:rPr>
          <w:rFonts w:ascii="Times New Roman" w:hAnsi="Times New Roman"/>
          <w:sz w:val="24"/>
          <w:szCs w:val="24"/>
        </w:rPr>
        <w:t>).</w:t>
      </w:r>
      <w:r w:rsidRPr="007A08DB">
        <w:rPr>
          <w:rFonts w:ascii="Times New Roman" w:hAnsi="Times New Roman"/>
          <w:b/>
          <w:sz w:val="24"/>
          <w:szCs w:val="24"/>
        </w:rPr>
        <w:t xml:space="preserve"> </w:t>
      </w:r>
    </w:p>
    <w:p w:rsidR="007A518C" w:rsidP="007A518C">
      <w:pPr>
        <w:bidi w:val="0"/>
        <w:spacing w:after="0" w:line="240" w:lineRule="auto"/>
        <w:jc w:val="both"/>
        <w:rPr>
          <w:rFonts w:ascii="Times New Roman" w:hAnsi="Times New Roman"/>
          <w:b/>
          <w:sz w:val="24"/>
          <w:szCs w:val="24"/>
          <w:u w:val="single"/>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C35D50">
        <w:rPr>
          <w:rFonts w:ascii="Times New Roman" w:hAnsi="Times New Roman"/>
          <w:b/>
          <w:sz w:val="24"/>
          <w:szCs w:val="24"/>
        </w:rPr>
        <w:t>2</w:t>
      </w:r>
      <w:r>
        <w:rPr>
          <w:rFonts w:ascii="Times New Roman" w:hAnsi="Times New Roman"/>
          <w:b/>
          <w:sz w:val="24"/>
          <w:szCs w:val="24"/>
        </w:rPr>
        <w:t>1 (§ 20 ods. 1)</w:t>
      </w: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Ide o transpozíciu čl. 31 ods. 3 a ods. 5 prepracovanej procedurálnej smernice. Za účelom zabezpečenia transpozície čl. 31 ods. 3 sa navrhuje zmena dĺžky lehoty, v rámci ktorej má ministerstvo vnútra rozhodnúť v konaní o azyle z 90 dní na šesť mesiacov. Súčasne sa stanovuje, že lehotu na rozhodnutie možno predĺžiť aj opakovane, určuje sa čas, o ktorý možno túto lehotu predĺžiť, stanovujú sa konkrétne podmienky, za akých ju možno predĺžiť a kto je oprávnený túto lehotu predĺžiť. Zachováva sa povinnosť ministerstva vnútra písomne vyrozumieť žiadateľa o predĺžení lehoty na rozhodnutie vo veci žiadosti o udelenie azylu. Ustanovuje sa povinnosť na požiadanie informovať žiadateľa o dôvodoch predĺženia lehoty a čase, kedy možno očakávať rozhodnutie o jeho žiadosti.  </w:t>
      </w:r>
    </w:p>
    <w:p w:rsidR="007A518C" w:rsidP="007A518C">
      <w:pPr>
        <w:bidi w:val="0"/>
        <w:spacing w:after="0" w:line="240" w:lineRule="auto"/>
        <w:jc w:val="both"/>
        <w:rPr>
          <w:rFonts w:ascii="Times New Roman" w:hAnsi="Times New Roman"/>
          <w:sz w:val="24"/>
          <w:szCs w:val="24"/>
        </w:rPr>
      </w:pPr>
      <w:r>
        <w:rPr>
          <w:rFonts w:ascii="Times New Roman" w:hAnsi="Times New Roman"/>
          <w:sz w:val="24"/>
          <w:szCs w:val="24"/>
        </w:rPr>
        <w:tab/>
        <w:t xml:space="preserve">Za účelom zabezpečenia transpozície čl. 31 ods. 5 sa v predmetnom ustanovení  navrhuje maximálna lehota 21 mesiacov, v rámci ktorej ministerstvo vnútra rozhodne v konaní o udelenie azylu, ktoré bolo prerušené podľa § 18a ods. 2.    </w:t>
      </w:r>
    </w:p>
    <w:p w:rsidR="007A518C" w:rsidP="007A518C">
      <w:pPr>
        <w:bidi w:val="0"/>
        <w:spacing w:after="0" w:line="240" w:lineRule="auto"/>
        <w:jc w:val="both"/>
        <w:rPr>
          <w:rFonts w:ascii="Times New Roman" w:hAnsi="Times New Roman"/>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C35D50">
        <w:rPr>
          <w:rFonts w:ascii="Times New Roman" w:hAnsi="Times New Roman"/>
          <w:b/>
          <w:sz w:val="24"/>
          <w:szCs w:val="24"/>
        </w:rPr>
        <w:t>2</w:t>
      </w:r>
      <w:r>
        <w:rPr>
          <w:rFonts w:ascii="Times New Roman" w:hAnsi="Times New Roman"/>
          <w:b/>
          <w:sz w:val="24"/>
          <w:szCs w:val="24"/>
        </w:rPr>
        <w:t>2</w:t>
      </w:r>
      <w:r w:rsidRPr="00F870DF">
        <w:rPr>
          <w:rFonts w:ascii="Times New Roman" w:hAnsi="Times New Roman"/>
          <w:b/>
          <w:sz w:val="24"/>
          <w:szCs w:val="24"/>
        </w:rPr>
        <w:t xml:space="preserve"> (§ 20 ods. 3)</w:t>
      </w:r>
    </w:p>
    <w:p w:rsidR="007A518C" w:rsidRPr="0048369D"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Uvedené doplnenie sa navrhuje za </w:t>
      </w:r>
      <w:r w:rsidRPr="00F870DF">
        <w:rPr>
          <w:rFonts w:ascii="Times New Roman" w:hAnsi="Times New Roman"/>
          <w:sz w:val="24"/>
          <w:szCs w:val="24"/>
        </w:rPr>
        <w:t xml:space="preserve">účelom úpravy postupu v zákone o azyle v prípade, </w:t>
      </w:r>
      <w:r>
        <w:rPr>
          <w:rFonts w:ascii="Times New Roman" w:hAnsi="Times New Roman"/>
          <w:sz w:val="24"/>
          <w:szCs w:val="24"/>
        </w:rPr>
        <w:t xml:space="preserve">ak sa dôvod pre zrušenie doplnkovej ochrany podľa § 15b ods. 3 zistí počas konania o predĺženie doplnkovej ochrany. Ak ministerstvo vnútra počas konania o predĺženie doplnkovej ochrany zistí, že cudzincovi udelil pobyt bez časového obmedzenia iný štát ako jeho krajina pôvodu, v takom prípade cudzincovi doplnkovú ochranu nepredlží.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Pr="00C35D50">
        <w:rPr>
          <w:rFonts w:ascii="Times New Roman" w:hAnsi="Times New Roman"/>
          <w:b/>
          <w:sz w:val="24"/>
          <w:szCs w:val="24"/>
        </w:rPr>
        <w:t>2</w:t>
      </w:r>
      <w:r>
        <w:rPr>
          <w:rFonts w:ascii="Times New Roman" w:hAnsi="Times New Roman"/>
          <w:b/>
          <w:sz w:val="24"/>
          <w:szCs w:val="24"/>
        </w:rPr>
        <w:t>3 (§ 20 ods. 4)</w:t>
      </w:r>
      <w:r>
        <w:rPr>
          <w:rFonts w:ascii="Times New Roman" w:hAnsi="Times New Roman"/>
          <w:sz w:val="24"/>
          <w:szCs w:val="24"/>
        </w:rPr>
        <w:t xml:space="preserve">        </w:t>
      </w:r>
    </w:p>
    <w:p w:rsidR="007A518C" w:rsidRPr="00977B85" w:rsidP="007A518C">
      <w:pPr>
        <w:bidi w:val="0"/>
        <w:spacing w:after="0" w:line="240" w:lineRule="auto"/>
        <w:ind w:firstLine="708"/>
        <w:jc w:val="both"/>
        <w:rPr>
          <w:rFonts w:ascii="Times New Roman" w:hAnsi="Times New Roman"/>
          <w:b/>
          <w:color w:val="002060"/>
          <w:sz w:val="24"/>
          <w:szCs w:val="24"/>
        </w:rPr>
      </w:pPr>
      <w:r w:rsidRPr="00A47D4B">
        <w:rPr>
          <w:rFonts w:ascii="Times New Roman" w:hAnsi="Times New Roman"/>
          <w:sz w:val="24"/>
          <w:szCs w:val="24"/>
        </w:rPr>
        <w:t>Navrhuje sa úprava súčasného zneni</w:t>
      </w:r>
      <w:r w:rsidRPr="00F870DF">
        <w:rPr>
          <w:rFonts w:ascii="Times New Roman" w:hAnsi="Times New Roman"/>
          <w:sz w:val="24"/>
          <w:szCs w:val="24"/>
        </w:rPr>
        <w:t xml:space="preserve">a predmetného ustanovenia </w:t>
      </w:r>
      <w:r w:rsidRPr="00A47D4B">
        <w:rPr>
          <w:rFonts w:ascii="Times New Roman" w:hAnsi="Times New Roman"/>
          <w:sz w:val="24"/>
          <w:szCs w:val="24"/>
        </w:rPr>
        <w:t xml:space="preserve">doplnením ďalšej výnimky z povinnosti ministerstva vnútra rozhodnúť o tom, či cudzincovi </w:t>
      </w:r>
      <w:r>
        <w:rPr>
          <w:rFonts w:ascii="Times New Roman" w:hAnsi="Times New Roman"/>
          <w:sz w:val="24"/>
          <w:szCs w:val="24"/>
        </w:rPr>
        <w:t>poskytne doplnkovú ochranu</w:t>
      </w:r>
      <w:r w:rsidRPr="00A47D4B">
        <w:rPr>
          <w:rFonts w:ascii="Times New Roman" w:hAnsi="Times New Roman"/>
          <w:sz w:val="24"/>
          <w:szCs w:val="24"/>
        </w:rPr>
        <w:t xml:space="preserve"> v</w:t>
      </w:r>
      <w:r>
        <w:rPr>
          <w:rFonts w:ascii="Times New Roman" w:hAnsi="Times New Roman"/>
          <w:sz w:val="24"/>
          <w:szCs w:val="24"/>
        </w:rPr>
        <w:t> </w:t>
      </w:r>
      <w:r w:rsidRPr="00A47D4B">
        <w:rPr>
          <w:rFonts w:ascii="Times New Roman" w:hAnsi="Times New Roman"/>
          <w:sz w:val="24"/>
          <w:szCs w:val="24"/>
        </w:rPr>
        <w:t>prípade</w:t>
      </w:r>
      <w:r>
        <w:rPr>
          <w:rFonts w:ascii="Times New Roman" w:hAnsi="Times New Roman"/>
          <w:sz w:val="24"/>
          <w:szCs w:val="24"/>
        </w:rPr>
        <w:t>,</w:t>
      </w:r>
      <w:r w:rsidRPr="00A47D4B">
        <w:rPr>
          <w:rFonts w:ascii="Times New Roman" w:hAnsi="Times New Roman"/>
          <w:sz w:val="24"/>
          <w:szCs w:val="24"/>
        </w:rPr>
        <w:t xml:space="preserve"> keď rozhodne o neudelení azylu alebo o odňatí azylu. Navrhovaná výnimka sa bude uplatňovať</w:t>
      </w:r>
      <w:r>
        <w:rPr>
          <w:rFonts w:ascii="Times New Roman" w:hAnsi="Times New Roman"/>
          <w:sz w:val="24"/>
          <w:szCs w:val="24"/>
        </w:rPr>
        <w:t>,</w:t>
      </w:r>
      <w:r w:rsidRPr="00A47D4B">
        <w:rPr>
          <w:rFonts w:ascii="Times New Roman" w:hAnsi="Times New Roman"/>
          <w:sz w:val="24"/>
          <w:szCs w:val="24"/>
        </w:rPr>
        <w:t xml:space="preserve"> ak ministerstvo </w:t>
      </w:r>
      <w:r>
        <w:rPr>
          <w:rFonts w:ascii="Times New Roman" w:hAnsi="Times New Roman"/>
          <w:sz w:val="24"/>
          <w:szCs w:val="24"/>
        </w:rPr>
        <w:t xml:space="preserve">vnútra </w:t>
      </w:r>
      <w:r w:rsidRPr="00A47D4B">
        <w:rPr>
          <w:rFonts w:ascii="Times New Roman" w:hAnsi="Times New Roman"/>
          <w:sz w:val="24"/>
          <w:szCs w:val="24"/>
        </w:rPr>
        <w:t>rozhodne o odňatí azylu, ktorý bol udelený podľa § 9 (humanitné dôvody) alebo § 10 (zlúčenie rodiny), z</w:t>
      </w:r>
      <w:r>
        <w:rPr>
          <w:rFonts w:ascii="Times New Roman" w:hAnsi="Times New Roman"/>
          <w:sz w:val="24"/>
          <w:szCs w:val="24"/>
        </w:rPr>
        <w:t> </w:t>
      </w:r>
      <w:r w:rsidRPr="00A47D4B">
        <w:rPr>
          <w:rFonts w:ascii="Times New Roman" w:hAnsi="Times New Roman"/>
          <w:sz w:val="24"/>
          <w:szCs w:val="24"/>
        </w:rPr>
        <w:t>dôvodu</w:t>
      </w:r>
      <w:r>
        <w:rPr>
          <w:rFonts w:ascii="Times New Roman" w:hAnsi="Times New Roman"/>
          <w:sz w:val="24"/>
          <w:szCs w:val="24"/>
        </w:rPr>
        <w:t>,</w:t>
      </w:r>
      <w:r w:rsidRPr="00A47D4B">
        <w:rPr>
          <w:rFonts w:ascii="Times New Roman" w:hAnsi="Times New Roman"/>
          <w:sz w:val="24"/>
          <w:szCs w:val="24"/>
        </w:rPr>
        <w:t xml:space="preserve"> že azylantovi udelil pobyt bez časového obmedzenia iný štát.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C35D50">
        <w:rPr>
          <w:rFonts w:ascii="Times New Roman" w:hAnsi="Times New Roman"/>
          <w:b/>
          <w:sz w:val="24"/>
          <w:szCs w:val="24"/>
        </w:rPr>
        <w:t>2</w:t>
      </w:r>
      <w:r>
        <w:rPr>
          <w:rFonts w:ascii="Times New Roman" w:hAnsi="Times New Roman"/>
          <w:b/>
          <w:sz w:val="24"/>
          <w:szCs w:val="24"/>
        </w:rPr>
        <w:t>4 (§ 21 ods. 3)</w:t>
      </w: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Predmetné ustanovenie je potrebné doplniť o rozhodnutie o odňatí azylu v časti o </w:t>
      </w:r>
      <w:r w:rsidRPr="00064D2E">
        <w:rPr>
          <w:rFonts w:ascii="Times New Roman" w:hAnsi="Times New Roman"/>
          <w:sz w:val="24"/>
          <w:szCs w:val="24"/>
        </w:rPr>
        <w:t xml:space="preserve">poskytnutí doplnkovej ochrany, nakoľko ani v prípade takéhoto pozitívneho rozhodnutia v konaní o odňatie azylu (rozhodnutie o poskytnutí doplnkovej ochrany) </w:t>
      </w:r>
      <w:r>
        <w:rPr>
          <w:rFonts w:ascii="Times New Roman" w:hAnsi="Times New Roman"/>
          <w:sz w:val="24"/>
          <w:szCs w:val="24"/>
        </w:rPr>
        <w:t xml:space="preserve">nemá byť daná možnosť podať rozklad a ani možnosť preskúmať takéto rozhodnutie správnym súdom. </w:t>
      </w:r>
    </w:p>
    <w:p w:rsidR="007A518C" w:rsidP="007A518C">
      <w:pPr>
        <w:bidi w:val="0"/>
        <w:spacing w:after="0" w:line="240" w:lineRule="auto"/>
        <w:jc w:val="both"/>
        <w:rPr>
          <w:rFonts w:ascii="Times New Roman" w:hAnsi="Times New Roman"/>
          <w:sz w:val="24"/>
          <w:szCs w:val="24"/>
        </w:rPr>
      </w:pPr>
    </w:p>
    <w:p w:rsidR="007A518C" w:rsidRPr="00F878E5" w:rsidP="007A518C">
      <w:pPr>
        <w:bidi w:val="0"/>
        <w:spacing w:after="0" w:line="240" w:lineRule="auto"/>
        <w:jc w:val="both"/>
        <w:rPr>
          <w:rFonts w:ascii="Times New Roman" w:hAnsi="Times New Roman"/>
          <w:b/>
          <w:sz w:val="24"/>
          <w:szCs w:val="24"/>
        </w:rPr>
      </w:pPr>
      <w:r w:rsidRPr="00F878E5">
        <w:rPr>
          <w:rFonts w:ascii="Times New Roman" w:hAnsi="Times New Roman"/>
          <w:b/>
          <w:sz w:val="24"/>
          <w:szCs w:val="24"/>
        </w:rPr>
        <w:t xml:space="preserve">K bodu </w:t>
      </w:r>
      <w:r>
        <w:rPr>
          <w:rFonts w:ascii="Times New Roman" w:hAnsi="Times New Roman"/>
          <w:b/>
          <w:sz w:val="24"/>
          <w:szCs w:val="24"/>
        </w:rPr>
        <w:t>25</w:t>
      </w:r>
      <w:r w:rsidRPr="00F878E5">
        <w:rPr>
          <w:rFonts w:ascii="Times New Roman" w:hAnsi="Times New Roman"/>
          <w:b/>
          <w:sz w:val="24"/>
          <w:szCs w:val="24"/>
        </w:rPr>
        <w:t xml:space="preserve"> (§ 22 ods. 1)</w:t>
      </w:r>
    </w:p>
    <w:p w:rsidR="007A518C" w:rsidRPr="00F878E5" w:rsidP="007A518C">
      <w:pPr>
        <w:bidi w:val="0"/>
        <w:spacing w:after="0" w:line="240" w:lineRule="auto"/>
        <w:jc w:val="both"/>
        <w:rPr>
          <w:rFonts w:ascii="Times New Roman" w:hAnsi="Times New Roman"/>
          <w:sz w:val="24"/>
          <w:szCs w:val="24"/>
        </w:rPr>
      </w:pPr>
      <w:r w:rsidRPr="00F878E5">
        <w:rPr>
          <w:rFonts w:ascii="Times New Roman" w:hAnsi="Times New Roman"/>
          <w:b/>
          <w:sz w:val="24"/>
          <w:szCs w:val="24"/>
        </w:rPr>
        <w:tab/>
      </w:r>
      <w:r w:rsidRPr="00F878E5">
        <w:rPr>
          <w:rFonts w:ascii="Times New Roman" w:hAnsi="Times New Roman"/>
          <w:sz w:val="24"/>
          <w:szCs w:val="24"/>
        </w:rPr>
        <w:t>Navrhuje</w:t>
      </w:r>
      <w:r w:rsidRPr="00F878E5">
        <w:rPr>
          <w:rFonts w:ascii="Times New Roman" w:hAnsi="Times New Roman"/>
          <w:b/>
          <w:sz w:val="24"/>
          <w:szCs w:val="24"/>
        </w:rPr>
        <w:t xml:space="preserve"> </w:t>
      </w:r>
      <w:r w:rsidRPr="00F878E5">
        <w:rPr>
          <w:rFonts w:ascii="Times New Roman" w:hAnsi="Times New Roman"/>
          <w:sz w:val="24"/>
          <w:szCs w:val="24"/>
        </w:rPr>
        <w:t xml:space="preserve">sa nové znenie týkajúce sa oprávnenosti žiadateľa zdržiavať sa na území Slovenskej republiky. V súlade s praxou návrh precizuje predmetné ustanovenie tak, aby bolo zrejmé, že žiadateľ je, s výnimkou prípadov uvedených v tomto zákone alebo v osobitných predpisoch, oprávnený zdržiavať sa na území Slovenskej republiky aj počas lehoty na podanie správnej žaloby a počas lehoty na podanie kasačnej sťažnosti, ako aj do rozhodnutia súdu o priznaní odkladného účinku pri správnej žalobe, resp. kasačnej sťažnosti.    </w:t>
      </w:r>
    </w:p>
    <w:p w:rsidR="007A518C" w:rsidRPr="00F878E5" w:rsidP="007A518C">
      <w:pPr>
        <w:bidi w:val="0"/>
        <w:spacing w:after="0" w:line="240" w:lineRule="auto"/>
        <w:jc w:val="both"/>
        <w:rPr>
          <w:rFonts w:ascii="Times New Roman" w:hAnsi="Times New Roman"/>
          <w:b/>
          <w:sz w:val="24"/>
          <w:szCs w:val="24"/>
        </w:rPr>
      </w:pPr>
    </w:p>
    <w:p w:rsidR="007A518C" w:rsidRPr="00F878E5" w:rsidP="007A518C">
      <w:pPr>
        <w:bidi w:val="0"/>
        <w:spacing w:after="0" w:line="240" w:lineRule="auto"/>
        <w:jc w:val="both"/>
        <w:rPr>
          <w:rFonts w:ascii="Times New Roman" w:hAnsi="Times New Roman"/>
          <w:b/>
          <w:sz w:val="24"/>
          <w:szCs w:val="24"/>
        </w:rPr>
      </w:pPr>
      <w:r w:rsidRPr="00F878E5">
        <w:rPr>
          <w:rFonts w:ascii="Times New Roman" w:hAnsi="Times New Roman"/>
          <w:b/>
          <w:sz w:val="24"/>
          <w:szCs w:val="24"/>
        </w:rPr>
        <w:t xml:space="preserve">K bodu </w:t>
      </w:r>
      <w:r>
        <w:rPr>
          <w:rFonts w:ascii="Times New Roman" w:hAnsi="Times New Roman"/>
          <w:b/>
          <w:sz w:val="24"/>
          <w:szCs w:val="24"/>
        </w:rPr>
        <w:t>26</w:t>
      </w:r>
      <w:r w:rsidRPr="00F878E5">
        <w:rPr>
          <w:rFonts w:ascii="Times New Roman" w:hAnsi="Times New Roman"/>
          <w:b/>
          <w:sz w:val="24"/>
          <w:szCs w:val="24"/>
        </w:rPr>
        <w:t xml:space="preserve"> [§ 23 ods. 4 písm. k) a § 27b písm. d)] </w:t>
      </w:r>
    </w:p>
    <w:p w:rsidR="007A518C" w:rsidRPr="00F878E5" w:rsidP="007A518C">
      <w:pPr>
        <w:bidi w:val="0"/>
        <w:spacing w:after="0" w:line="240" w:lineRule="auto"/>
        <w:jc w:val="both"/>
        <w:rPr>
          <w:rFonts w:ascii="Times New Roman" w:hAnsi="Times New Roman"/>
          <w:b/>
          <w:sz w:val="24"/>
          <w:szCs w:val="24"/>
        </w:rPr>
      </w:pPr>
      <w:r w:rsidRPr="00F878E5">
        <w:rPr>
          <w:rFonts w:ascii="Times New Roman" w:hAnsi="Times New Roman"/>
          <w:b/>
          <w:sz w:val="24"/>
          <w:szCs w:val="24"/>
        </w:rPr>
        <w:tab/>
      </w:r>
      <w:r w:rsidRPr="00F878E5">
        <w:rPr>
          <w:rFonts w:ascii="Times New Roman" w:hAnsi="Times New Roman"/>
          <w:sz w:val="24"/>
          <w:szCs w:val="24"/>
        </w:rPr>
        <w:t>Spresňuje sa povinnosť žiadateľa o udelenie azylu a cudzinca, ktorému sa poskytla doplnková ochrana, odovzdať po vzniku pracovnoprávneho vzťahu ministerstvu vnútra doklad o oprávnení na poskytnutie zdravotnej starostlivosti len na prípad, ak na základe takéhoto pracovnoprávneho vzťahu vstúpil do systému verejného zdravotného poistenia v Slovenskej republike. </w:t>
      </w:r>
    </w:p>
    <w:p w:rsidR="007A518C" w:rsidRPr="00F878E5" w:rsidP="007A518C">
      <w:pPr>
        <w:bidi w:val="0"/>
        <w:spacing w:after="0" w:line="240" w:lineRule="auto"/>
        <w:jc w:val="both"/>
        <w:rPr>
          <w:rFonts w:ascii="Times New Roman" w:hAnsi="Times New Roman"/>
          <w:sz w:val="24"/>
          <w:szCs w:val="24"/>
        </w:rPr>
      </w:pPr>
    </w:p>
    <w:p w:rsidR="007A518C" w:rsidRPr="004F49AF"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27 [§ 23 ods. 4 písm. l)]</w:t>
      </w:r>
    </w:p>
    <w:p w:rsidR="007A518C" w:rsidRPr="000460A1" w:rsidP="007A518C">
      <w:pPr>
        <w:bidi w:val="0"/>
        <w:spacing w:after="0" w:line="240" w:lineRule="auto"/>
        <w:ind w:firstLine="708"/>
        <w:jc w:val="both"/>
        <w:rPr>
          <w:rFonts w:ascii="Times New Roman" w:hAnsi="Times New Roman"/>
          <w:color w:val="000000" w:themeColor="tx1" w:themeShade="FF"/>
          <w:sz w:val="24"/>
          <w:szCs w:val="24"/>
        </w:rPr>
      </w:pPr>
      <w:r w:rsidRPr="000460A1">
        <w:rPr>
          <w:rFonts w:ascii="Times New Roman" w:hAnsi="Times New Roman"/>
          <w:color w:val="000000" w:themeColor="tx1" w:themeShade="FF"/>
          <w:sz w:val="24"/>
          <w:szCs w:val="24"/>
        </w:rPr>
        <w:t>Navrhuje sa vypustenie predmetn</w:t>
      </w:r>
      <w:r>
        <w:rPr>
          <w:rFonts w:ascii="Times New Roman" w:hAnsi="Times New Roman"/>
          <w:color w:val="000000" w:themeColor="tx1" w:themeShade="FF"/>
          <w:sz w:val="24"/>
          <w:szCs w:val="24"/>
        </w:rPr>
        <w:t>ého ustanovenia</w:t>
      </w:r>
      <w:r w:rsidRPr="000460A1">
        <w:rPr>
          <w:rFonts w:ascii="Times New Roman" w:hAnsi="Times New Roman"/>
          <w:color w:val="000000" w:themeColor="tx1" w:themeShade="FF"/>
          <w:sz w:val="24"/>
          <w:szCs w:val="24"/>
        </w:rPr>
        <w:t xml:space="preserve"> a premietnutie </w:t>
      </w:r>
      <w:r>
        <w:rPr>
          <w:rFonts w:ascii="Times New Roman" w:hAnsi="Times New Roman"/>
          <w:color w:val="000000" w:themeColor="tx1" w:themeShade="FF"/>
          <w:sz w:val="24"/>
          <w:szCs w:val="24"/>
        </w:rPr>
        <w:t xml:space="preserve">povinnosti, ktorá je jeho obsahom, </w:t>
      </w:r>
      <w:r w:rsidRPr="000460A1">
        <w:rPr>
          <w:rFonts w:ascii="Times New Roman" w:hAnsi="Times New Roman"/>
          <w:color w:val="000000" w:themeColor="tx1" w:themeShade="FF"/>
          <w:sz w:val="24"/>
          <w:szCs w:val="24"/>
        </w:rPr>
        <w:t>do § 47b ods. 1 písm. a) a b</w:t>
      </w:r>
      <w:r>
        <w:rPr>
          <w:rFonts w:ascii="Times New Roman" w:hAnsi="Times New Roman"/>
          <w:color w:val="000000" w:themeColor="tx1" w:themeShade="FF"/>
          <w:sz w:val="24"/>
          <w:szCs w:val="24"/>
        </w:rPr>
        <w:t>)</w:t>
      </w:r>
      <w:r w:rsidRPr="000460A1">
        <w:rPr>
          <w:rFonts w:ascii="Times New Roman" w:hAnsi="Times New Roman"/>
          <w:color w:val="000000" w:themeColor="tx1" w:themeShade="FF"/>
          <w:sz w:val="24"/>
          <w:szCs w:val="24"/>
        </w:rPr>
        <w:t xml:space="preserve"> 1. </w:t>
      </w:r>
      <w:r w:rsidRPr="007A08DB">
        <w:rPr>
          <w:rFonts w:ascii="Times New Roman" w:hAnsi="Times New Roman"/>
          <w:color w:val="000000" w:themeColor="tx1" w:themeShade="FF"/>
          <w:sz w:val="24"/>
          <w:szCs w:val="24"/>
        </w:rPr>
        <w:t xml:space="preserve">bodu </w:t>
      </w:r>
      <w:r w:rsidRPr="00046500">
        <w:rPr>
          <w:rFonts w:ascii="Times New Roman" w:hAnsi="Times New Roman"/>
          <w:sz w:val="24"/>
          <w:szCs w:val="24"/>
        </w:rPr>
        <w:t xml:space="preserve">(bod </w:t>
      </w:r>
      <w:r w:rsidRPr="003233CF">
        <w:rPr>
          <w:rFonts w:ascii="Times New Roman" w:hAnsi="Times New Roman"/>
          <w:sz w:val="24"/>
          <w:szCs w:val="24"/>
        </w:rPr>
        <w:t>38</w:t>
      </w:r>
      <w:r w:rsidRPr="00046500">
        <w:rPr>
          <w:rFonts w:ascii="Times New Roman" w:hAnsi="Times New Roman"/>
          <w:sz w:val="24"/>
          <w:szCs w:val="24"/>
        </w:rPr>
        <w:t>).</w:t>
      </w:r>
      <w:r w:rsidRPr="00E1013F">
        <w:rPr>
          <w:rFonts w:ascii="Times New Roman" w:hAnsi="Times New Roman"/>
          <w:color w:val="FF0000"/>
          <w:sz w:val="24"/>
          <w:szCs w:val="24"/>
        </w:rPr>
        <w:t xml:space="preserve"> </w:t>
      </w:r>
      <w:r>
        <w:rPr>
          <w:rFonts w:ascii="Times New Roman" w:hAnsi="Times New Roman"/>
          <w:color w:val="000000" w:themeColor="tx1" w:themeShade="FF"/>
          <w:sz w:val="24"/>
          <w:szCs w:val="24"/>
        </w:rPr>
        <w:t xml:space="preserve">Je totiž potrebné </w:t>
      </w:r>
      <w:r w:rsidRPr="000460A1">
        <w:rPr>
          <w:rFonts w:ascii="Times New Roman" w:hAnsi="Times New Roman"/>
          <w:color w:val="000000" w:themeColor="tx1" w:themeShade="FF"/>
          <w:sz w:val="24"/>
          <w:szCs w:val="24"/>
        </w:rPr>
        <w:t>túto povinnosť vyňať z</w:t>
      </w:r>
      <w:r>
        <w:rPr>
          <w:rFonts w:ascii="Times New Roman" w:hAnsi="Times New Roman"/>
          <w:color w:val="000000" w:themeColor="tx1" w:themeShade="FF"/>
          <w:sz w:val="24"/>
          <w:szCs w:val="24"/>
        </w:rPr>
        <w:t> </w:t>
      </w:r>
      <w:r w:rsidRPr="000460A1">
        <w:rPr>
          <w:rFonts w:ascii="Times New Roman" w:hAnsi="Times New Roman"/>
          <w:color w:val="000000" w:themeColor="tx1" w:themeShade="FF"/>
          <w:sz w:val="24"/>
          <w:szCs w:val="24"/>
        </w:rPr>
        <w:t>ustanovenia</w:t>
      </w:r>
      <w:r>
        <w:rPr>
          <w:rFonts w:ascii="Times New Roman" w:hAnsi="Times New Roman"/>
          <w:color w:val="000000" w:themeColor="tx1" w:themeShade="FF"/>
          <w:sz w:val="24"/>
          <w:szCs w:val="24"/>
        </w:rPr>
        <w:t xml:space="preserve"> upravujúceho</w:t>
      </w:r>
      <w:r w:rsidRPr="000460A1">
        <w:rPr>
          <w:rFonts w:ascii="Times New Roman" w:hAnsi="Times New Roman"/>
          <w:color w:val="000000" w:themeColor="tx1" w:themeShade="FF"/>
          <w:sz w:val="24"/>
          <w:szCs w:val="24"/>
        </w:rPr>
        <w:t xml:space="preserve"> povinnosti žiadateľa vzhľadom na skutočnosť, že cudzinec má</w:t>
      </w:r>
      <w:r>
        <w:rPr>
          <w:rFonts w:ascii="Times New Roman" w:hAnsi="Times New Roman"/>
          <w:color w:val="000000" w:themeColor="tx1" w:themeShade="FF"/>
          <w:sz w:val="24"/>
          <w:szCs w:val="24"/>
        </w:rPr>
        <w:t xml:space="preserve"> mať</w:t>
      </w:r>
      <w:r w:rsidRPr="000460A1">
        <w:rPr>
          <w:rFonts w:ascii="Times New Roman" w:hAnsi="Times New Roman"/>
          <w:color w:val="000000" w:themeColor="tx1" w:themeShade="FF"/>
          <w:sz w:val="24"/>
          <w:szCs w:val="24"/>
        </w:rPr>
        <w:t xml:space="preserve"> povinnosť odovzdať predmetné doklady až</w:t>
      </w:r>
      <w:r>
        <w:rPr>
          <w:rFonts w:ascii="Times New Roman" w:hAnsi="Times New Roman"/>
          <w:color w:val="000000" w:themeColor="tx1" w:themeShade="FF"/>
          <w:sz w:val="24"/>
          <w:szCs w:val="24"/>
        </w:rPr>
        <w:t xml:space="preserve"> v čase,</w:t>
      </w:r>
      <w:r w:rsidRPr="000460A1">
        <w:rPr>
          <w:rFonts w:ascii="Times New Roman" w:hAnsi="Times New Roman"/>
          <w:color w:val="000000" w:themeColor="tx1" w:themeShade="FF"/>
          <w:sz w:val="24"/>
          <w:szCs w:val="24"/>
        </w:rPr>
        <w:t xml:space="preserve"> keď už nie je žiadateľom.</w:t>
      </w:r>
      <w:r>
        <w:rPr>
          <w:rFonts w:ascii="Times New Roman" w:hAnsi="Times New Roman"/>
          <w:color w:val="000000" w:themeColor="tx1" w:themeShade="FF"/>
          <w:sz w:val="24"/>
          <w:szCs w:val="24"/>
        </w:rPr>
        <w:t xml:space="preserve"> Zároveň navrhované ustanovenia je potrebné uviesť do súladu </w:t>
      </w:r>
      <w:r w:rsidRPr="000460A1">
        <w:rPr>
          <w:rFonts w:ascii="Times New Roman" w:hAnsi="Times New Roman"/>
          <w:color w:val="000000" w:themeColor="tx1" w:themeShade="FF"/>
          <w:sz w:val="24"/>
          <w:szCs w:val="24"/>
        </w:rPr>
        <w:t>s definíci</w:t>
      </w:r>
      <w:r>
        <w:rPr>
          <w:rFonts w:ascii="Times New Roman" w:hAnsi="Times New Roman"/>
          <w:color w:val="000000" w:themeColor="tx1" w:themeShade="FF"/>
          <w:sz w:val="24"/>
          <w:szCs w:val="24"/>
        </w:rPr>
        <w:t>ou</w:t>
      </w:r>
      <w:r w:rsidRPr="000460A1">
        <w:rPr>
          <w:rFonts w:ascii="Times New Roman" w:hAnsi="Times New Roman"/>
          <w:color w:val="000000" w:themeColor="tx1" w:themeShade="FF"/>
          <w:sz w:val="24"/>
          <w:szCs w:val="24"/>
        </w:rPr>
        <w:t xml:space="preserve"> žiadateľa podľa §</w:t>
      </w:r>
      <w:r>
        <w:rPr>
          <w:rFonts w:ascii="Times New Roman" w:hAnsi="Times New Roman"/>
          <w:color w:val="000000" w:themeColor="tx1" w:themeShade="FF"/>
          <w:sz w:val="24"/>
          <w:szCs w:val="24"/>
        </w:rPr>
        <w:t> </w:t>
      </w:r>
      <w:r w:rsidRPr="000460A1">
        <w:rPr>
          <w:rFonts w:ascii="Times New Roman" w:hAnsi="Times New Roman"/>
          <w:color w:val="000000" w:themeColor="tx1" w:themeShade="FF"/>
          <w:sz w:val="24"/>
          <w:szCs w:val="24"/>
        </w:rPr>
        <w:t>2 písm. h)</w:t>
      </w:r>
      <w:r>
        <w:rPr>
          <w:rFonts w:ascii="Times New Roman" w:hAnsi="Times New Roman"/>
          <w:color w:val="000000" w:themeColor="tx1" w:themeShade="FF"/>
          <w:sz w:val="24"/>
          <w:szCs w:val="24"/>
        </w:rPr>
        <w:t xml:space="preserve">, a teda, že cudzinec nie je povinný odovzdať doklady už po ukončení konania, ale až keď už nie je žiadateľom. </w:t>
      </w:r>
      <w:r w:rsidRPr="000460A1">
        <w:rPr>
          <w:rFonts w:ascii="Times New Roman" w:hAnsi="Times New Roman"/>
          <w:color w:val="000000" w:themeColor="tx1" w:themeShade="FF"/>
          <w:sz w:val="24"/>
          <w:szCs w:val="24"/>
        </w:rPr>
        <w:t xml:space="preserve"> </w:t>
      </w:r>
    </w:p>
    <w:p w:rsidR="007A518C" w:rsidRPr="00683063" w:rsidP="007A518C">
      <w:pPr>
        <w:bidi w:val="0"/>
        <w:spacing w:after="0" w:line="240" w:lineRule="auto"/>
        <w:jc w:val="both"/>
        <w:rPr>
          <w:rFonts w:ascii="Times New Roman" w:hAnsi="Times New Roman"/>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28 (§ 23 ods. 7)</w:t>
      </w: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Uvedené ustanovenie je potrebné z dôvodu</w:t>
      </w:r>
      <w:r w:rsidRPr="007A05EC">
        <w:rPr>
          <w:rFonts w:ascii="Times New Roman" w:hAnsi="Times New Roman"/>
          <w:sz w:val="24"/>
          <w:szCs w:val="24"/>
        </w:rPr>
        <w:t xml:space="preserve"> </w:t>
      </w:r>
      <w:r>
        <w:rPr>
          <w:rFonts w:ascii="Times New Roman" w:hAnsi="Times New Roman"/>
          <w:sz w:val="24"/>
          <w:szCs w:val="24"/>
        </w:rPr>
        <w:t>s</w:t>
      </w:r>
      <w:r w:rsidRPr="007A05EC">
        <w:rPr>
          <w:rFonts w:ascii="Times New Roman" w:hAnsi="Times New Roman"/>
          <w:sz w:val="24"/>
          <w:szCs w:val="24"/>
        </w:rPr>
        <w:t>presnenia</w:t>
      </w:r>
      <w:r>
        <w:rPr>
          <w:rFonts w:ascii="Times New Roman" w:hAnsi="Times New Roman"/>
          <w:sz w:val="24"/>
          <w:szCs w:val="24"/>
        </w:rPr>
        <w:t xml:space="preserve"> uplatňovania § 23 ods. 6, ktorý upravuje podmienky prístupu žiadateľov na trh práce. Nové ustanovenie v odseku 7 upravuje, že cudzinci, ktorí sú v pracovnoprávnom vzťahu v súlade s § 23 ods. 6, môžu v ňom zotrvať aj počas rozhodovania súdu o priznaní odkladného účinku podania správnej žaloby, resp. o priznaní odkladného účinku kasačnej sťažnosti. Navrhovaným ustanovením sa jednoznačne určuje, že žiadateľ má zabezpečenú možnosť kontinuálne pokračovať v pracovnoprávnom vzťahu aj počas rozhodovania súdu o odkladom účinku podľa § 23 ods. 6.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29 (§ 23b ods. 1)</w:t>
      </w: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ab/>
      </w:r>
      <w:r w:rsidRPr="0044477A">
        <w:rPr>
          <w:rFonts w:ascii="Times New Roman" w:hAnsi="Times New Roman"/>
          <w:sz w:val="24"/>
          <w:szCs w:val="24"/>
        </w:rPr>
        <w:t>Vzhľadom na skutočnosť</w:t>
      </w:r>
      <w:r>
        <w:rPr>
          <w:rFonts w:ascii="Times New Roman" w:hAnsi="Times New Roman"/>
          <w:sz w:val="24"/>
          <w:szCs w:val="24"/>
        </w:rPr>
        <w:t xml:space="preserve">, že konanie o udelenie azylu je právoplatne ukončené už doručením rozhodnutia vydaného v tomto konaní, je potrebné </w:t>
      </w:r>
      <w:r w:rsidRPr="007A05EC">
        <w:rPr>
          <w:rFonts w:ascii="Times New Roman" w:hAnsi="Times New Roman"/>
          <w:sz w:val="24"/>
          <w:szCs w:val="24"/>
        </w:rPr>
        <w:t xml:space="preserve">neplatnosť preukazu žiadateľa odvodzovať nie od </w:t>
      </w:r>
      <w:r>
        <w:rPr>
          <w:rFonts w:ascii="Times New Roman" w:hAnsi="Times New Roman"/>
          <w:sz w:val="24"/>
          <w:szCs w:val="24"/>
        </w:rPr>
        <w:t>právoplatného ukončenia konania o udelenie azylu, ale od skutočnosti, že žiadateľ už nie je žiadateľom o udelenie azylu. Takáto úprava je potrebná z dôvodu jednoznačnosti výkladu predmetného ustanovenia, keďže podľa § 2 písm. h) sa žiadateľom rozumie cudzinec nielen počas konania o udelenie azylu, ale aj počas lehoty na podanie správnej žaloby, resp. kasačnej sťažnosti, ako aj počas konania o tejto správnej žalobe, resp. kasačnej sťažnosti, bez ohľadu na to, či súd prizná alebo neprizná správnej žalobe, resp. kasačnej sťažnosti odkladný účinok.</w:t>
      </w:r>
    </w:p>
    <w:p w:rsidR="007A518C" w:rsidRPr="0044477A" w:rsidP="007A518C">
      <w:pPr>
        <w:bidi w:val="0"/>
        <w:spacing w:after="0" w:line="240" w:lineRule="auto"/>
        <w:jc w:val="both"/>
        <w:rPr>
          <w:rFonts w:ascii="Times New Roman" w:hAnsi="Times New Roman"/>
          <w:sz w:val="24"/>
          <w:szCs w:val="24"/>
        </w:rPr>
      </w:pPr>
    </w:p>
    <w:p w:rsidR="007A518C" w:rsidRPr="00C7775F"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A63C1A">
        <w:rPr>
          <w:rFonts w:ascii="Times New Roman" w:hAnsi="Times New Roman"/>
          <w:b/>
          <w:sz w:val="24"/>
          <w:szCs w:val="24"/>
        </w:rPr>
        <w:t>3</w:t>
      </w:r>
      <w:r>
        <w:rPr>
          <w:rFonts w:ascii="Times New Roman" w:hAnsi="Times New Roman"/>
          <w:b/>
          <w:sz w:val="24"/>
          <w:szCs w:val="24"/>
        </w:rPr>
        <w:t>0 (§ 23b ods. 3)</w:t>
      </w:r>
    </w:p>
    <w:p w:rsidR="007A518C" w:rsidP="007A518C">
      <w:pPr>
        <w:bidi w:val="0"/>
        <w:spacing w:after="0" w:line="240" w:lineRule="auto"/>
        <w:jc w:val="both"/>
        <w:rPr>
          <w:rFonts w:ascii="Times New Roman" w:hAnsi="Times New Roman"/>
          <w:sz w:val="24"/>
          <w:szCs w:val="24"/>
        </w:rPr>
      </w:pPr>
      <w:r w:rsidRPr="000F5A3B">
        <w:rPr>
          <w:rFonts w:ascii="Times New Roman" w:hAnsi="Times New Roman"/>
          <w:sz w:val="24"/>
          <w:szCs w:val="24"/>
        </w:rPr>
        <w:tab/>
        <w:t>Ide o legislatívno-technickú zmenu</w:t>
      </w:r>
      <w:r>
        <w:rPr>
          <w:rFonts w:ascii="Times New Roman" w:hAnsi="Times New Roman"/>
          <w:sz w:val="24"/>
          <w:szCs w:val="24"/>
        </w:rPr>
        <w:t xml:space="preserve">, uvedené ustanovenie sa premietne do ustanovenia § 47b ods. 2 </w:t>
      </w:r>
      <w:r w:rsidRPr="00046500">
        <w:rPr>
          <w:rFonts w:ascii="Times New Roman" w:hAnsi="Times New Roman"/>
          <w:sz w:val="24"/>
          <w:szCs w:val="24"/>
        </w:rPr>
        <w:t xml:space="preserve">(bod </w:t>
      </w:r>
      <w:r w:rsidRPr="00A63C1A">
        <w:rPr>
          <w:rFonts w:ascii="Times New Roman" w:hAnsi="Times New Roman"/>
          <w:sz w:val="24"/>
          <w:szCs w:val="24"/>
        </w:rPr>
        <w:t>38</w:t>
      </w:r>
      <w:r w:rsidRPr="00046500">
        <w:rPr>
          <w:rFonts w:ascii="Times New Roman" w:hAnsi="Times New Roman"/>
          <w:sz w:val="24"/>
          <w:szCs w:val="24"/>
        </w:rPr>
        <w:t>)</w:t>
      </w:r>
      <w:r w:rsidRPr="007A08DB">
        <w:rPr>
          <w:rFonts w:ascii="Times New Roman" w:hAnsi="Times New Roman"/>
          <w:sz w:val="24"/>
          <w:szCs w:val="24"/>
        </w:rPr>
        <w:t>,</w:t>
      </w:r>
      <w:r>
        <w:rPr>
          <w:rFonts w:ascii="Times New Roman" w:hAnsi="Times New Roman"/>
          <w:sz w:val="24"/>
          <w:szCs w:val="24"/>
        </w:rPr>
        <w:t xml:space="preserve"> ktoré upravuje obdobné povinnosti vo vzťahu k nájdeniu dokladu o oprávnení na poskytnutie zdravotnej starostlivosti.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A63C1A">
        <w:rPr>
          <w:rFonts w:ascii="Times New Roman" w:hAnsi="Times New Roman"/>
          <w:b/>
          <w:sz w:val="24"/>
          <w:szCs w:val="24"/>
        </w:rPr>
        <w:t>3</w:t>
      </w:r>
      <w:r>
        <w:rPr>
          <w:rFonts w:ascii="Times New Roman" w:hAnsi="Times New Roman"/>
          <w:b/>
          <w:sz w:val="24"/>
          <w:szCs w:val="24"/>
        </w:rPr>
        <w:t>1 (§ 23c ods. 1)</w:t>
      </w:r>
    </w:p>
    <w:p w:rsidR="007A518C" w:rsidP="007A518C">
      <w:pPr>
        <w:bidi w:val="0"/>
        <w:spacing w:after="0" w:line="240" w:lineRule="auto"/>
        <w:ind w:firstLine="708"/>
        <w:jc w:val="both"/>
        <w:rPr>
          <w:rFonts w:ascii="Times New Roman" w:hAnsi="Times New Roman"/>
          <w:b/>
          <w:sz w:val="24"/>
          <w:szCs w:val="24"/>
          <w:u w:val="single"/>
        </w:rPr>
      </w:pPr>
      <w:r>
        <w:rPr>
          <w:rFonts w:ascii="Times New Roman" w:hAnsi="Times New Roman"/>
          <w:sz w:val="24"/>
          <w:szCs w:val="24"/>
        </w:rPr>
        <w:t xml:space="preserve">Ide o legislatívno-technickú úpravu súvisiacu s vypustením písmena l) v § 23 ods. 4 </w:t>
      </w:r>
      <w:r w:rsidRPr="00046500">
        <w:rPr>
          <w:rFonts w:ascii="Times New Roman" w:hAnsi="Times New Roman"/>
          <w:sz w:val="24"/>
          <w:szCs w:val="24"/>
        </w:rPr>
        <w:t xml:space="preserve">(bod </w:t>
      </w:r>
      <w:r w:rsidRPr="00A63C1A">
        <w:rPr>
          <w:rFonts w:ascii="Times New Roman" w:hAnsi="Times New Roman"/>
          <w:sz w:val="24"/>
          <w:szCs w:val="24"/>
        </w:rPr>
        <w:t>30</w:t>
      </w:r>
      <w:r w:rsidRPr="00046500">
        <w:rPr>
          <w:rFonts w:ascii="Times New Roman" w:hAnsi="Times New Roman"/>
          <w:sz w:val="24"/>
          <w:szCs w:val="24"/>
        </w:rPr>
        <w:t>)</w:t>
      </w:r>
      <w:r w:rsidRPr="00E1013F">
        <w:rPr>
          <w:rFonts w:ascii="Times New Roman" w:hAnsi="Times New Roman"/>
          <w:color w:val="FF0000"/>
          <w:sz w:val="24"/>
          <w:szCs w:val="24"/>
        </w:rPr>
        <w:t xml:space="preserve"> </w:t>
      </w:r>
      <w:r>
        <w:rPr>
          <w:rFonts w:ascii="Times New Roman" w:hAnsi="Times New Roman"/>
          <w:sz w:val="24"/>
          <w:szCs w:val="24"/>
        </w:rPr>
        <w:t xml:space="preserve">a vložením nového odseku 7 v § 23 </w:t>
      </w:r>
      <w:r w:rsidRPr="007A08DB">
        <w:rPr>
          <w:rFonts w:ascii="Times New Roman" w:hAnsi="Times New Roman"/>
          <w:sz w:val="24"/>
          <w:szCs w:val="24"/>
        </w:rPr>
        <w:t>(bod </w:t>
      </w:r>
      <w:r w:rsidRPr="00A63C1A">
        <w:rPr>
          <w:rFonts w:ascii="Times New Roman" w:hAnsi="Times New Roman"/>
          <w:sz w:val="24"/>
          <w:szCs w:val="24"/>
        </w:rPr>
        <w:t>31</w:t>
      </w:r>
      <w:r w:rsidRPr="007A08DB">
        <w:rPr>
          <w:rFonts w:ascii="Times New Roman" w:hAnsi="Times New Roman"/>
          <w:sz w:val="24"/>
          <w:szCs w:val="24"/>
        </w:rPr>
        <w:t xml:space="preserve">).  </w:t>
      </w:r>
    </w:p>
    <w:p w:rsidR="007A518C"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A63C1A">
        <w:rPr>
          <w:rFonts w:ascii="Times New Roman" w:hAnsi="Times New Roman"/>
          <w:b/>
          <w:sz w:val="24"/>
          <w:szCs w:val="24"/>
        </w:rPr>
        <w:t>3</w:t>
      </w:r>
      <w:r>
        <w:rPr>
          <w:rFonts w:ascii="Times New Roman" w:hAnsi="Times New Roman"/>
          <w:b/>
          <w:sz w:val="24"/>
          <w:szCs w:val="24"/>
        </w:rPr>
        <w:t>2 [§ 26 písm. d)]</w:t>
      </w:r>
    </w:p>
    <w:p w:rsidR="007A518C" w:rsidP="007A518C">
      <w:pPr>
        <w:bidi w:val="0"/>
        <w:spacing w:after="0" w:line="240" w:lineRule="auto"/>
        <w:jc w:val="both"/>
        <w:rPr>
          <w:rFonts w:ascii="Times New Roman" w:hAnsi="Times New Roman"/>
          <w:color w:val="FF0000"/>
          <w:sz w:val="24"/>
          <w:szCs w:val="24"/>
        </w:rPr>
      </w:pPr>
      <w:r>
        <w:rPr>
          <w:rFonts w:ascii="Times New Roman" w:hAnsi="Times New Roman"/>
          <w:b/>
          <w:sz w:val="24"/>
          <w:szCs w:val="24"/>
        </w:rPr>
        <w:tab/>
      </w:r>
      <w:r w:rsidRPr="00F878E5">
        <w:rPr>
          <w:rFonts w:ascii="Times New Roman" w:hAnsi="Times New Roman"/>
          <w:sz w:val="24"/>
          <w:szCs w:val="24"/>
        </w:rPr>
        <w:t>Berúc do úvahy ustanovenie § 14 ods. 1 písm. a) sa pojem udelenie štátneho občianstva nahrádza pojmom nadobudnutie štátneho občianstva, pričom sa určuje, že povinnosť oznámiť ministerstvu vnútra nadobudnutie štátneho občianstva sa vykoná bezodkladne. V </w:t>
      </w:r>
      <w:r w:rsidRPr="002D4F15">
        <w:rPr>
          <w:rFonts w:ascii="Times New Roman" w:hAnsi="Times New Roman"/>
          <w:sz w:val="24"/>
          <w:szCs w:val="24"/>
        </w:rPr>
        <w:t>súvis</w:t>
      </w:r>
      <w:r w:rsidRPr="000C5D9F">
        <w:rPr>
          <w:rFonts w:ascii="Times New Roman" w:hAnsi="Times New Roman"/>
          <w:sz w:val="24"/>
          <w:szCs w:val="24"/>
        </w:rPr>
        <w:t>losti so zabezpečením uplatňovania</w:t>
      </w:r>
      <w:r>
        <w:rPr>
          <w:rFonts w:ascii="Times New Roman" w:hAnsi="Times New Roman"/>
          <w:sz w:val="24"/>
          <w:szCs w:val="24"/>
        </w:rPr>
        <w:t xml:space="preserve"> nových</w:t>
      </w:r>
      <w:r w:rsidRPr="002D4F15">
        <w:rPr>
          <w:rFonts w:ascii="Times New Roman" w:hAnsi="Times New Roman"/>
          <w:sz w:val="24"/>
          <w:szCs w:val="24"/>
        </w:rPr>
        <w:t xml:space="preserve"> ustanovení § 14 ods. 1 písm. h) a §</w:t>
      </w:r>
      <w:r>
        <w:rPr>
          <w:rFonts w:ascii="Times New Roman" w:hAnsi="Times New Roman"/>
          <w:sz w:val="24"/>
          <w:szCs w:val="24"/>
        </w:rPr>
        <w:t> </w:t>
      </w:r>
      <w:r w:rsidRPr="002D4F15">
        <w:rPr>
          <w:rFonts w:ascii="Times New Roman" w:hAnsi="Times New Roman"/>
          <w:sz w:val="24"/>
          <w:szCs w:val="24"/>
        </w:rPr>
        <w:t xml:space="preserve">15 </w:t>
      </w:r>
      <w:r w:rsidRPr="007B0EFC">
        <w:rPr>
          <w:rFonts w:ascii="Times New Roman" w:hAnsi="Times New Roman"/>
          <w:sz w:val="24"/>
          <w:szCs w:val="24"/>
        </w:rPr>
        <w:t>ods. 3 písm. c)</w:t>
      </w:r>
      <w:r>
        <w:rPr>
          <w:rFonts w:ascii="Times New Roman" w:hAnsi="Times New Roman"/>
          <w:sz w:val="24"/>
          <w:szCs w:val="24"/>
        </w:rPr>
        <w:t xml:space="preserve"> </w:t>
      </w:r>
      <w:r w:rsidRPr="002D4F15">
        <w:rPr>
          <w:rFonts w:ascii="Times New Roman" w:hAnsi="Times New Roman"/>
          <w:sz w:val="24"/>
          <w:szCs w:val="24"/>
        </w:rPr>
        <w:t>sa navrhuj</w:t>
      </w:r>
      <w:r>
        <w:rPr>
          <w:rFonts w:ascii="Times New Roman" w:hAnsi="Times New Roman"/>
          <w:sz w:val="24"/>
          <w:szCs w:val="24"/>
        </w:rPr>
        <w:t>ú</w:t>
      </w:r>
      <w:r w:rsidRPr="002D4F15">
        <w:rPr>
          <w:rFonts w:ascii="Times New Roman" w:hAnsi="Times New Roman"/>
          <w:sz w:val="24"/>
          <w:szCs w:val="24"/>
        </w:rPr>
        <w:t xml:space="preserve"> nové povinnosti azylanta</w:t>
      </w:r>
      <w:r>
        <w:rPr>
          <w:rFonts w:ascii="Times New Roman" w:hAnsi="Times New Roman"/>
          <w:sz w:val="24"/>
          <w:szCs w:val="24"/>
        </w:rPr>
        <w:t xml:space="preserve"> vo vzťahu k ministerstvu vnútra, a to povinnosť bezodkladne oznámiť</w:t>
      </w:r>
      <w:r w:rsidRPr="002D4F15">
        <w:rPr>
          <w:rFonts w:ascii="Times New Roman" w:hAnsi="Times New Roman"/>
          <w:sz w:val="24"/>
          <w:szCs w:val="24"/>
        </w:rPr>
        <w:t xml:space="preserve"> udelenie azylu z dôvodu prenasledovania iným členským štátom Európskej únie</w:t>
      </w:r>
      <w:r>
        <w:rPr>
          <w:rFonts w:ascii="Times New Roman" w:hAnsi="Times New Roman"/>
          <w:sz w:val="24"/>
          <w:szCs w:val="24"/>
        </w:rPr>
        <w:t xml:space="preserve">, </w:t>
      </w:r>
      <w:r w:rsidRPr="002D4F15">
        <w:rPr>
          <w:rFonts w:ascii="Times New Roman" w:hAnsi="Times New Roman"/>
          <w:sz w:val="24"/>
          <w:szCs w:val="24"/>
        </w:rPr>
        <w:t>a</w:t>
      </w:r>
      <w:r>
        <w:rPr>
          <w:rFonts w:ascii="Times New Roman" w:hAnsi="Times New Roman"/>
          <w:sz w:val="24"/>
          <w:szCs w:val="24"/>
        </w:rPr>
        <w:t xml:space="preserve"> tiež povinnosť bezodkladne oznámiť </w:t>
      </w:r>
      <w:r w:rsidRPr="002D4F15">
        <w:rPr>
          <w:rFonts w:ascii="Times New Roman" w:hAnsi="Times New Roman"/>
          <w:sz w:val="24"/>
          <w:szCs w:val="24"/>
        </w:rPr>
        <w:t xml:space="preserve">udelenie pobytu bez časového obmedzenia v inom štáte. </w:t>
      </w:r>
    </w:p>
    <w:p w:rsidR="007A518C" w:rsidRPr="00066052" w:rsidP="007A518C">
      <w:pPr>
        <w:bidi w:val="0"/>
        <w:spacing w:after="0" w:line="240" w:lineRule="auto"/>
        <w:jc w:val="both"/>
        <w:rPr>
          <w:rFonts w:ascii="Times New Roman" w:hAnsi="Times New Roman"/>
          <w:color w:val="FF0000"/>
          <w:sz w:val="24"/>
          <w:szCs w:val="24"/>
        </w:rPr>
      </w:pPr>
      <w:r>
        <w:rPr>
          <w:rFonts w:ascii="Times New Roman" w:hAnsi="Times New Roman"/>
          <w:color w:val="FF0000"/>
          <w:sz w:val="24"/>
          <w:szCs w:val="24"/>
        </w:rPr>
        <w:tab/>
        <w:t xml:space="preserve"> </w:t>
      </w: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B95838">
        <w:rPr>
          <w:rFonts w:ascii="Times New Roman" w:hAnsi="Times New Roman"/>
          <w:b/>
          <w:sz w:val="24"/>
          <w:szCs w:val="24"/>
        </w:rPr>
        <w:t>3</w:t>
      </w:r>
      <w:r>
        <w:rPr>
          <w:rFonts w:ascii="Times New Roman" w:hAnsi="Times New Roman"/>
          <w:b/>
          <w:sz w:val="24"/>
          <w:szCs w:val="24"/>
        </w:rPr>
        <w:t>3 [§ 27b písm. h)]</w:t>
      </w:r>
    </w:p>
    <w:p w:rsidR="007A518C" w:rsidRPr="00C55C87"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V súvislosti </w:t>
      </w:r>
      <w:r w:rsidRPr="000C5D9F">
        <w:rPr>
          <w:rFonts w:ascii="Times New Roman" w:hAnsi="Times New Roman"/>
          <w:sz w:val="24"/>
          <w:szCs w:val="24"/>
        </w:rPr>
        <w:t>so zabezpečením uplatňovania ustanovení</w:t>
      </w:r>
      <w:r>
        <w:rPr>
          <w:rFonts w:ascii="Times New Roman" w:hAnsi="Times New Roman"/>
          <w:sz w:val="24"/>
          <w:szCs w:val="24"/>
        </w:rPr>
        <w:t xml:space="preserve"> § 15a ods. 1 písm. g) a j) a § 15b ods. 3 v praxi, je potrebné upraviť nové povinnosti cudzinca, ktorému sa poskytla doplnková ochrana vo vzťahu k ministerstvu vnútra, a to povinnosť bezodkladne oznámiť </w:t>
      </w:r>
      <w:r w:rsidRPr="00A24EC7">
        <w:rPr>
          <w:rFonts w:ascii="Times New Roman" w:hAnsi="Times New Roman"/>
          <w:sz w:val="24"/>
          <w:szCs w:val="24"/>
        </w:rPr>
        <w:t>nadobudnutie š</w:t>
      </w:r>
      <w:r>
        <w:rPr>
          <w:rFonts w:ascii="Times New Roman" w:hAnsi="Times New Roman"/>
          <w:sz w:val="24"/>
          <w:szCs w:val="24"/>
        </w:rPr>
        <w:t xml:space="preserve">tátneho občianstva, povinnosť bezodkladne oznámiť udelenie azylu z dôvodu prenasledovania alebo poskytnutie doplnkovej ochrany z dôvodu vážneho bezprávia iným členským štátom Európskej únie, a tiež povinnosť bezodkladne oznámiť udelenie pobytu bez časového obmedzenia v inom štáte.     </w:t>
      </w:r>
    </w:p>
    <w:p w:rsidR="007A518C" w:rsidRPr="00C55C87" w:rsidP="007A518C">
      <w:pPr>
        <w:bidi w:val="0"/>
        <w:spacing w:after="0" w:line="240" w:lineRule="auto"/>
        <w:ind w:firstLine="708"/>
        <w:jc w:val="both"/>
        <w:rPr>
          <w:rFonts w:ascii="Times New Roman" w:hAnsi="Times New Roman"/>
          <w:sz w:val="24"/>
          <w:szCs w:val="24"/>
        </w:rPr>
      </w:pPr>
      <w:r w:rsidRPr="00C55C87">
        <w:rPr>
          <w:rFonts w:ascii="Times New Roman" w:hAnsi="Times New Roman"/>
          <w:sz w:val="24"/>
          <w:szCs w:val="24"/>
        </w:rPr>
        <w:t>Ustanovenie, ktoré je v </w:t>
      </w:r>
      <w:r>
        <w:rPr>
          <w:rFonts w:ascii="Times New Roman" w:hAnsi="Times New Roman"/>
          <w:sz w:val="24"/>
          <w:szCs w:val="24"/>
        </w:rPr>
        <w:t>súčasnosti</w:t>
      </w:r>
      <w:r w:rsidRPr="00C55C87">
        <w:rPr>
          <w:rFonts w:ascii="Times New Roman" w:hAnsi="Times New Roman"/>
          <w:sz w:val="24"/>
          <w:szCs w:val="24"/>
        </w:rPr>
        <w:t xml:space="preserve"> </w:t>
      </w:r>
      <w:r>
        <w:rPr>
          <w:rFonts w:ascii="Times New Roman" w:hAnsi="Times New Roman"/>
          <w:sz w:val="24"/>
          <w:szCs w:val="24"/>
        </w:rPr>
        <w:t>u</w:t>
      </w:r>
      <w:r w:rsidRPr="00C55C87">
        <w:rPr>
          <w:rFonts w:ascii="Times New Roman" w:hAnsi="Times New Roman"/>
          <w:sz w:val="24"/>
          <w:szCs w:val="24"/>
        </w:rPr>
        <w:t>prave</w:t>
      </w:r>
      <w:r>
        <w:rPr>
          <w:rFonts w:ascii="Times New Roman" w:hAnsi="Times New Roman"/>
          <w:sz w:val="24"/>
          <w:szCs w:val="24"/>
        </w:rPr>
        <w:t>né</w:t>
      </w:r>
      <w:r w:rsidRPr="00C55C87">
        <w:rPr>
          <w:rFonts w:ascii="Times New Roman" w:hAnsi="Times New Roman"/>
          <w:sz w:val="24"/>
          <w:szCs w:val="24"/>
        </w:rPr>
        <w:t xml:space="preserve"> </w:t>
      </w:r>
      <w:r>
        <w:rPr>
          <w:rFonts w:ascii="Times New Roman" w:hAnsi="Times New Roman"/>
          <w:sz w:val="24"/>
          <w:szCs w:val="24"/>
        </w:rPr>
        <w:t>v</w:t>
      </w:r>
      <w:r w:rsidRPr="00C55C87">
        <w:rPr>
          <w:rFonts w:ascii="Times New Roman" w:hAnsi="Times New Roman"/>
          <w:sz w:val="24"/>
          <w:szCs w:val="24"/>
        </w:rPr>
        <w:t xml:space="preserve"> § 27b písm. h)</w:t>
      </w:r>
      <w:r>
        <w:rPr>
          <w:rFonts w:ascii="Times New Roman" w:hAnsi="Times New Roman"/>
          <w:sz w:val="24"/>
          <w:szCs w:val="24"/>
        </w:rPr>
        <w:t>,</w:t>
      </w:r>
      <w:r w:rsidRPr="00C55C87">
        <w:rPr>
          <w:rFonts w:ascii="Times New Roman" w:hAnsi="Times New Roman"/>
          <w:sz w:val="24"/>
          <w:szCs w:val="24"/>
        </w:rPr>
        <w:t xml:space="preserve"> sa navrhuje </w:t>
      </w:r>
      <w:r>
        <w:rPr>
          <w:rFonts w:ascii="Times New Roman" w:hAnsi="Times New Roman"/>
          <w:sz w:val="24"/>
          <w:szCs w:val="24"/>
        </w:rPr>
        <w:t>premietnuť do</w:t>
      </w:r>
      <w:r w:rsidRPr="00C55C87">
        <w:rPr>
          <w:rFonts w:ascii="Times New Roman" w:hAnsi="Times New Roman"/>
          <w:sz w:val="24"/>
          <w:szCs w:val="24"/>
        </w:rPr>
        <w:t xml:space="preserve"> § 47b ods. 1 písm. b) 2. </w:t>
      </w:r>
      <w:r>
        <w:rPr>
          <w:rFonts w:ascii="Times New Roman" w:hAnsi="Times New Roman"/>
          <w:sz w:val="24"/>
          <w:szCs w:val="24"/>
        </w:rPr>
        <w:t>b</w:t>
      </w:r>
      <w:r w:rsidRPr="00C55C87">
        <w:rPr>
          <w:rFonts w:ascii="Times New Roman" w:hAnsi="Times New Roman"/>
          <w:sz w:val="24"/>
          <w:szCs w:val="24"/>
        </w:rPr>
        <w:t>od</w:t>
      </w:r>
      <w:r>
        <w:rPr>
          <w:rFonts w:ascii="Times New Roman" w:hAnsi="Times New Roman"/>
          <w:sz w:val="24"/>
          <w:szCs w:val="24"/>
        </w:rPr>
        <w:t xml:space="preserve">u </w:t>
      </w:r>
      <w:r w:rsidRPr="00046500">
        <w:rPr>
          <w:rFonts w:ascii="Times New Roman" w:hAnsi="Times New Roman"/>
          <w:sz w:val="24"/>
          <w:szCs w:val="24"/>
        </w:rPr>
        <w:t xml:space="preserve">(bod </w:t>
      </w:r>
      <w:r w:rsidRPr="00EF0301">
        <w:rPr>
          <w:rFonts w:ascii="Times New Roman" w:hAnsi="Times New Roman"/>
          <w:sz w:val="24"/>
          <w:szCs w:val="24"/>
        </w:rPr>
        <w:t>38</w:t>
      </w:r>
      <w:r w:rsidRPr="00046500">
        <w:rPr>
          <w:rFonts w:ascii="Times New Roman" w:hAnsi="Times New Roman"/>
          <w:sz w:val="24"/>
          <w:szCs w:val="24"/>
        </w:rPr>
        <w:t>),</w:t>
      </w:r>
      <w:r w:rsidRPr="00E1013F">
        <w:rPr>
          <w:rFonts w:ascii="Times New Roman" w:hAnsi="Times New Roman"/>
          <w:b/>
          <w:color w:val="FF0000"/>
          <w:sz w:val="24"/>
          <w:szCs w:val="24"/>
        </w:rPr>
        <w:t xml:space="preserve"> </w:t>
      </w:r>
      <w:r w:rsidRPr="00C55C87">
        <w:rPr>
          <w:rFonts w:ascii="Times New Roman" w:hAnsi="Times New Roman"/>
          <w:sz w:val="24"/>
          <w:szCs w:val="24"/>
        </w:rPr>
        <w:t>pričom oproti pôvodnému zneniu sa dopĺňajú aj všetky ďalšie dôvody zániku doplnkovej ochrany upravené v § 15a ods. 1 okrem úmrtia [§</w:t>
      </w:r>
      <w:r>
        <w:rPr>
          <w:rFonts w:ascii="Times New Roman" w:hAnsi="Times New Roman"/>
          <w:sz w:val="24"/>
          <w:szCs w:val="24"/>
        </w:rPr>
        <w:t> </w:t>
      </w:r>
      <w:r w:rsidRPr="00C55C87">
        <w:rPr>
          <w:rFonts w:ascii="Times New Roman" w:hAnsi="Times New Roman"/>
          <w:sz w:val="24"/>
          <w:szCs w:val="24"/>
        </w:rPr>
        <w:t>15a ods. 1 písm. d)] a v ods. 2.</w:t>
      </w: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ab/>
      </w: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Pr="00B95838">
        <w:rPr>
          <w:rFonts w:ascii="Times New Roman" w:hAnsi="Times New Roman"/>
          <w:b/>
          <w:sz w:val="24"/>
          <w:szCs w:val="24"/>
        </w:rPr>
        <w:t>3</w:t>
      </w:r>
      <w:r>
        <w:rPr>
          <w:rFonts w:ascii="Times New Roman" w:hAnsi="Times New Roman"/>
          <w:b/>
          <w:sz w:val="24"/>
          <w:szCs w:val="24"/>
        </w:rPr>
        <w:t>4 (§ 42 ods. 2)</w:t>
      </w: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 Vypustenie slov „počas konania o azyle“ je potrebné z dôvodu, že úrad vysokého komisára má právo na prístup k žiadateľovi nielen počas správneho konania, ale aj po jeho ukončení. Táto úprava je potrebná z dôvodu, že konanie o azyle je právoplatne ukončené už doručením rozhodnutia, ktoré bolo vydané v tomto konaní, pričom podľa § 2 písm. h) sa žiadateľom o udelenie azylu rozumie cudzinec aj počas lehoty na podanie správnej žaloby, resp. kasačnej sťažnosti, ako aj počas konania o tejto správnej žalobe, resp. kasačnej sťažnosti, bez ohľadu na to, či súd prizná alebo neprizná správnej žalobe, resp. kasačnej sťažnosti odkladný účinok.</w:t>
      </w:r>
    </w:p>
    <w:p w:rsidR="007A518C" w:rsidP="007A518C">
      <w:pPr>
        <w:bidi w:val="0"/>
        <w:spacing w:after="0" w:line="240" w:lineRule="auto"/>
        <w:jc w:val="both"/>
        <w:rPr>
          <w:rFonts w:ascii="Times New Roman" w:hAnsi="Times New Roman"/>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35 (§ 47b)</w:t>
      </w:r>
    </w:p>
    <w:p w:rsidR="007A518C" w:rsidRPr="000460A1" w:rsidP="007A518C">
      <w:pPr>
        <w:bidi w:val="0"/>
        <w:spacing w:after="0" w:line="240" w:lineRule="auto"/>
        <w:ind w:firstLine="708"/>
        <w:jc w:val="both"/>
        <w:rPr>
          <w:rFonts w:ascii="Times New Roman" w:hAnsi="Times New Roman"/>
          <w:color w:val="000000" w:themeColor="tx1" w:themeShade="FF"/>
          <w:sz w:val="24"/>
          <w:szCs w:val="24"/>
        </w:rPr>
      </w:pPr>
      <w:r>
        <w:rPr>
          <w:rFonts w:ascii="Times New Roman" w:hAnsi="Times New Roman"/>
          <w:sz w:val="24"/>
          <w:szCs w:val="24"/>
        </w:rPr>
        <w:t xml:space="preserve">V odseku 1 sa navrhuje nové ustanovenie, ktoré upravuje povinnosti cudzinca. Čo sa týka povinností uvedených v odseku 1 písm. a) a v písm. b) v 1. bode, ide o premietnutie povinnosti odovzdať ministerstvu vnútra doklady (preukaz žiadateľa a doklad o oprávnení na poskytnutie zdravotnej starostlivosti) zo súčasného § 23 ods. 4 písmena l), ktoré sa navrhuje vypustiť. </w:t>
      </w:r>
      <w:r>
        <w:rPr>
          <w:rFonts w:ascii="Times New Roman" w:hAnsi="Times New Roman"/>
          <w:color w:val="000000" w:themeColor="tx1" w:themeShade="FF"/>
          <w:sz w:val="24"/>
          <w:szCs w:val="24"/>
        </w:rPr>
        <w:t xml:space="preserve">Je totiž potrebné </w:t>
      </w:r>
      <w:r w:rsidRPr="000460A1">
        <w:rPr>
          <w:rFonts w:ascii="Times New Roman" w:hAnsi="Times New Roman"/>
          <w:color w:val="000000" w:themeColor="tx1" w:themeShade="FF"/>
          <w:sz w:val="24"/>
          <w:szCs w:val="24"/>
        </w:rPr>
        <w:t>túto povinnosť vyňať z</w:t>
      </w:r>
      <w:r>
        <w:rPr>
          <w:rFonts w:ascii="Times New Roman" w:hAnsi="Times New Roman"/>
          <w:color w:val="000000" w:themeColor="tx1" w:themeShade="FF"/>
          <w:sz w:val="24"/>
          <w:szCs w:val="24"/>
        </w:rPr>
        <w:t> </w:t>
      </w:r>
      <w:r w:rsidRPr="000460A1">
        <w:rPr>
          <w:rFonts w:ascii="Times New Roman" w:hAnsi="Times New Roman"/>
          <w:color w:val="000000" w:themeColor="tx1" w:themeShade="FF"/>
          <w:sz w:val="24"/>
          <w:szCs w:val="24"/>
        </w:rPr>
        <w:t>ustanovenia</w:t>
      </w:r>
      <w:r>
        <w:rPr>
          <w:rFonts w:ascii="Times New Roman" w:hAnsi="Times New Roman"/>
          <w:color w:val="000000" w:themeColor="tx1" w:themeShade="FF"/>
          <w:sz w:val="24"/>
          <w:szCs w:val="24"/>
        </w:rPr>
        <w:t xml:space="preserve"> upravujúceho</w:t>
      </w:r>
      <w:r w:rsidRPr="000460A1">
        <w:rPr>
          <w:rFonts w:ascii="Times New Roman" w:hAnsi="Times New Roman"/>
          <w:color w:val="000000" w:themeColor="tx1" w:themeShade="FF"/>
          <w:sz w:val="24"/>
          <w:szCs w:val="24"/>
        </w:rPr>
        <w:t xml:space="preserve"> povinnosti žiadateľa, vzhľadom na skutočnosť, že cudzinec má povinnosť odovzdať predmetné doklady až</w:t>
      </w:r>
      <w:r>
        <w:rPr>
          <w:rFonts w:ascii="Times New Roman" w:hAnsi="Times New Roman"/>
          <w:color w:val="000000" w:themeColor="tx1" w:themeShade="FF"/>
          <w:sz w:val="24"/>
          <w:szCs w:val="24"/>
        </w:rPr>
        <w:t xml:space="preserve"> v čase,</w:t>
      </w:r>
      <w:r w:rsidRPr="000460A1">
        <w:rPr>
          <w:rFonts w:ascii="Times New Roman" w:hAnsi="Times New Roman"/>
          <w:color w:val="000000" w:themeColor="tx1" w:themeShade="FF"/>
          <w:sz w:val="24"/>
          <w:szCs w:val="24"/>
        </w:rPr>
        <w:t xml:space="preserve"> keď už nie je žiadateľom.</w:t>
      </w:r>
      <w:r>
        <w:rPr>
          <w:rFonts w:ascii="Times New Roman" w:hAnsi="Times New Roman"/>
          <w:color w:val="000000" w:themeColor="tx1" w:themeShade="FF"/>
          <w:sz w:val="24"/>
          <w:szCs w:val="24"/>
        </w:rPr>
        <w:t xml:space="preserve"> Zároveň navrhované ustanovenia je potrebné uviesť do súladu </w:t>
      </w:r>
      <w:r w:rsidRPr="000460A1">
        <w:rPr>
          <w:rFonts w:ascii="Times New Roman" w:hAnsi="Times New Roman"/>
          <w:color w:val="000000" w:themeColor="tx1" w:themeShade="FF"/>
          <w:sz w:val="24"/>
          <w:szCs w:val="24"/>
        </w:rPr>
        <w:t>s definíci</w:t>
      </w:r>
      <w:r>
        <w:rPr>
          <w:rFonts w:ascii="Times New Roman" w:hAnsi="Times New Roman"/>
          <w:color w:val="000000" w:themeColor="tx1" w:themeShade="FF"/>
          <w:sz w:val="24"/>
          <w:szCs w:val="24"/>
        </w:rPr>
        <w:t>ou</w:t>
      </w:r>
      <w:r w:rsidRPr="000460A1">
        <w:rPr>
          <w:rFonts w:ascii="Times New Roman" w:hAnsi="Times New Roman"/>
          <w:color w:val="000000" w:themeColor="tx1" w:themeShade="FF"/>
          <w:sz w:val="24"/>
          <w:szCs w:val="24"/>
        </w:rPr>
        <w:t xml:space="preserve"> žiadateľa podľa § 2 písm. h)</w:t>
      </w:r>
      <w:r>
        <w:rPr>
          <w:rFonts w:ascii="Times New Roman" w:hAnsi="Times New Roman"/>
          <w:color w:val="000000" w:themeColor="tx1" w:themeShade="FF"/>
          <w:sz w:val="24"/>
          <w:szCs w:val="24"/>
        </w:rPr>
        <w:t xml:space="preserve">, a teda, že cudzinec nie je povinný odovzdať doklady už po ukončení konania, ale až v čase, keď už nie je žiadateľom. </w:t>
      </w:r>
      <w:r w:rsidRPr="000460A1">
        <w:rPr>
          <w:rFonts w:ascii="Times New Roman" w:hAnsi="Times New Roman"/>
          <w:color w:val="000000" w:themeColor="tx1" w:themeShade="FF"/>
          <w:sz w:val="24"/>
          <w:szCs w:val="24"/>
        </w:rPr>
        <w:t xml:space="preserve"> </w:t>
      </w:r>
    </w:p>
    <w:p w:rsidR="007A518C" w:rsidP="007A518C">
      <w:pPr>
        <w:bidi w:val="0"/>
        <w:spacing w:after="0" w:line="240" w:lineRule="auto"/>
        <w:ind w:firstLine="708"/>
        <w:jc w:val="both"/>
        <w:rPr>
          <w:rFonts w:ascii="Times New Roman" w:hAnsi="Times New Roman"/>
          <w:sz w:val="24"/>
          <w:szCs w:val="24"/>
        </w:rPr>
      </w:pPr>
      <w:r w:rsidRPr="00247D70">
        <w:rPr>
          <w:rFonts w:ascii="Times New Roman" w:hAnsi="Times New Roman"/>
          <w:sz w:val="24"/>
          <w:szCs w:val="24"/>
        </w:rPr>
        <w:t>Čo sa týka povinn</w:t>
      </w:r>
      <w:r>
        <w:rPr>
          <w:rFonts w:ascii="Times New Roman" w:hAnsi="Times New Roman"/>
          <w:sz w:val="24"/>
          <w:szCs w:val="24"/>
        </w:rPr>
        <w:t>osti cudzinca navrhovanej v odseku</w:t>
      </w:r>
      <w:r w:rsidRPr="00247D70">
        <w:rPr>
          <w:rFonts w:ascii="Times New Roman" w:hAnsi="Times New Roman"/>
          <w:sz w:val="24"/>
          <w:szCs w:val="24"/>
        </w:rPr>
        <w:t xml:space="preserve"> 1 písm. b) 2. bod, ide o povinnosť, ktorá je v súčasnosti upravená v § 27b písm. h). Vzhľadom na skutočnosť, že cudzinca, ktorému zanikla doplnková ochrana</w:t>
      </w:r>
      <w:r>
        <w:rPr>
          <w:rFonts w:ascii="Times New Roman" w:hAnsi="Times New Roman"/>
          <w:sz w:val="24"/>
          <w:szCs w:val="24"/>
        </w:rPr>
        <w:t>,</w:t>
      </w:r>
      <w:r w:rsidRPr="00247D70">
        <w:rPr>
          <w:rFonts w:ascii="Times New Roman" w:hAnsi="Times New Roman"/>
          <w:sz w:val="24"/>
          <w:szCs w:val="24"/>
        </w:rPr>
        <w:t xml:space="preserve"> už nemožno považovať za cudzinca, ktorému sa poskytla doplnková ochrana, je potrebné predmetnú povinnosť vyňať z ustanovenia o povinnostiach cudzinca, ktorému sa poskytla doplnková ochrana a upraviť ju v rámci ustanovenia o povinnostiach cudzincov. Uvedené ustanovenie je tiež potrebné doplniť</w:t>
      </w:r>
      <w:r>
        <w:rPr>
          <w:rFonts w:ascii="Times New Roman" w:hAnsi="Times New Roman"/>
          <w:sz w:val="24"/>
          <w:szCs w:val="24"/>
        </w:rPr>
        <w:t xml:space="preserve"> v tom zmysle, že povinnosť odovzdať ministerstvu vnútra doklad o oprávnení na poskytnutie zdravotnej starostlivosti má cudzinec pri zániku doplnkovej ochrany z akéhokoľvek dôvodu uvedeného v § 15a ods. 1 okrem úmrtia [§ 15a ods. 1 písm. d)] a v ods. 2, teda oproti súčasnému zneniu sa navrhuje doplniť aj zánik doplnkovej ochrany podľa § 15a ods. 1 písm. g) až j) a odsek 2. </w:t>
      </w:r>
    </w:p>
    <w:p w:rsidR="007A518C" w:rsidP="007A518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odseku 1 písm. b) 3. bod sa navrhuje upraviť povinnosť cudzincov, ktorí vzali svoju žiadosť o udelenie azylu späť, požiadali o dobrovoľný návrat do krajiny pôvodu v rámci asistovaného dobrovoľného návratu, boli ubytovaní v pobytovom tábore, a na ktorých sa primerane vzťahuje § 22 ods. 5, aby bezodkladne odovzdali ministerstvu vnútra doklad o oprávnení na poskytnutie zdravotnej starostlivosti, ak sa ukončilo ubytovanie v pobytovom tábore.       </w:t>
      </w:r>
    </w:p>
    <w:p w:rsidR="007A518C" w:rsidRPr="00C142E7" w:rsidP="007A518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Obsahom </w:t>
      </w:r>
      <w:r w:rsidRPr="00C142E7">
        <w:rPr>
          <w:rFonts w:ascii="Times New Roman" w:hAnsi="Times New Roman"/>
          <w:sz w:val="24"/>
          <w:szCs w:val="24"/>
        </w:rPr>
        <w:t>odsek</w:t>
      </w:r>
      <w:r>
        <w:rPr>
          <w:rFonts w:ascii="Times New Roman" w:hAnsi="Times New Roman"/>
          <w:sz w:val="24"/>
          <w:szCs w:val="24"/>
        </w:rPr>
        <w:t>u</w:t>
      </w:r>
      <w:r w:rsidRPr="00C142E7">
        <w:rPr>
          <w:rFonts w:ascii="Times New Roman" w:hAnsi="Times New Roman"/>
          <w:sz w:val="24"/>
          <w:szCs w:val="24"/>
        </w:rPr>
        <w:t xml:space="preserve"> 2</w:t>
      </w:r>
      <w:r>
        <w:rPr>
          <w:rFonts w:ascii="Times New Roman" w:hAnsi="Times New Roman"/>
          <w:sz w:val="24"/>
          <w:szCs w:val="24"/>
        </w:rPr>
        <w:t xml:space="preserve"> tohto nového ustanovenia je doterajšie znenie § 47b, kde sa však </w:t>
      </w:r>
      <w:r w:rsidRPr="00C142E7">
        <w:rPr>
          <w:rFonts w:ascii="Times New Roman" w:hAnsi="Times New Roman"/>
          <w:sz w:val="24"/>
          <w:szCs w:val="24"/>
        </w:rPr>
        <w:t>okrem</w:t>
      </w:r>
      <w:r>
        <w:rPr>
          <w:rFonts w:ascii="Times New Roman" w:hAnsi="Times New Roman"/>
          <w:sz w:val="24"/>
          <w:szCs w:val="24"/>
        </w:rPr>
        <w:t xml:space="preserve"> povinností týkajúcich sa odovzdania nájdeného </w:t>
      </w:r>
      <w:r w:rsidRPr="00C142E7">
        <w:rPr>
          <w:rFonts w:ascii="Times New Roman" w:hAnsi="Times New Roman"/>
          <w:sz w:val="24"/>
          <w:szCs w:val="24"/>
        </w:rPr>
        <w:t>doklad</w:t>
      </w:r>
      <w:r>
        <w:rPr>
          <w:rFonts w:ascii="Times New Roman" w:hAnsi="Times New Roman"/>
          <w:sz w:val="24"/>
          <w:szCs w:val="24"/>
        </w:rPr>
        <w:t>u</w:t>
      </w:r>
      <w:r w:rsidRPr="00C142E7">
        <w:rPr>
          <w:rFonts w:ascii="Times New Roman" w:hAnsi="Times New Roman"/>
          <w:sz w:val="24"/>
          <w:szCs w:val="24"/>
        </w:rPr>
        <w:t xml:space="preserve"> o oprávnení na poskytnutie zdravotnej starostlivosti</w:t>
      </w:r>
      <w:r>
        <w:rPr>
          <w:rFonts w:ascii="Times New Roman" w:hAnsi="Times New Roman"/>
          <w:sz w:val="24"/>
          <w:szCs w:val="24"/>
        </w:rPr>
        <w:t xml:space="preserve"> upravuje aj rovnaký postup pri nájdení </w:t>
      </w:r>
      <w:r w:rsidRPr="00C142E7">
        <w:rPr>
          <w:rFonts w:ascii="Times New Roman" w:hAnsi="Times New Roman"/>
          <w:sz w:val="24"/>
          <w:szCs w:val="24"/>
        </w:rPr>
        <w:t>preukazu žiadateľa</w:t>
      </w:r>
      <w:r>
        <w:rPr>
          <w:rFonts w:ascii="Times New Roman" w:hAnsi="Times New Roman"/>
          <w:sz w:val="24"/>
          <w:szCs w:val="24"/>
        </w:rPr>
        <w:t xml:space="preserve">. Ide o legislatívno-technickú úpravu, kedy sa doterajšie ustanovenie v § 23b ods. 3 vypúšťa a jeho obsah sa premieta do § 47b ods. 2.  </w:t>
      </w:r>
      <w:r w:rsidRPr="00C142E7">
        <w:rPr>
          <w:rFonts w:ascii="Times New Roman" w:hAnsi="Times New Roman"/>
          <w:sz w:val="24"/>
          <w:szCs w:val="24"/>
        </w:rPr>
        <w:t xml:space="preserve"> </w:t>
      </w:r>
    </w:p>
    <w:p w:rsidR="007A518C" w:rsidP="007A518C">
      <w:pPr>
        <w:bidi w:val="0"/>
        <w:spacing w:after="0" w:line="240" w:lineRule="auto"/>
        <w:jc w:val="both"/>
        <w:rPr>
          <w:rFonts w:ascii="Times New Roman" w:hAnsi="Times New Roman"/>
          <w:b/>
          <w:sz w:val="24"/>
          <w:szCs w:val="24"/>
        </w:rPr>
      </w:pPr>
    </w:p>
    <w:p w:rsidR="007A518C" w:rsidRPr="003B3A0B" w:rsidP="007A518C">
      <w:pPr>
        <w:bidi w:val="0"/>
        <w:spacing w:after="0" w:line="240" w:lineRule="auto"/>
        <w:jc w:val="both"/>
        <w:rPr>
          <w:rFonts w:ascii="Times New Roman" w:hAnsi="Times New Roman"/>
          <w:b/>
          <w:sz w:val="24"/>
          <w:szCs w:val="24"/>
        </w:rPr>
      </w:pPr>
      <w:r>
        <w:rPr>
          <w:rFonts w:ascii="Times New Roman" w:hAnsi="Times New Roman"/>
          <w:b/>
          <w:sz w:val="24"/>
          <w:szCs w:val="24"/>
        </w:rPr>
        <w:t>K bodom 36</w:t>
      </w:r>
      <w:r w:rsidRPr="00B95838">
        <w:rPr>
          <w:rFonts w:ascii="Times New Roman" w:hAnsi="Times New Roman"/>
          <w:b/>
          <w:sz w:val="24"/>
          <w:szCs w:val="24"/>
        </w:rPr>
        <w:t xml:space="preserve"> a </w:t>
      </w:r>
      <w:r>
        <w:rPr>
          <w:rFonts w:ascii="Times New Roman" w:hAnsi="Times New Roman"/>
          <w:b/>
          <w:sz w:val="24"/>
          <w:szCs w:val="24"/>
        </w:rPr>
        <w:t>37</w:t>
      </w:r>
      <w:r w:rsidRPr="00B95838">
        <w:rPr>
          <w:rFonts w:ascii="Times New Roman" w:hAnsi="Times New Roman"/>
          <w:b/>
          <w:sz w:val="24"/>
          <w:szCs w:val="24"/>
        </w:rPr>
        <w:t xml:space="preserve"> </w:t>
      </w:r>
      <w:r>
        <w:rPr>
          <w:rFonts w:ascii="Times New Roman" w:hAnsi="Times New Roman"/>
          <w:b/>
          <w:sz w:val="24"/>
          <w:szCs w:val="24"/>
        </w:rPr>
        <w:t xml:space="preserve">(§ 49 ods. 3) </w:t>
      </w:r>
    </w:p>
    <w:p w:rsidR="007A518C" w:rsidRPr="006464D1" w:rsidP="007A518C">
      <w:pPr>
        <w:bidi w:val="0"/>
        <w:spacing w:after="0" w:line="240" w:lineRule="auto"/>
        <w:ind w:firstLine="708"/>
        <w:jc w:val="both"/>
        <w:rPr>
          <w:rFonts w:ascii="Times New Roman" w:hAnsi="Times New Roman"/>
          <w:b/>
          <w:sz w:val="24"/>
          <w:szCs w:val="24"/>
        </w:rPr>
      </w:pPr>
      <w:r w:rsidRPr="006464D1">
        <w:rPr>
          <w:rFonts w:ascii="Times New Roman" w:hAnsi="Times New Roman"/>
          <w:sz w:val="24"/>
          <w:szCs w:val="24"/>
        </w:rPr>
        <w:t xml:space="preserve">Predmetná úprava je potrebná z dôvodu, aby sa predišlo možným rozdielnym výkladom tohto ustanovenia. Navrhuje sa </w:t>
      </w:r>
      <w:r>
        <w:rPr>
          <w:rFonts w:ascii="Times New Roman" w:hAnsi="Times New Roman"/>
          <w:sz w:val="24"/>
          <w:szCs w:val="24"/>
        </w:rPr>
        <w:t>jasnejšie vymedzenie,</w:t>
      </w:r>
      <w:r w:rsidRPr="006464D1">
        <w:rPr>
          <w:rFonts w:ascii="Times New Roman" w:hAnsi="Times New Roman"/>
          <w:sz w:val="24"/>
          <w:szCs w:val="24"/>
        </w:rPr>
        <w:t xml:space="preserve"> kedy ministerstvo vnútra nesmie</w:t>
      </w:r>
      <w:r>
        <w:rPr>
          <w:rFonts w:ascii="Times New Roman" w:hAnsi="Times New Roman"/>
          <w:sz w:val="24"/>
          <w:szCs w:val="24"/>
        </w:rPr>
        <w:t xml:space="preserve"> </w:t>
      </w:r>
      <w:r w:rsidRPr="006464D1">
        <w:rPr>
          <w:rFonts w:ascii="Times New Roman" w:hAnsi="Times New Roman"/>
          <w:sz w:val="24"/>
          <w:szCs w:val="24"/>
        </w:rPr>
        <w:t>bez súhlasu dotknutej osoby poskytnúť údaje podľa § 48</w:t>
      </w:r>
      <w:r>
        <w:rPr>
          <w:rFonts w:ascii="Times New Roman" w:hAnsi="Times New Roman"/>
          <w:sz w:val="24"/>
          <w:szCs w:val="24"/>
        </w:rPr>
        <w:t xml:space="preserve"> </w:t>
      </w:r>
      <w:r w:rsidRPr="006464D1">
        <w:rPr>
          <w:rFonts w:ascii="Times New Roman" w:hAnsi="Times New Roman"/>
          <w:sz w:val="24"/>
          <w:szCs w:val="24"/>
        </w:rPr>
        <w:t>do štátu podľa § 8, § 13a a § 29 ods.</w:t>
      </w:r>
      <w:r>
        <w:rPr>
          <w:rFonts w:ascii="Times New Roman" w:hAnsi="Times New Roman"/>
          <w:sz w:val="24"/>
          <w:szCs w:val="24"/>
        </w:rPr>
        <w:t> </w:t>
      </w:r>
      <w:r w:rsidRPr="006464D1">
        <w:rPr>
          <w:rFonts w:ascii="Times New Roman" w:hAnsi="Times New Roman"/>
          <w:sz w:val="24"/>
          <w:szCs w:val="24"/>
        </w:rPr>
        <w:t>1</w:t>
      </w:r>
      <w:r>
        <w:rPr>
          <w:rFonts w:ascii="Times New Roman" w:hAnsi="Times New Roman"/>
          <w:sz w:val="24"/>
          <w:szCs w:val="24"/>
        </w:rPr>
        <w:t>. Ide o obdobnú situáciu, ako je už uveden</w:t>
      </w:r>
      <w:r w:rsidRPr="00A54E66">
        <w:rPr>
          <w:rFonts w:ascii="Times New Roman" w:hAnsi="Times New Roman"/>
          <w:sz w:val="24"/>
          <w:szCs w:val="24"/>
        </w:rPr>
        <w:t>á v bodoch 1</w:t>
      </w:r>
      <w:r>
        <w:rPr>
          <w:rFonts w:ascii="Times New Roman" w:hAnsi="Times New Roman"/>
          <w:sz w:val="24"/>
          <w:szCs w:val="24"/>
        </w:rPr>
        <w:t xml:space="preserve"> </w:t>
      </w:r>
      <w:r w:rsidRPr="00B36801">
        <w:rPr>
          <w:rFonts w:ascii="Times New Roman" w:hAnsi="Times New Roman"/>
          <w:sz w:val="24"/>
          <w:szCs w:val="24"/>
        </w:rPr>
        <w:t xml:space="preserve">až 3, </w:t>
      </w:r>
      <w:r w:rsidRPr="003233CF">
        <w:rPr>
          <w:rFonts w:ascii="Times New Roman" w:hAnsi="Times New Roman"/>
          <w:sz w:val="24"/>
          <w:szCs w:val="24"/>
        </w:rPr>
        <w:t>19</w:t>
      </w:r>
      <w:r w:rsidRPr="007A08DB">
        <w:rPr>
          <w:rFonts w:ascii="Times New Roman" w:hAnsi="Times New Roman"/>
          <w:sz w:val="24"/>
          <w:szCs w:val="24"/>
        </w:rPr>
        <w:t>,</w:t>
      </w:r>
      <w:r w:rsidRPr="00E1013F">
        <w:rPr>
          <w:rFonts w:ascii="Times New Roman" w:hAnsi="Times New Roman"/>
          <w:color w:val="FF0000"/>
          <w:sz w:val="24"/>
          <w:szCs w:val="24"/>
        </w:rPr>
        <w:t xml:space="preserve"> </w:t>
      </w:r>
      <w:r>
        <w:rPr>
          <w:rFonts w:ascii="Times New Roman" w:hAnsi="Times New Roman"/>
          <w:sz w:val="24"/>
          <w:szCs w:val="24"/>
        </w:rPr>
        <w:t>atď.</w:t>
      </w:r>
    </w:p>
    <w:p w:rsidR="007A518C" w:rsidRPr="00377B55" w:rsidP="007A518C">
      <w:pPr>
        <w:bidi w:val="0"/>
        <w:spacing w:after="0" w:line="240" w:lineRule="auto"/>
        <w:jc w:val="both"/>
        <w:rPr>
          <w:rFonts w:ascii="Times New Roman" w:hAnsi="Times New Roman"/>
          <w:sz w:val="24"/>
          <w:szCs w:val="24"/>
        </w:rPr>
      </w:pPr>
      <w:r>
        <w:rPr>
          <w:rFonts w:ascii="Times New Roman" w:hAnsi="Times New Roman"/>
          <w:b/>
          <w:sz w:val="24"/>
          <w:szCs w:val="24"/>
        </w:rPr>
        <w:tab/>
      </w:r>
      <w:r w:rsidRPr="00377B55">
        <w:rPr>
          <w:rFonts w:ascii="Times New Roman" w:hAnsi="Times New Roman"/>
          <w:sz w:val="24"/>
          <w:szCs w:val="24"/>
        </w:rPr>
        <w:t xml:space="preserve">V odseku 3 sa navrhuje doplnenie, v zmysle ktorého ministerstvo </w:t>
      </w:r>
      <w:r w:rsidRPr="00F878E5">
        <w:rPr>
          <w:rFonts w:ascii="Times New Roman" w:hAnsi="Times New Roman"/>
          <w:sz w:val="24"/>
          <w:szCs w:val="24"/>
        </w:rPr>
        <w:t xml:space="preserve">vnútra alebo iný orgán verejnej správy nesmie bez súhlasu dotknutej </w:t>
      </w:r>
      <w:r w:rsidRPr="00377B55">
        <w:rPr>
          <w:rFonts w:ascii="Times New Roman" w:hAnsi="Times New Roman"/>
          <w:sz w:val="24"/>
          <w:szCs w:val="24"/>
        </w:rPr>
        <w:t>osoby poskytnúť krajine pôvodu informácie o tom, že cudzinec podal žiadosť o udelenie azylu a o dôvodoch takejto žiadosti ani v prípade, ak azyl alebo doplnková ochrana už zanikli alebo cudzinec už nie je žiadateľom. Uvedené sa navrhuje z dôvodu, že je potrebné chrániť tiež osoby, ktorým  azyl alebo doplnková ochrana už zanikli, ako aj osoby, ktorým nikdy azyl alebo doplnková ochrana neboli udelené, ale na území Slovenskej republiky podali svoju žiadosť o udelenie azylu</w:t>
      </w:r>
      <w:r>
        <w:rPr>
          <w:rFonts w:ascii="Times New Roman" w:hAnsi="Times New Roman"/>
          <w:sz w:val="24"/>
          <w:szCs w:val="24"/>
        </w:rPr>
        <w:t xml:space="preserve"> (bývalí žiadatelia o udelenie azylu)</w:t>
      </w:r>
      <w:r w:rsidRPr="00377B55">
        <w:rPr>
          <w:rFonts w:ascii="Times New Roman" w:hAnsi="Times New Roman"/>
          <w:sz w:val="24"/>
          <w:szCs w:val="24"/>
        </w:rPr>
        <w:t xml:space="preserve">.  </w:t>
      </w:r>
    </w:p>
    <w:p w:rsidR="007A518C" w:rsidP="007A518C">
      <w:pPr>
        <w:bidi w:val="0"/>
        <w:spacing w:after="0" w:line="240" w:lineRule="auto"/>
        <w:jc w:val="both"/>
        <w:rPr>
          <w:rFonts w:ascii="Times New Roman" w:hAnsi="Times New Roman"/>
          <w:color w:val="1F497D" w:themeColor="tx2" w:themeShade="FF"/>
          <w:sz w:val="24"/>
          <w:szCs w:val="24"/>
        </w:rPr>
      </w:pPr>
    </w:p>
    <w:p w:rsidR="007A518C" w:rsidP="007A518C">
      <w:pPr>
        <w:bidi w:val="0"/>
        <w:spacing w:after="0" w:line="240" w:lineRule="auto"/>
        <w:jc w:val="both"/>
        <w:rPr>
          <w:rFonts w:ascii="Times New Roman" w:hAnsi="Times New Roman"/>
          <w:b/>
          <w:sz w:val="24"/>
          <w:szCs w:val="24"/>
        </w:rPr>
      </w:pPr>
      <w:r>
        <w:rPr>
          <w:rFonts w:ascii="Times New Roman" w:hAnsi="Times New Roman"/>
          <w:b/>
          <w:sz w:val="24"/>
          <w:szCs w:val="24"/>
        </w:rPr>
        <w:t>K bodu 38</w:t>
      </w:r>
      <w:r w:rsidRPr="00F870DF">
        <w:rPr>
          <w:rFonts w:ascii="Times New Roman" w:hAnsi="Times New Roman"/>
          <w:b/>
          <w:sz w:val="24"/>
          <w:szCs w:val="24"/>
        </w:rPr>
        <w:t xml:space="preserve"> (§ 49 ods. 4)</w:t>
      </w:r>
    </w:p>
    <w:p w:rsidR="007A518C" w:rsidRPr="009B5424" w:rsidP="007A518C">
      <w:pPr>
        <w:bidi w:val="0"/>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Navrhuje sa doplniť nový odsek 4, ktorý stanovuje, že ustanovenie odseku 3 sa primerane vzťahuje aj na cudzincov v konaní o odovzdaní do iného štátu podľa § 46a ods. 1. Uvedené sa navrhuje z dôvodu, aby bolo zrejmé, že ministerstvo vnútra nesmie ani počas konania o odovzdaní do </w:t>
      </w:r>
      <w:r w:rsidRPr="00901663">
        <w:rPr>
          <w:rFonts w:ascii="Times New Roman" w:hAnsi="Times New Roman"/>
          <w:sz w:val="24"/>
          <w:szCs w:val="24"/>
        </w:rPr>
        <w:t xml:space="preserve">iného štátu, ani po jeho skončení poskytnúť </w:t>
      </w:r>
      <w:r>
        <w:rPr>
          <w:rFonts w:ascii="Times New Roman" w:hAnsi="Times New Roman"/>
          <w:sz w:val="24"/>
          <w:szCs w:val="24"/>
        </w:rPr>
        <w:t xml:space="preserve">informácie, resp. údaje o cudzincovi do jeho krajiny pôvodu bez jeho súhlasu. Cudzinci v konaní o odovzdaní do iného štátu sú alebo boli žiadateľmi o udelenie azylu (žiadateľmi o medzinárodnú ochranu) v inom členskom štáte EÚ, </w:t>
      </w:r>
      <w:r w:rsidRPr="00D82FB4">
        <w:rPr>
          <w:rFonts w:ascii="Times New Roman" w:hAnsi="Times New Roman"/>
          <w:sz w:val="24"/>
          <w:szCs w:val="24"/>
        </w:rPr>
        <w:t xml:space="preserve">resp. štáte, ktorý síce nie je členským štátom EÚ, ale uplatňuje </w:t>
      </w:r>
      <w:r w:rsidRPr="00D82FB4">
        <w:rPr>
          <w:rFonts w:ascii="Times New Roman" w:hAnsi="Times New Roman"/>
          <w:i/>
          <w:sz w:val="24"/>
          <w:szCs w:val="24"/>
        </w:rPr>
        <w:t>nariadenie Európskeho parlamentu a Rady (EÚ) č. 604/2013, ktorým sa stanovujú kritériá a mechanizmy na určenie členského štátu zodpovedného za posúdenie žiadosti o medzinárodnú ochranu podanej štátnym príslušníkom tretej krajiny alebo sobou bez štátnej príslušnosti v jednom z členských štátov</w:t>
      </w:r>
      <w:r>
        <w:rPr>
          <w:rFonts w:ascii="Times New Roman" w:hAnsi="Times New Roman"/>
          <w:sz w:val="24"/>
          <w:szCs w:val="24"/>
        </w:rPr>
        <w:t xml:space="preserve"> </w:t>
      </w:r>
      <w:r>
        <w:rPr>
          <w:rFonts w:ascii="Times New Roman" w:hAnsi="Times New Roman"/>
          <w:i/>
          <w:sz w:val="24"/>
          <w:szCs w:val="24"/>
        </w:rPr>
        <w:t xml:space="preserve">(prepracované znenie), </w:t>
      </w:r>
      <w:r w:rsidRPr="00D82FB4">
        <w:rPr>
          <w:rFonts w:ascii="Times New Roman" w:hAnsi="Times New Roman"/>
          <w:sz w:val="24"/>
          <w:szCs w:val="24"/>
        </w:rPr>
        <w:t>a preto je potrebné zvýšenú ochranu venovať aj tejto kategórii cudzincov.</w:t>
      </w:r>
      <w:r>
        <w:rPr>
          <w:rFonts w:ascii="Times New Roman" w:hAnsi="Times New Roman"/>
          <w:sz w:val="24"/>
          <w:szCs w:val="24"/>
        </w:rPr>
        <w:t xml:space="preserve"> </w:t>
      </w:r>
      <w:r w:rsidRPr="009B5424">
        <w:rPr>
          <w:rFonts w:ascii="Times New Roman" w:hAnsi="Times New Roman"/>
          <w:b/>
          <w:sz w:val="24"/>
          <w:szCs w:val="24"/>
        </w:rPr>
        <w:t xml:space="preserve">  </w:t>
        <w:tab/>
      </w:r>
    </w:p>
    <w:p w:rsidR="007A518C" w:rsidP="007A518C">
      <w:pPr>
        <w:bidi w:val="0"/>
        <w:spacing w:after="0" w:line="240" w:lineRule="auto"/>
        <w:jc w:val="both"/>
        <w:rPr>
          <w:rFonts w:ascii="Times New Roman" w:hAnsi="Times New Roman"/>
          <w:b/>
          <w:sz w:val="24"/>
          <w:szCs w:val="24"/>
        </w:rPr>
      </w:pPr>
    </w:p>
    <w:p w:rsidR="007A518C" w:rsidRPr="00871F52" w:rsidP="007A518C">
      <w:pPr>
        <w:bidi w:val="0"/>
        <w:spacing w:after="0" w:line="240" w:lineRule="auto"/>
        <w:jc w:val="both"/>
        <w:rPr>
          <w:rFonts w:ascii="Times New Roman" w:hAnsi="Times New Roman"/>
          <w:b/>
          <w:sz w:val="24"/>
          <w:szCs w:val="24"/>
        </w:rPr>
      </w:pPr>
    </w:p>
    <w:p w:rsidR="007A518C" w:rsidP="007A518C">
      <w:pPr>
        <w:bidi w:val="0"/>
        <w:spacing w:after="0" w:line="240" w:lineRule="auto"/>
        <w:jc w:val="both"/>
        <w:rPr>
          <w:rFonts w:ascii="Times New Roman" w:hAnsi="Times New Roman"/>
          <w:sz w:val="24"/>
          <w:szCs w:val="24"/>
        </w:rPr>
      </w:pPr>
      <w:r>
        <w:rPr>
          <w:rFonts w:ascii="Times New Roman" w:hAnsi="Times New Roman"/>
          <w:b/>
          <w:sz w:val="24"/>
          <w:szCs w:val="24"/>
          <w:u w:val="single"/>
        </w:rPr>
        <w:t>K čl. II</w:t>
      </w:r>
    </w:p>
    <w:p w:rsidR="007A518C" w:rsidP="007A518C">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7A518C" w:rsidP="007A518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Vzhľadom na transpozičnú lehotu relevantných ustanovení prepracovanej procedurálnej smernice, ako aj s prihliadnutím na predpokladanú dĺžku legislatívneho procesu, navrhuje sa nadobudnutie účinnosti predmetného návrhu zákona 20. júla 2018. </w:t>
      </w:r>
    </w:p>
    <w:p w:rsidR="007A518C" w:rsidP="007A518C">
      <w:pPr>
        <w:bidi w:val="0"/>
        <w:spacing w:after="0" w:line="240" w:lineRule="auto"/>
        <w:ind w:firstLine="708"/>
        <w:jc w:val="both"/>
        <w:rPr>
          <w:rFonts w:ascii="Times New Roman" w:hAnsi="Times New Roman"/>
          <w:sz w:val="24"/>
          <w:szCs w:val="24"/>
        </w:rPr>
      </w:pPr>
    </w:p>
    <w:p w:rsidR="00C63335" w:rsidP="007A518C">
      <w:pPr>
        <w:bidi w:val="0"/>
        <w:spacing w:after="0" w:line="240" w:lineRule="auto"/>
        <w:jc w:val="both"/>
        <w:rPr>
          <w:rFonts w:ascii="Times New Roman" w:hAnsi="Times New Roman"/>
          <w:sz w:val="24"/>
          <w:szCs w:val="24"/>
        </w:rPr>
      </w:pPr>
    </w:p>
    <w:p w:rsidR="008C3A6B" w:rsidRPr="00C63335" w:rsidP="007A518C">
      <w:pPr>
        <w:bidi w:val="0"/>
        <w:spacing w:after="0" w:line="240" w:lineRule="auto"/>
        <w:jc w:val="both"/>
        <w:rPr>
          <w:rFonts w:ascii="Times New Roman" w:hAnsi="Times New Roman"/>
          <w:sz w:val="24"/>
          <w:szCs w:val="24"/>
        </w:rPr>
      </w:pPr>
      <w:r w:rsidRPr="00C63335" w:rsidR="00C63335">
        <w:rPr>
          <w:rFonts w:ascii="Times New Roman" w:hAnsi="Times New Roman"/>
          <w:sz w:val="24"/>
          <w:szCs w:val="24"/>
        </w:rPr>
        <w:t xml:space="preserve"> V Bratislave 20. apríla 2018</w:t>
      </w:r>
    </w:p>
    <w:p w:rsidR="00A803AA" w:rsidP="007A518C">
      <w:pPr>
        <w:bidi w:val="0"/>
        <w:spacing w:after="0" w:line="240" w:lineRule="auto"/>
        <w:jc w:val="both"/>
        <w:rPr>
          <w:rFonts w:ascii="Times New Roman" w:hAnsi="Times New Roman"/>
          <w:b/>
          <w:sz w:val="24"/>
          <w:szCs w:val="24"/>
        </w:rPr>
      </w:pPr>
    </w:p>
    <w:p w:rsidR="00C63335" w:rsidP="002B0B06">
      <w:pPr>
        <w:bidi w:val="0"/>
        <w:spacing w:after="0" w:line="240" w:lineRule="auto"/>
        <w:jc w:val="center"/>
        <w:rPr>
          <w:rFonts w:ascii="Times New Roman" w:hAnsi="Times New Roman"/>
          <w:b/>
          <w:sz w:val="24"/>
          <w:szCs w:val="24"/>
        </w:rPr>
      </w:pPr>
    </w:p>
    <w:p w:rsidR="00C63335" w:rsidP="002B0B06">
      <w:pPr>
        <w:bidi w:val="0"/>
        <w:spacing w:after="0" w:line="240" w:lineRule="auto"/>
        <w:jc w:val="center"/>
        <w:rPr>
          <w:rFonts w:ascii="Times New Roman" w:hAnsi="Times New Roman"/>
          <w:b/>
          <w:sz w:val="24"/>
          <w:szCs w:val="24"/>
        </w:rPr>
      </w:pPr>
    </w:p>
    <w:p w:rsidR="00A803AA" w:rsidRPr="00A803AA" w:rsidP="002B0B06">
      <w:pPr>
        <w:bidi w:val="0"/>
        <w:spacing w:after="0" w:line="240" w:lineRule="auto"/>
        <w:jc w:val="center"/>
        <w:rPr>
          <w:rFonts w:ascii="Times New Roman" w:hAnsi="Times New Roman"/>
          <w:sz w:val="24"/>
          <w:szCs w:val="24"/>
        </w:rPr>
      </w:pPr>
      <w:r w:rsidR="008A713F">
        <w:rPr>
          <w:rFonts w:ascii="Times New Roman" w:hAnsi="Times New Roman"/>
          <w:b/>
          <w:sz w:val="24"/>
          <w:szCs w:val="24"/>
        </w:rPr>
        <w:t xml:space="preserve">                                                  </w:t>
        <w:tab/>
        <w:t xml:space="preserve">            </w:t>
      </w:r>
      <w:r w:rsidR="00C63335">
        <w:rPr>
          <w:rFonts w:ascii="Times New Roman" w:hAnsi="Times New Roman"/>
          <w:b/>
          <w:sz w:val="24"/>
          <w:szCs w:val="24"/>
        </w:rPr>
        <w:t>Peter Pellegrini</w:t>
      </w:r>
      <w:r w:rsidR="006868F2">
        <w:rPr>
          <w:rFonts w:ascii="Times New Roman" w:hAnsi="Times New Roman"/>
          <w:b/>
          <w:sz w:val="24"/>
          <w:szCs w:val="24"/>
        </w:rPr>
        <w:t>, v. r.</w:t>
      </w:r>
    </w:p>
    <w:p w:rsidR="008A713F" w:rsidP="002B0B06">
      <w:pPr>
        <w:bidi w:val="0"/>
        <w:spacing w:after="0" w:line="240" w:lineRule="auto"/>
        <w:jc w:val="center"/>
        <w:rPr>
          <w:rFonts w:ascii="Times New Roman" w:hAnsi="Times New Roman"/>
          <w:sz w:val="24"/>
          <w:szCs w:val="24"/>
        </w:rPr>
      </w:pPr>
      <w:r>
        <w:rPr>
          <w:rFonts w:ascii="Times New Roman" w:hAnsi="Times New Roman"/>
          <w:sz w:val="24"/>
          <w:szCs w:val="24"/>
        </w:rPr>
        <w:t xml:space="preserve">                                                             </w:t>
        <w:tab/>
      </w:r>
    </w:p>
    <w:p w:rsidR="002B0B06" w:rsidP="002B0B06">
      <w:pPr>
        <w:bidi w:val="0"/>
        <w:spacing w:after="0" w:line="240" w:lineRule="auto"/>
        <w:jc w:val="center"/>
        <w:rPr>
          <w:rFonts w:ascii="Times New Roman" w:hAnsi="Times New Roman"/>
          <w:sz w:val="24"/>
          <w:szCs w:val="24"/>
        </w:rPr>
      </w:pPr>
      <w:r w:rsidR="008A713F">
        <w:rPr>
          <w:rFonts w:ascii="Times New Roman" w:hAnsi="Times New Roman"/>
          <w:sz w:val="24"/>
          <w:szCs w:val="24"/>
        </w:rPr>
        <w:t xml:space="preserve"> </w:t>
        <w:tab/>
        <w:tab/>
        <w:tab/>
        <w:tab/>
        <w:tab/>
        <w:tab/>
        <w:t xml:space="preserve">  p</w:t>
      </w:r>
      <w:r w:rsidRPr="00A803AA" w:rsidR="00A803AA">
        <w:rPr>
          <w:rFonts w:ascii="Times New Roman" w:hAnsi="Times New Roman"/>
          <w:sz w:val="24"/>
          <w:szCs w:val="24"/>
        </w:rPr>
        <w:t>re</w:t>
      </w:r>
      <w:r w:rsidR="00A803AA">
        <w:rPr>
          <w:rFonts w:ascii="Times New Roman" w:hAnsi="Times New Roman"/>
          <w:sz w:val="24"/>
          <w:szCs w:val="24"/>
        </w:rPr>
        <w:t xml:space="preserve">dseda vlády Slovenskej republiky </w:t>
      </w:r>
    </w:p>
    <w:p w:rsidR="008A713F" w:rsidP="008A713F">
      <w:pPr>
        <w:bidi w:val="0"/>
        <w:spacing w:after="0" w:line="240" w:lineRule="auto"/>
        <w:ind w:left="3540" w:firstLine="708"/>
        <w:jc w:val="center"/>
        <w:rPr>
          <w:rFonts w:ascii="Times New Roman" w:hAnsi="Times New Roman"/>
          <w:sz w:val="24"/>
          <w:szCs w:val="24"/>
        </w:rPr>
      </w:pPr>
      <w:r w:rsidR="00183A5D">
        <w:rPr>
          <w:rFonts w:ascii="Times New Roman" w:hAnsi="Times New Roman"/>
          <w:sz w:val="24"/>
          <w:szCs w:val="24"/>
        </w:rPr>
        <w:t xml:space="preserve">súčasne </w:t>
      </w:r>
      <w:r w:rsidR="00A803AA">
        <w:rPr>
          <w:rFonts w:ascii="Times New Roman" w:hAnsi="Times New Roman"/>
          <w:sz w:val="24"/>
          <w:szCs w:val="24"/>
        </w:rPr>
        <w:t xml:space="preserve">poverený riadením </w:t>
      </w:r>
    </w:p>
    <w:p w:rsidR="00A803AA" w:rsidRPr="00A803AA" w:rsidP="008A713F">
      <w:pPr>
        <w:bidi w:val="0"/>
        <w:spacing w:after="0" w:line="240" w:lineRule="auto"/>
        <w:ind w:left="3540" w:firstLine="708"/>
        <w:jc w:val="center"/>
        <w:rPr>
          <w:rFonts w:ascii="Times New Roman" w:hAnsi="Times New Roman"/>
          <w:sz w:val="24"/>
          <w:szCs w:val="24"/>
        </w:rPr>
      </w:pPr>
      <w:r>
        <w:rPr>
          <w:rFonts w:ascii="Times New Roman" w:hAnsi="Times New Roman"/>
          <w:sz w:val="24"/>
          <w:szCs w:val="24"/>
        </w:rPr>
        <w:t>Ministerstva vnútra Slovenskej republiky</w:t>
      </w: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DD9">
    <w:pPr>
      <w:pStyle w:val="Footer"/>
      <w:bidi w:val="0"/>
      <w:jc w:val="center"/>
    </w:pPr>
    <w:r>
      <w:fldChar w:fldCharType="begin"/>
    </w:r>
    <w:r>
      <w:instrText>PAGE   \* MERGEFORMAT</w:instrText>
    </w:r>
    <w:r>
      <w:fldChar w:fldCharType="separate"/>
    </w:r>
    <w:r w:rsidR="001E63A4">
      <w:rPr>
        <w:noProof/>
      </w:rPr>
      <w:t>14</w:t>
    </w:r>
    <w:r>
      <w:fldChar w:fldCharType="end"/>
    </w:r>
  </w:p>
  <w:p w:rsidR="000F4DD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23A3"/>
    <w:multiLevelType w:val="hybridMultilevel"/>
    <w:tmpl w:val="AE62785E"/>
    <w:lvl w:ilvl="0">
      <w:start w:val="1"/>
      <w:numFmt w:val="lowerLetter"/>
      <w:lvlText w:val="%1)"/>
      <w:lvlJc w:val="left"/>
      <w:pPr>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BF737E"/>
    <w:multiLevelType w:val="hybridMultilevel"/>
    <w:tmpl w:val="892CF4BC"/>
    <w:lvl w:ilvl="0">
      <w:start w:val="0"/>
      <w:numFmt w:val="bullet"/>
      <w:lvlText w:val="-"/>
      <w:lvlJc w:val="left"/>
      <w:pPr>
        <w:tabs>
          <w:tab w:val="num" w:pos="1340"/>
        </w:tabs>
        <w:ind w:left="1340" w:hanging="780"/>
      </w:pPr>
      <w:rPr>
        <w:rFonts w:ascii="Times New Roman" w:eastAsia="Times New Roman" w:hAnsi="Times New Roman" w:hint="default"/>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2">
    <w:nsid w:val="22E30AFF"/>
    <w:multiLevelType w:val="hybridMultilevel"/>
    <w:tmpl w:val="33301AE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
    <w:nsid w:val="25444E6E"/>
    <w:multiLevelType w:val="hybridMultilevel"/>
    <w:tmpl w:val="1F4850C2"/>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hint="default"/>
      </w:rPr>
    </w:lvl>
    <w:lvl w:ilvl="8">
      <w:start w:val="1"/>
      <w:numFmt w:val="bullet"/>
      <w:lvlText w:val=""/>
      <w:lvlJc w:val="left"/>
      <w:pPr>
        <w:ind w:left="7194" w:hanging="360"/>
      </w:pPr>
      <w:rPr>
        <w:rFonts w:ascii="Wingdings" w:hAnsi="Wingdings" w:hint="default"/>
      </w:rPr>
    </w:lvl>
  </w:abstractNum>
  <w:abstractNum w:abstractNumId="4">
    <w:nsid w:val="25F2603C"/>
    <w:multiLevelType w:val="hybridMultilevel"/>
    <w:tmpl w:val="B924224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809181E"/>
    <w:multiLevelType w:val="hybridMultilevel"/>
    <w:tmpl w:val="73527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4F95FA2"/>
    <w:multiLevelType w:val="hybridMultilevel"/>
    <w:tmpl w:val="386E5422"/>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7">
    <w:nsid w:val="486E765E"/>
    <w:multiLevelType w:val="hybridMultilevel"/>
    <w:tmpl w:val="5068F73A"/>
    <w:lvl w:ilvl="0">
      <w:start w:val="1"/>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8">
    <w:nsid w:val="490A3E7D"/>
    <w:multiLevelType w:val="hybridMultilevel"/>
    <w:tmpl w:val="E984EF96"/>
    <w:lvl w:ilvl="0">
      <w:start w:val="11"/>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7E31734A"/>
    <w:multiLevelType w:val="hybridMultilevel"/>
    <w:tmpl w:val="E7CAB428"/>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6"/>
  </w:num>
  <w:num w:numId="5">
    <w:abstractNumId w:val="0"/>
  </w:num>
  <w:num w:numId="6">
    <w:abstractNumId w:val="3"/>
  </w:num>
  <w:num w:numId="7">
    <w:abstractNumId w:val="7"/>
  </w:num>
  <w:num w:numId="8">
    <w:abstractNumId w:val="1"/>
  </w:num>
  <w:num w:numId="9">
    <w:abstractNumId w:val="4"/>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311E6"/>
    <w:rsid w:val="00002887"/>
    <w:rsid w:val="00002C95"/>
    <w:rsid w:val="000038DA"/>
    <w:rsid w:val="00006EDD"/>
    <w:rsid w:val="00013B50"/>
    <w:rsid w:val="0001608C"/>
    <w:rsid w:val="00022EB4"/>
    <w:rsid w:val="00023456"/>
    <w:rsid w:val="00023FD8"/>
    <w:rsid w:val="000256C4"/>
    <w:rsid w:val="00026794"/>
    <w:rsid w:val="00026AE3"/>
    <w:rsid w:val="0002723C"/>
    <w:rsid w:val="00031A84"/>
    <w:rsid w:val="00031ADB"/>
    <w:rsid w:val="00032EE5"/>
    <w:rsid w:val="00033B41"/>
    <w:rsid w:val="00033CE2"/>
    <w:rsid w:val="0003573D"/>
    <w:rsid w:val="00036281"/>
    <w:rsid w:val="00040ECF"/>
    <w:rsid w:val="00042AAB"/>
    <w:rsid w:val="000456C3"/>
    <w:rsid w:val="000460A1"/>
    <w:rsid w:val="00046500"/>
    <w:rsid w:val="00047CAF"/>
    <w:rsid w:val="000530FB"/>
    <w:rsid w:val="00057A32"/>
    <w:rsid w:val="00057C2D"/>
    <w:rsid w:val="0006235C"/>
    <w:rsid w:val="00064D2E"/>
    <w:rsid w:val="00066052"/>
    <w:rsid w:val="00070E86"/>
    <w:rsid w:val="00073330"/>
    <w:rsid w:val="00076B51"/>
    <w:rsid w:val="000A2076"/>
    <w:rsid w:val="000A2C5D"/>
    <w:rsid w:val="000A3620"/>
    <w:rsid w:val="000B0555"/>
    <w:rsid w:val="000C102C"/>
    <w:rsid w:val="000C5D9F"/>
    <w:rsid w:val="000D3D14"/>
    <w:rsid w:val="000D68FB"/>
    <w:rsid w:val="000E1D65"/>
    <w:rsid w:val="000E2C87"/>
    <w:rsid w:val="000E3792"/>
    <w:rsid w:val="000E4D51"/>
    <w:rsid w:val="000F23B1"/>
    <w:rsid w:val="000F3C64"/>
    <w:rsid w:val="000F4DD9"/>
    <w:rsid w:val="000F5A3B"/>
    <w:rsid w:val="000F66FC"/>
    <w:rsid w:val="000F6E63"/>
    <w:rsid w:val="001069BC"/>
    <w:rsid w:val="00106A46"/>
    <w:rsid w:val="0012352D"/>
    <w:rsid w:val="001257AA"/>
    <w:rsid w:val="00131DBA"/>
    <w:rsid w:val="001328C8"/>
    <w:rsid w:val="001331F7"/>
    <w:rsid w:val="00135D29"/>
    <w:rsid w:val="00144843"/>
    <w:rsid w:val="001452D0"/>
    <w:rsid w:val="00157026"/>
    <w:rsid w:val="001614D7"/>
    <w:rsid w:val="00164BF1"/>
    <w:rsid w:val="0016534E"/>
    <w:rsid w:val="001722AB"/>
    <w:rsid w:val="00174760"/>
    <w:rsid w:val="0017519B"/>
    <w:rsid w:val="00177912"/>
    <w:rsid w:val="00183A5D"/>
    <w:rsid w:val="001924B6"/>
    <w:rsid w:val="00195E0B"/>
    <w:rsid w:val="001A29E5"/>
    <w:rsid w:val="001A4A42"/>
    <w:rsid w:val="001A52E0"/>
    <w:rsid w:val="001A540B"/>
    <w:rsid w:val="001B40A8"/>
    <w:rsid w:val="001B5440"/>
    <w:rsid w:val="001D6394"/>
    <w:rsid w:val="001E32CB"/>
    <w:rsid w:val="001E5B47"/>
    <w:rsid w:val="001E5DB8"/>
    <w:rsid w:val="001E63A4"/>
    <w:rsid w:val="001F035F"/>
    <w:rsid w:val="001F14E7"/>
    <w:rsid w:val="001F5579"/>
    <w:rsid w:val="00200ED3"/>
    <w:rsid w:val="002065EA"/>
    <w:rsid w:val="00224B46"/>
    <w:rsid w:val="00225915"/>
    <w:rsid w:val="00230314"/>
    <w:rsid w:val="0023094C"/>
    <w:rsid w:val="002311E6"/>
    <w:rsid w:val="00232746"/>
    <w:rsid w:val="00237D56"/>
    <w:rsid w:val="002402A6"/>
    <w:rsid w:val="002469A2"/>
    <w:rsid w:val="00247D70"/>
    <w:rsid w:val="002564BE"/>
    <w:rsid w:val="00265836"/>
    <w:rsid w:val="00266DD7"/>
    <w:rsid w:val="00274F49"/>
    <w:rsid w:val="002841F3"/>
    <w:rsid w:val="002848F0"/>
    <w:rsid w:val="002901F9"/>
    <w:rsid w:val="0029515D"/>
    <w:rsid w:val="0029615B"/>
    <w:rsid w:val="002962FE"/>
    <w:rsid w:val="00296A40"/>
    <w:rsid w:val="002A4FD9"/>
    <w:rsid w:val="002A7940"/>
    <w:rsid w:val="002B0B06"/>
    <w:rsid w:val="002B1C34"/>
    <w:rsid w:val="002B1DB7"/>
    <w:rsid w:val="002B43D6"/>
    <w:rsid w:val="002B6DD6"/>
    <w:rsid w:val="002B7DA0"/>
    <w:rsid w:val="002C0C0A"/>
    <w:rsid w:val="002C6D9F"/>
    <w:rsid w:val="002D0471"/>
    <w:rsid w:val="002D4256"/>
    <w:rsid w:val="002D4F15"/>
    <w:rsid w:val="002D6D0E"/>
    <w:rsid w:val="002E1EFE"/>
    <w:rsid w:val="002E4229"/>
    <w:rsid w:val="002E59DC"/>
    <w:rsid w:val="002E66C6"/>
    <w:rsid w:val="002E6F53"/>
    <w:rsid w:val="002E780E"/>
    <w:rsid w:val="002F602F"/>
    <w:rsid w:val="0030063D"/>
    <w:rsid w:val="003038DF"/>
    <w:rsid w:val="00304B18"/>
    <w:rsid w:val="00311D2B"/>
    <w:rsid w:val="00313DF2"/>
    <w:rsid w:val="00315332"/>
    <w:rsid w:val="00320F0B"/>
    <w:rsid w:val="003226D8"/>
    <w:rsid w:val="003233CF"/>
    <w:rsid w:val="003416E9"/>
    <w:rsid w:val="00342D17"/>
    <w:rsid w:val="00343D05"/>
    <w:rsid w:val="003516F9"/>
    <w:rsid w:val="003547CF"/>
    <w:rsid w:val="00357C63"/>
    <w:rsid w:val="00362706"/>
    <w:rsid w:val="00364D8F"/>
    <w:rsid w:val="00365DB8"/>
    <w:rsid w:val="00365FE0"/>
    <w:rsid w:val="00377B55"/>
    <w:rsid w:val="00381D09"/>
    <w:rsid w:val="003854D1"/>
    <w:rsid w:val="0039161E"/>
    <w:rsid w:val="00394676"/>
    <w:rsid w:val="003967D3"/>
    <w:rsid w:val="003A33FF"/>
    <w:rsid w:val="003A4CE3"/>
    <w:rsid w:val="003B01AB"/>
    <w:rsid w:val="003B3A0B"/>
    <w:rsid w:val="003C4217"/>
    <w:rsid w:val="003C435A"/>
    <w:rsid w:val="003C56B5"/>
    <w:rsid w:val="003D27AE"/>
    <w:rsid w:val="003E5717"/>
    <w:rsid w:val="003E610B"/>
    <w:rsid w:val="003E78D6"/>
    <w:rsid w:val="003E7EE6"/>
    <w:rsid w:val="003F7605"/>
    <w:rsid w:val="00400955"/>
    <w:rsid w:val="00401D62"/>
    <w:rsid w:val="00404CAC"/>
    <w:rsid w:val="00405F60"/>
    <w:rsid w:val="00407DB8"/>
    <w:rsid w:val="004107E1"/>
    <w:rsid w:val="00412599"/>
    <w:rsid w:val="004128B9"/>
    <w:rsid w:val="004139BE"/>
    <w:rsid w:val="00416162"/>
    <w:rsid w:val="004161BD"/>
    <w:rsid w:val="00427ED0"/>
    <w:rsid w:val="00440FCE"/>
    <w:rsid w:val="0044298D"/>
    <w:rsid w:val="00444307"/>
    <w:rsid w:val="0044477A"/>
    <w:rsid w:val="004473D9"/>
    <w:rsid w:val="00447413"/>
    <w:rsid w:val="00460BC2"/>
    <w:rsid w:val="0046236D"/>
    <w:rsid w:val="00466565"/>
    <w:rsid w:val="0047039B"/>
    <w:rsid w:val="004714BB"/>
    <w:rsid w:val="00474641"/>
    <w:rsid w:val="0047563A"/>
    <w:rsid w:val="004765E4"/>
    <w:rsid w:val="0047794D"/>
    <w:rsid w:val="0048369D"/>
    <w:rsid w:val="00486F63"/>
    <w:rsid w:val="00487AA4"/>
    <w:rsid w:val="00492975"/>
    <w:rsid w:val="0049403B"/>
    <w:rsid w:val="004A20D0"/>
    <w:rsid w:val="004A47A6"/>
    <w:rsid w:val="004A51D4"/>
    <w:rsid w:val="004A5EEB"/>
    <w:rsid w:val="004B3E4A"/>
    <w:rsid w:val="004B46A0"/>
    <w:rsid w:val="004B631C"/>
    <w:rsid w:val="004C5EEE"/>
    <w:rsid w:val="004D0020"/>
    <w:rsid w:val="004D002E"/>
    <w:rsid w:val="004D2A90"/>
    <w:rsid w:val="004D3713"/>
    <w:rsid w:val="004D4510"/>
    <w:rsid w:val="004E194F"/>
    <w:rsid w:val="004E3EDE"/>
    <w:rsid w:val="004E5EC8"/>
    <w:rsid w:val="004F1A65"/>
    <w:rsid w:val="004F42B6"/>
    <w:rsid w:val="004F49AF"/>
    <w:rsid w:val="005013B1"/>
    <w:rsid w:val="00501ABD"/>
    <w:rsid w:val="005029C4"/>
    <w:rsid w:val="005034E3"/>
    <w:rsid w:val="00503536"/>
    <w:rsid w:val="005064D1"/>
    <w:rsid w:val="00513128"/>
    <w:rsid w:val="0052547C"/>
    <w:rsid w:val="00533134"/>
    <w:rsid w:val="00534B60"/>
    <w:rsid w:val="005352EA"/>
    <w:rsid w:val="00536DB1"/>
    <w:rsid w:val="005415C3"/>
    <w:rsid w:val="00542867"/>
    <w:rsid w:val="005438E1"/>
    <w:rsid w:val="00543B8E"/>
    <w:rsid w:val="00544DEB"/>
    <w:rsid w:val="005459B7"/>
    <w:rsid w:val="00552363"/>
    <w:rsid w:val="00553F8B"/>
    <w:rsid w:val="00554FFB"/>
    <w:rsid w:val="00556381"/>
    <w:rsid w:val="005575C9"/>
    <w:rsid w:val="005577DE"/>
    <w:rsid w:val="005611ED"/>
    <w:rsid w:val="00567247"/>
    <w:rsid w:val="005712CA"/>
    <w:rsid w:val="00572FB8"/>
    <w:rsid w:val="005758C0"/>
    <w:rsid w:val="00583E32"/>
    <w:rsid w:val="00587B84"/>
    <w:rsid w:val="00593BCB"/>
    <w:rsid w:val="005A5B15"/>
    <w:rsid w:val="005A6DFB"/>
    <w:rsid w:val="005A73DE"/>
    <w:rsid w:val="005A7E10"/>
    <w:rsid w:val="005B44DB"/>
    <w:rsid w:val="005C2517"/>
    <w:rsid w:val="005C3B34"/>
    <w:rsid w:val="005C7608"/>
    <w:rsid w:val="005C7F64"/>
    <w:rsid w:val="005D202C"/>
    <w:rsid w:val="005D7608"/>
    <w:rsid w:val="005E4584"/>
    <w:rsid w:val="005E48C6"/>
    <w:rsid w:val="005E7B62"/>
    <w:rsid w:val="005E7EAC"/>
    <w:rsid w:val="005F0347"/>
    <w:rsid w:val="005F06A1"/>
    <w:rsid w:val="005F0B8B"/>
    <w:rsid w:val="005F2F12"/>
    <w:rsid w:val="005F4355"/>
    <w:rsid w:val="005F5DFF"/>
    <w:rsid w:val="005F6117"/>
    <w:rsid w:val="005F69CB"/>
    <w:rsid w:val="0060079D"/>
    <w:rsid w:val="00601F88"/>
    <w:rsid w:val="006043DB"/>
    <w:rsid w:val="00605D23"/>
    <w:rsid w:val="0061087E"/>
    <w:rsid w:val="00613CED"/>
    <w:rsid w:val="0061503E"/>
    <w:rsid w:val="006247C7"/>
    <w:rsid w:val="006273D4"/>
    <w:rsid w:val="00636DE7"/>
    <w:rsid w:val="00642C28"/>
    <w:rsid w:val="006464D1"/>
    <w:rsid w:val="0064696F"/>
    <w:rsid w:val="00654AF9"/>
    <w:rsid w:val="00655CA4"/>
    <w:rsid w:val="00655D46"/>
    <w:rsid w:val="006577AE"/>
    <w:rsid w:val="006600D0"/>
    <w:rsid w:val="00667135"/>
    <w:rsid w:val="0066781A"/>
    <w:rsid w:val="00667DFD"/>
    <w:rsid w:val="00667ECB"/>
    <w:rsid w:val="0067280E"/>
    <w:rsid w:val="006753C5"/>
    <w:rsid w:val="00681BD2"/>
    <w:rsid w:val="00683063"/>
    <w:rsid w:val="00684338"/>
    <w:rsid w:val="00684E48"/>
    <w:rsid w:val="006868F2"/>
    <w:rsid w:val="00690666"/>
    <w:rsid w:val="0069572A"/>
    <w:rsid w:val="006976EF"/>
    <w:rsid w:val="006B7963"/>
    <w:rsid w:val="006C12B8"/>
    <w:rsid w:val="006C28CD"/>
    <w:rsid w:val="006C2DB9"/>
    <w:rsid w:val="006C44CF"/>
    <w:rsid w:val="006C6B80"/>
    <w:rsid w:val="006D0009"/>
    <w:rsid w:val="006D0494"/>
    <w:rsid w:val="006D2A34"/>
    <w:rsid w:val="006D346F"/>
    <w:rsid w:val="006D7B2F"/>
    <w:rsid w:val="006F174C"/>
    <w:rsid w:val="0070166D"/>
    <w:rsid w:val="00706AAA"/>
    <w:rsid w:val="007138F9"/>
    <w:rsid w:val="00714E5C"/>
    <w:rsid w:val="00716D44"/>
    <w:rsid w:val="0072324C"/>
    <w:rsid w:val="0072351F"/>
    <w:rsid w:val="00725FE1"/>
    <w:rsid w:val="007361CB"/>
    <w:rsid w:val="00736EA5"/>
    <w:rsid w:val="00737094"/>
    <w:rsid w:val="00741426"/>
    <w:rsid w:val="0074235A"/>
    <w:rsid w:val="00746A81"/>
    <w:rsid w:val="00752F43"/>
    <w:rsid w:val="0076141C"/>
    <w:rsid w:val="0076556F"/>
    <w:rsid w:val="00767A5A"/>
    <w:rsid w:val="00776BBC"/>
    <w:rsid w:val="007779BC"/>
    <w:rsid w:val="00777F63"/>
    <w:rsid w:val="00777FB4"/>
    <w:rsid w:val="00781285"/>
    <w:rsid w:val="007920B4"/>
    <w:rsid w:val="007A05EC"/>
    <w:rsid w:val="007A0687"/>
    <w:rsid w:val="007A08DB"/>
    <w:rsid w:val="007A518C"/>
    <w:rsid w:val="007A5613"/>
    <w:rsid w:val="007B0EFC"/>
    <w:rsid w:val="007B301A"/>
    <w:rsid w:val="007B3D73"/>
    <w:rsid w:val="007B6A40"/>
    <w:rsid w:val="007B7138"/>
    <w:rsid w:val="007C065A"/>
    <w:rsid w:val="007C3252"/>
    <w:rsid w:val="007C77C3"/>
    <w:rsid w:val="007D2202"/>
    <w:rsid w:val="007E2400"/>
    <w:rsid w:val="007E3102"/>
    <w:rsid w:val="007E6EA7"/>
    <w:rsid w:val="007F1508"/>
    <w:rsid w:val="007F2678"/>
    <w:rsid w:val="007F281D"/>
    <w:rsid w:val="007F4FF5"/>
    <w:rsid w:val="00801C02"/>
    <w:rsid w:val="00804F57"/>
    <w:rsid w:val="00807075"/>
    <w:rsid w:val="008125C0"/>
    <w:rsid w:val="0081570D"/>
    <w:rsid w:val="00815E0A"/>
    <w:rsid w:val="0082633D"/>
    <w:rsid w:val="008302C3"/>
    <w:rsid w:val="0083099A"/>
    <w:rsid w:val="00830B0B"/>
    <w:rsid w:val="00835C95"/>
    <w:rsid w:val="00843477"/>
    <w:rsid w:val="00844753"/>
    <w:rsid w:val="00844DA5"/>
    <w:rsid w:val="008521E5"/>
    <w:rsid w:val="00852F49"/>
    <w:rsid w:val="00854566"/>
    <w:rsid w:val="0085468C"/>
    <w:rsid w:val="00862433"/>
    <w:rsid w:val="00865501"/>
    <w:rsid w:val="00871F52"/>
    <w:rsid w:val="00880A1F"/>
    <w:rsid w:val="00882B5E"/>
    <w:rsid w:val="00883A44"/>
    <w:rsid w:val="008850D5"/>
    <w:rsid w:val="008870EB"/>
    <w:rsid w:val="0089138A"/>
    <w:rsid w:val="00897877"/>
    <w:rsid w:val="008A0FD9"/>
    <w:rsid w:val="008A2C75"/>
    <w:rsid w:val="008A713F"/>
    <w:rsid w:val="008B243F"/>
    <w:rsid w:val="008B5C33"/>
    <w:rsid w:val="008B5C91"/>
    <w:rsid w:val="008B658A"/>
    <w:rsid w:val="008C07A9"/>
    <w:rsid w:val="008C178F"/>
    <w:rsid w:val="008C3A6B"/>
    <w:rsid w:val="008C7C3E"/>
    <w:rsid w:val="008C7E3C"/>
    <w:rsid w:val="008D1F93"/>
    <w:rsid w:val="008D7B64"/>
    <w:rsid w:val="008E2343"/>
    <w:rsid w:val="008E6E6A"/>
    <w:rsid w:val="008E7A6D"/>
    <w:rsid w:val="008F31A1"/>
    <w:rsid w:val="008F653C"/>
    <w:rsid w:val="008F7178"/>
    <w:rsid w:val="00900355"/>
    <w:rsid w:val="00901663"/>
    <w:rsid w:val="00907270"/>
    <w:rsid w:val="00915BA6"/>
    <w:rsid w:val="009204BC"/>
    <w:rsid w:val="009205FC"/>
    <w:rsid w:val="00920833"/>
    <w:rsid w:val="00921A9D"/>
    <w:rsid w:val="0092363B"/>
    <w:rsid w:val="00927141"/>
    <w:rsid w:val="00931E06"/>
    <w:rsid w:val="00936774"/>
    <w:rsid w:val="00940C79"/>
    <w:rsid w:val="009411F4"/>
    <w:rsid w:val="009439E6"/>
    <w:rsid w:val="009463E8"/>
    <w:rsid w:val="00947225"/>
    <w:rsid w:val="00950238"/>
    <w:rsid w:val="00954415"/>
    <w:rsid w:val="00957066"/>
    <w:rsid w:val="0095726E"/>
    <w:rsid w:val="009622ED"/>
    <w:rsid w:val="00963714"/>
    <w:rsid w:val="0096797C"/>
    <w:rsid w:val="00972EBF"/>
    <w:rsid w:val="00974494"/>
    <w:rsid w:val="0097692A"/>
    <w:rsid w:val="00977B85"/>
    <w:rsid w:val="009841DF"/>
    <w:rsid w:val="0098489D"/>
    <w:rsid w:val="00984AE2"/>
    <w:rsid w:val="00990016"/>
    <w:rsid w:val="009949BA"/>
    <w:rsid w:val="009A3273"/>
    <w:rsid w:val="009A363A"/>
    <w:rsid w:val="009A405A"/>
    <w:rsid w:val="009B48F3"/>
    <w:rsid w:val="009B5424"/>
    <w:rsid w:val="009B73BB"/>
    <w:rsid w:val="009C4F78"/>
    <w:rsid w:val="009C594B"/>
    <w:rsid w:val="009D0AE1"/>
    <w:rsid w:val="009E04CB"/>
    <w:rsid w:val="009E09E4"/>
    <w:rsid w:val="009E0B7F"/>
    <w:rsid w:val="009E4BCB"/>
    <w:rsid w:val="009E5C34"/>
    <w:rsid w:val="009E6551"/>
    <w:rsid w:val="009E7E3A"/>
    <w:rsid w:val="009F2D3A"/>
    <w:rsid w:val="009F3D10"/>
    <w:rsid w:val="009F4923"/>
    <w:rsid w:val="009F687E"/>
    <w:rsid w:val="009F72B6"/>
    <w:rsid w:val="009F74F4"/>
    <w:rsid w:val="00A0121F"/>
    <w:rsid w:val="00A0220A"/>
    <w:rsid w:val="00A02F9E"/>
    <w:rsid w:val="00A10E5F"/>
    <w:rsid w:val="00A16685"/>
    <w:rsid w:val="00A20CDB"/>
    <w:rsid w:val="00A22E5A"/>
    <w:rsid w:val="00A24EC7"/>
    <w:rsid w:val="00A27F1B"/>
    <w:rsid w:val="00A3144A"/>
    <w:rsid w:val="00A3168F"/>
    <w:rsid w:val="00A47581"/>
    <w:rsid w:val="00A47D4B"/>
    <w:rsid w:val="00A52821"/>
    <w:rsid w:val="00A54E66"/>
    <w:rsid w:val="00A555C1"/>
    <w:rsid w:val="00A60EEC"/>
    <w:rsid w:val="00A624DC"/>
    <w:rsid w:val="00A63C1A"/>
    <w:rsid w:val="00A66196"/>
    <w:rsid w:val="00A66D52"/>
    <w:rsid w:val="00A717A3"/>
    <w:rsid w:val="00A7357B"/>
    <w:rsid w:val="00A73B33"/>
    <w:rsid w:val="00A77115"/>
    <w:rsid w:val="00A803AA"/>
    <w:rsid w:val="00A82566"/>
    <w:rsid w:val="00A831F7"/>
    <w:rsid w:val="00A83499"/>
    <w:rsid w:val="00A870C0"/>
    <w:rsid w:val="00A905D9"/>
    <w:rsid w:val="00A95A86"/>
    <w:rsid w:val="00AA105F"/>
    <w:rsid w:val="00AA74DF"/>
    <w:rsid w:val="00AB382C"/>
    <w:rsid w:val="00AB48AE"/>
    <w:rsid w:val="00AB5855"/>
    <w:rsid w:val="00AB5D6C"/>
    <w:rsid w:val="00AB6E65"/>
    <w:rsid w:val="00AB6FAE"/>
    <w:rsid w:val="00AC74AA"/>
    <w:rsid w:val="00AD2D59"/>
    <w:rsid w:val="00AD45C8"/>
    <w:rsid w:val="00AD7B95"/>
    <w:rsid w:val="00AE14DC"/>
    <w:rsid w:val="00AE495E"/>
    <w:rsid w:val="00AF29EF"/>
    <w:rsid w:val="00AF2EC9"/>
    <w:rsid w:val="00AF304F"/>
    <w:rsid w:val="00AF5790"/>
    <w:rsid w:val="00AF610A"/>
    <w:rsid w:val="00B06B6D"/>
    <w:rsid w:val="00B071DD"/>
    <w:rsid w:val="00B11759"/>
    <w:rsid w:val="00B11C6B"/>
    <w:rsid w:val="00B17B6C"/>
    <w:rsid w:val="00B20F6C"/>
    <w:rsid w:val="00B2368A"/>
    <w:rsid w:val="00B34F04"/>
    <w:rsid w:val="00B36801"/>
    <w:rsid w:val="00B446F8"/>
    <w:rsid w:val="00B54F82"/>
    <w:rsid w:val="00B554C3"/>
    <w:rsid w:val="00B55764"/>
    <w:rsid w:val="00B732AF"/>
    <w:rsid w:val="00B7493F"/>
    <w:rsid w:val="00B85A0B"/>
    <w:rsid w:val="00B87010"/>
    <w:rsid w:val="00B91A57"/>
    <w:rsid w:val="00B92473"/>
    <w:rsid w:val="00B93269"/>
    <w:rsid w:val="00B95838"/>
    <w:rsid w:val="00B97014"/>
    <w:rsid w:val="00BA0706"/>
    <w:rsid w:val="00BA67F9"/>
    <w:rsid w:val="00BA6A5E"/>
    <w:rsid w:val="00BB384E"/>
    <w:rsid w:val="00BB3C24"/>
    <w:rsid w:val="00BB547C"/>
    <w:rsid w:val="00BB68FB"/>
    <w:rsid w:val="00BB79A4"/>
    <w:rsid w:val="00BC4BC0"/>
    <w:rsid w:val="00BD00F8"/>
    <w:rsid w:val="00BD0120"/>
    <w:rsid w:val="00BD5205"/>
    <w:rsid w:val="00BD55F2"/>
    <w:rsid w:val="00BD71A2"/>
    <w:rsid w:val="00BE26DF"/>
    <w:rsid w:val="00BE456E"/>
    <w:rsid w:val="00BE5F58"/>
    <w:rsid w:val="00BE62B4"/>
    <w:rsid w:val="00BF1A6E"/>
    <w:rsid w:val="00BF40C1"/>
    <w:rsid w:val="00BF56C7"/>
    <w:rsid w:val="00BF6E89"/>
    <w:rsid w:val="00C011C9"/>
    <w:rsid w:val="00C0149F"/>
    <w:rsid w:val="00C0447A"/>
    <w:rsid w:val="00C04822"/>
    <w:rsid w:val="00C07CBE"/>
    <w:rsid w:val="00C07E1F"/>
    <w:rsid w:val="00C125EB"/>
    <w:rsid w:val="00C1416E"/>
    <w:rsid w:val="00C142E7"/>
    <w:rsid w:val="00C15408"/>
    <w:rsid w:val="00C17C89"/>
    <w:rsid w:val="00C2138F"/>
    <w:rsid w:val="00C234B0"/>
    <w:rsid w:val="00C25706"/>
    <w:rsid w:val="00C25C91"/>
    <w:rsid w:val="00C33073"/>
    <w:rsid w:val="00C3364B"/>
    <w:rsid w:val="00C35D50"/>
    <w:rsid w:val="00C37599"/>
    <w:rsid w:val="00C444C9"/>
    <w:rsid w:val="00C4512F"/>
    <w:rsid w:val="00C51507"/>
    <w:rsid w:val="00C55C87"/>
    <w:rsid w:val="00C579E9"/>
    <w:rsid w:val="00C632E5"/>
    <w:rsid w:val="00C63335"/>
    <w:rsid w:val="00C73B3A"/>
    <w:rsid w:val="00C7775F"/>
    <w:rsid w:val="00C80B05"/>
    <w:rsid w:val="00C86E28"/>
    <w:rsid w:val="00C900F9"/>
    <w:rsid w:val="00C9169A"/>
    <w:rsid w:val="00C91873"/>
    <w:rsid w:val="00C97DFC"/>
    <w:rsid w:val="00CA3582"/>
    <w:rsid w:val="00CA4774"/>
    <w:rsid w:val="00CA5342"/>
    <w:rsid w:val="00CA5D92"/>
    <w:rsid w:val="00CA7D21"/>
    <w:rsid w:val="00CB3AF4"/>
    <w:rsid w:val="00CB3E93"/>
    <w:rsid w:val="00CC2BCD"/>
    <w:rsid w:val="00CC683D"/>
    <w:rsid w:val="00CC721C"/>
    <w:rsid w:val="00CC79DC"/>
    <w:rsid w:val="00CD162D"/>
    <w:rsid w:val="00CD4FED"/>
    <w:rsid w:val="00CD5C5D"/>
    <w:rsid w:val="00CD6B54"/>
    <w:rsid w:val="00CE32ED"/>
    <w:rsid w:val="00CF4CEE"/>
    <w:rsid w:val="00CF686B"/>
    <w:rsid w:val="00CF796E"/>
    <w:rsid w:val="00D021EE"/>
    <w:rsid w:val="00D0506A"/>
    <w:rsid w:val="00D13B5D"/>
    <w:rsid w:val="00D13C86"/>
    <w:rsid w:val="00D15365"/>
    <w:rsid w:val="00D16D32"/>
    <w:rsid w:val="00D24659"/>
    <w:rsid w:val="00D2480F"/>
    <w:rsid w:val="00D25804"/>
    <w:rsid w:val="00D26F9E"/>
    <w:rsid w:val="00D27591"/>
    <w:rsid w:val="00D37441"/>
    <w:rsid w:val="00D47352"/>
    <w:rsid w:val="00D50238"/>
    <w:rsid w:val="00D5142B"/>
    <w:rsid w:val="00D53C32"/>
    <w:rsid w:val="00D54681"/>
    <w:rsid w:val="00D6040C"/>
    <w:rsid w:val="00D60474"/>
    <w:rsid w:val="00D618B2"/>
    <w:rsid w:val="00D64D91"/>
    <w:rsid w:val="00D6666F"/>
    <w:rsid w:val="00D66EB6"/>
    <w:rsid w:val="00D70556"/>
    <w:rsid w:val="00D71563"/>
    <w:rsid w:val="00D77C17"/>
    <w:rsid w:val="00D82B08"/>
    <w:rsid w:val="00D82FB4"/>
    <w:rsid w:val="00D86AE4"/>
    <w:rsid w:val="00D87C15"/>
    <w:rsid w:val="00D96A0F"/>
    <w:rsid w:val="00D976A4"/>
    <w:rsid w:val="00DB0403"/>
    <w:rsid w:val="00DB2196"/>
    <w:rsid w:val="00DB4481"/>
    <w:rsid w:val="00DB45A1"/>
    <w:rsid w:val="00DB77A1"/>
    <w:rsid w:val="00DC53CF"/>
    <w:rsid w:val="00DD005D"/>
    <w:rsid w:val="00DD5FFD"/>
    <w:rsid w:val="00DD6700"/>
    <w:rsid w:val="00DD6B26"/>
    <w:rsid w:val="00DE0F24"/>
    <w:rsid w:val="00DE48EF"/>
    <w:rsid w:val="00DE5719"/>
    <w:rsid w:val="00DE690A"/>
    <w:rsid w:val="00DF59A0"/>
    <w:rsid w:val="00E062DE"/>
    <w:rsid w:val="00E067B0"/>
    <w:rsid w:val="00E1013F"/>
    <w:rsid w:val="00E106C7"/>
    <w:rsid w:val="00E160D4"/>
    <w:rsid w:val="00E17A4E"/>
    <w:rsid w:val="00E17B79"/>
    <w:rsid w:val="00E2574A"/>
    <w:rsid w:val="00E265D9"/>
    <w:rsid w:val="00E31648"/>
    <w:rsid w:val="00E324D7"/>
    <w:rsid w:val="00E325BA"/>
    <w:rsid w:val="00E33468"/>
    <w:rsid w:val="00E42F15"/>
    <w:rsid w:val="00E4468D"/>
    <w:rsid w:val="00E54A72"/>
    <w:rsid w:val="00E558ED"/>
    <w:rsid w:val="00E56F6B"/>
    <w:rsid w:val="00E56FF3"/>
    <w:rsid w:val="00E618BA"/>
    <w:rsid w:val="00E631EF"/>
    <w:rsid w:val="00E65CA3"/>
    <w:rsid w:val="00E710D0"/>
    <w:rsid w:val="00E7425B"/>
    <w:rsid w:val="00E75C2D"/>
    <w:rsid w:val="00E76827"/>
    <w:rsid w:val="00E77EC4"/>
    <w:rsid w:val="00E808AE"/>
    <w:rsid w:val="00E811D0"/>
    <w:rsid w:val="00E83498"/>
    <w:rsid w:val="00E90B58"/>
    <w:rsid w:val="00E926D2"/>
    <w:rsid w:val="00E945D7"/>
    <w:rsid w:val="00EA0AC9"/>
    <w:rsid w:val="00EA34F6"/>
    <w:rsid w:val="00EA3B2A"/>
    <w:rsid w:val="00EA54DB"/>
    <w:rsid w:val="00EA6B94"/>
    <w:rsid w:val="00EB0859"/>
    <w:rsid w:val="00EB4848"/>
    <w:rsid w:val="00EB50D2"/>
    <w:rsid w:val="00EB60DB"/>
    <w:rsid w:val="00EC227D"/>
    <w:rsid w:val="00EC3BCE"/>
    <w:rsid w:val="00EC4653"/>
    <w:rsid w:val="00ED4FAD"/>
    <w:rsid w:val="00EE25BC"/>
    <w:rsid w:val="00EE3EC5"/>
    <w:rsid w:val="00EE528C"/>
    <w:rsid w:val="00EE73AF"/>
    <w:rsid w:val="00EF0301"/>
    <w:rsid w:val="00EF2135"/>
    <w:rsid w:val="00EF2FE0"/>
    <w:rsid w:val="00F01711"/>
    <w:rsid w:val="00F02DBB"/>
    <w:rsid w:val="00F05CED"/>
    <w:rsid w:val="00F065DB"/>
    <w:rsid w:val="00F10CF1"/>
    <w:rsid w:val="00F10D00"/>
    <w:rsid w:val="00F12267"/>
    <w:rsid w:val="00F247E9"/>
    <w:rsid w:val="00F3052A"/>
    <w:rsid w:val="00F30790"/>
    <w:rsid w:val="00F31832"/>
    <w:rsid w:val="00F3318F"/>
    <w:rsid w:val="00F36F92"/>
    <w:rsid w:val="00F37747"/>
    <w:rsid w:val="00F37E1B"/>
    <w:rsid w:val="00F41890"/>
    <w:rsid w:val="00F43A06"/>
    <w:rsid w:val="00F52C95"/>
    <w:rsid w:val="00F55242"/>
    <w:rsid w:val="00F56008"/>
    <w:rsid w:val="00F61EEB"/>
    <w:rsid w:val="00F63442"/>
    <w:rsid w:val="00F674B5"/>
    <w:rsid w:val="00F748DD"/>
    <w:rsid w:val="00F84349"/>
    <w:rsid w:val="00F85255"/>
    <w:rsid w:val="00F870DF"/>
    <w:rsid w:val="00F878E5"/>
    <w:rsid w:val="00F94ED0"/>
    <w:rsid w:val="00F95AA3"/>
    <w:rsid w:val="00FA1218"/>
    <w:rsid w:val="00FA262C"/>
    <w:rsid w:val="00FB31D3"/>
    <w:rsid w:val="00FB4744"/>
    <w:rsid w:val="00FB5B14"/>
    <w:rsid w:val="00FB5DA4"/>
    <w:rsid w:val="00FC299E"/>
    <w:rsid w:val="00FC696A"/>
    <w:rsid w:val="00FC6B1D"/>
    <w:rsid w:val="00FD4331"/>
    <w:rsid w:val="00FE1294"/>
    <w:rsid w:val="00FE559B"/>
    <w:rsid w:val="00FE596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427ED0"/>
    <w:rPr>
      <w:rFonts w:ascii="Times New Roman" w:hAnsi="Times New Roman" w:cs="Times New Roman"/>
      <w:color w:val="808080"/>
      <w:rtl w:val="0"/>
      <w:cs w:val="0"/>
    </w:rPr>
  </w:style>
  <w:style w:type="paragraph" w:customStyle="1" w:styleId="Default">
    <w:name w:val="Default"/>
    <w:rsid w:val="00427ED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ListParagraph">
    <w:name w:val="List Paragraph"/>
    <w:basedOn w:val="Normal"/>
    <w:uiPriority w:val="34"/>
    <w:qFormat/>
    <w:rsid w:val="00427ED0"/>
    <w:pPr>
      <w:ind w:left="720"/>
      <w:contextualSpacing/>
      <w:jc w:val="left"/>
    </w:pPr>
  </w:style>
  <w:style w:type="paragraph" w:styleId="PlainText">
    <w:name w:val="Plain Text"/>
    <w:basedOn w:val="Normal"/>
    <w:link w:val="ObyajntextChar"/>
    <w:uiPriority w:val="99"/>
    <w:semiHidden/>
    <w:unhideWhenUsed/>
    <w:rsid w:val="00427ED0"/>
    <w:pPr>
      <w:spacing w:after="0" w:line="240" w:lineRule="auto"/>
      <w:jc w:val="left"/>
    </w:pPr>
    <w:rPr>
      <w:rFonts w:ascii="Calibri" w:hAnsi="Calibri"/>
      <w:szCs w:val="21"/>
    </w:rPr>
  </w:style>
  <w:style w:type="character" w:customStyle="1" w:styleId="ObyajntextChar">
    <w:name w:val="Obyčajný text Char"/>
    <w:basedOn w:val="DefaultParagraphFont"/>
    <w:link w:val="PlainText"/>
    <w:uiPriority w:val="99"/>
    <w:semiHidden/>
    <w:locked/>
    <w:rsid w:val="00427ED0"/>
    <w:rPr>
      <w:rFonts w:ascii="Calibri" w:hAnsi="Calibri" w:cs="Times New Roman"/>
      <w:sz w:val="21"/>
      <w:szCs w:val="21"/>
      <w:rtl w:val="0"/>
      <w:cs w:val="0"/>
    </w:rPr>
  </w:style>
  <w:style w:type="paragraph" w:styleId="Header">
    <w:name w:val="header"/>
    <w:basedOn w:val="Normal"/>
    <w:link w:val="HlavikaChar"/>
    <w:uiPriority w:val="99"/>
    <w:unhideWhenUsed/>
    <w:rsid w:val="003A4CE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3A4CE3"/>
    <w:rPr>
      <w:rFonts w:cs="Times New Roman"/>
      <w:rtl w:val="0"/>
      <w:cs w:val="0"/>
    </w:rPr>
  </w:style>
  <w:style w:type="paragraph" w:styleId="Footer">
    <w:name w:val="footer"/>
    <w:basedOn w:val="Normal"/>
    <w:link w:val="PtaChar"/>
    <w:uiPriority w:val="99"/>
    <w:unhideWhenUsed/>
    <w:rsid w:val="003A4CE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3A4CE3"/>
    <w:rPr>
      <w:rFonts w:cs="Times New Roman"/>
      <w:rtl w:val="0"/>
      <w:cs w:val="0"/>
    </w:rPr>
  </w:style>
  <w:style w:type="paragraph" w:styleId="NoSpacing">
    <w:name w:val="No Spacing"/>
    <w:uiPriority w:val="1"/>
    <w:qFormat/>
    <w:rsid w:val="00931E06"/>
    <w:pPr>
      <w:framePr w:wrap="auto"/>
      <w:widowControl/>
      <w:suppressAutoHyphens/>
      <w:autoSpaceDE/>
      <w:autoSpaceDN/>
      <w:adjustRightInd/>
      <w:ind w:left="0" w:right="0"/>
      <w:jc w:val="left"/>
      <w:textAlignment w:val="auto"/>
    </w:pPr>
    <w:rPr>
      <w:rFonts w:cs="Times New Roman"/>
      <w:sz w:val="20"/>
      <w:szCs w:val="20"/>
      <w:rtl w:val="0"/>
      <w:cs w:val="0"/>
      <w:lang w:val="sk-SK" w:eastAsia="ar-SA" w:bidi="ar-SA"/>
    </w:rPr>
  </w:style>
  <w:style w:type="paragraph" w:customStyle="1" w:styleId="tl1">
    <w:name w:val="Štýl1"/>
    <w:basedOn w:val="Normal"/>
    <w:rsid w:val="00931E06"/>
    <w:pPr>
      <w:widowControl w:val="0"/>
      <w:adjustRightInd w:val="0"/>
      <w:spacing w:after="0" w:line="240" w:lineRule="auto"/>
      <w:jc w:val="both"/>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5A6DF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A6DFB"/>
    <w:rPr>
      <w:rFonts w:ascii="Tahoma" w:hAnsi="Tahoma" w:cs="Tahoma"/>
      <w:sz w:val="16"/>
      <w:szCs w:val="16"/>
      <w:rtl w:val="0"/>
      <w:cs w:val="0"/>
    </w:rPr>
  </w:style>
  <w:style w:type="paragraph" w:styleId="NormalWeb">
    <w:name w:val="Normal (Web)"/>
    <w:basedOn w:val="Normal"/>
    <w:uiPriority w:val="99"/>
    <w:rsid w:val="008B658A"/>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unhideWhenUsed/>
    <w:rsid w:val="008B658A"/>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minika.markova@minv.s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8003-472B-42E6-A45F-9CAE135E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156</TotalTime>
  <Pages>14</Pages>
  <Words>5653</Words>
  <Characters>32227</Characters>
  <Application>Microsoft Office Word</Application>
  <DocSecurity>0</DocSecurity>
  <Lines>0</Lines>
  <Paragraphs>0</Paragraphs>
  <ScaleCrop>false</ScaleCrop>
  <Company>MVSR</Company>
  <LinksUpToDate>false</LinksUpToDate>
  <CharactersWithSpaces>37805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dc:creator>
  <cp:lastModifiedBy>Klaudia Gregušová</cp:lastModifiedBy>
  <cp:revision>15</cp:revision>
  <cp:lastPrinted>2018-04-20T09:08:00Z</cp:lastPrinted>
  <dcterms:created xsi:type="dcterms:W3CDTF">2017-10-20T08:57:00Z</dcterms:created>
  <dcterms:modified xsi:type="dcterms:W3CDTF">2018-04-20T10:41:00Z</dcterms:modified>
</cp:coreProperties>
</file>