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9A6374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9A6374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9A6374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9A6374" w:rsidP="0013033A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9A637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</w:t>
      </w:r>
      <w:r w:rsidRPr="009A6374" w:rsidR="003F288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Petra KRIŠTÚFKOVÁ,</w:t>
      </w:r>
      <w:r w:rsidRPr="009A637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A6374" w:rsidR="003F288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Zuzana ŠEBOVÁ, </w:t>
      </w:r>
      <w:r w:rsidRPr="009A6374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Boris </w:t>
      </w:r>
      <w:r w:rsidRPr="009A6374" w:rsidR="00DF4863">
        <w:rPr>
          <w:rFonts w:ascii="Times New Roman" w:hAnsi="Times New Roman" w:cs="Times New Roman"/>
          <w:smallCaps/>
          <w:color w:val="000000"/>
          <w:sz w:val="24"/>
          <w:szCs w:val="24"/>
          <w:lang w:eastAsia="sk-SK"/>
        </w:rPr>
        <w:t>KOLLÁR</w:t>
      </w:r>
      <w:r w:rsidRPr="009A6374" w:rsidR="008703F3">
        <w:rPr>
          <w:rFonts w:ascii="Times New Roman" w:hAnsi="Times New Roman" w:cs="Times New Roman"/>
          <w:smallCaps/>
          <w:color w:val="000000"/>
          <w:sz w:val="24"/>
          <w:szCs w:val="24"/>
          <w:lang w:eastAsia="sk-SK"/>
        </w:rPr>
        <w:t xml:space="preserve">, </w:t>
      </w:r>
      <w:r w:rsidRPr="009A6374" w:rsidR="008703F3">
        <w:rPr>
          <w:rFonts w:ascii="Times New Roman" w:hAnsi="Times New Roman"/>
          <w:sz w:val="24"/>
          <w:szCs w:val="24"/>
        </w:rPr>
        <w:t>Ľudovít GOGA</w:t>
      </w:r>
    </w:p>
    <w:p w:rsidR="003F288B" w:rsidRPr="009A6374" w:rsidP="003F28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88B" w:rsidRPr="009A6374" w:rsidP="003F288B">
      <w:pPr>
        <w:pStyle w:val="BodyText"/>
        <w:numPr>
          <w:numId w:val="1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6374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9A6374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9A6374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A6374">
        <w:rPr>
          <w:rFonts w:ascii="Times New Roman" w:hAnsi="Times New Roman" w:cs="Times New Roman"/>
          <w:bCs/>
          <w:sz w:val="24"/>
          <w:szCs w:val="24"/>
        </w:rPr>
        <w:t>, ktorým sa mení</w:t>
      </w:r>
      <w:r w:rsidRPr="009A6374" w:rsidR="00983076">
        <w:rPr>
          <w:rFonts w:ascii="Times New Roman" w:hAnsi="Times New Roman" w:cs="Times New Roman"/>
          <w:bCs/>
          <w:sz w:val="24"/>
          <w:szCs w:val="24"/>
        </w:rPr>
        <w:t xml:space="preserve"> a dopĺňa</w:t>
      </w:r>
      <w:r w:rsidRPr="009A6374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9A6374">
        <w:rPr>
          <w:rFonts w:ascii="Times New Roman" w:hAnsi="Times New Roman" w:cs="Times New Roman"/>
          <w:sz w:val="24"/>
          <w:szCs w:val="24"/>
        </w:rPr>
        <w:t xml:space="preserve">ákon č. 571/2009 Z. z. </w:t>
      </w:r>
      <w:r w:rsidRPr="009A6374">
        <w:rPr>
          <w:rFonts w:ascii="Times New Roman" w:hAnsi="Times New Roman" w:cs="Times New Roman"/>
          <w:bCs/>
          <w:sz w:val="24"/>
          <w:szCs w:val="24"/>
        </w:rPr>
        <w:t>o rodičovskom príspevku a o zmene a doplnení niektorých zákonov</w:t>
      </w:r>
    </w:p>
    <w:p w:rsidR="0003658C" w:rsidRPr="009A6374" w:rsidP="003F288B">
      <w:pPr>
        <w:pStyle w:val="BodyText"/>
        <w:numPr>
          <w:numId w:val="1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6374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3F288B" w:rsidRPr="009A6374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  <w:r w:rsidRPr="009A6374" w:rsidR="0003658C">
        <w:rPr>
          <w:rFonts w:ascii="Times New Roman" w:hAnsi="Times New Roman"/>
          <w:color w:val="000000"/>
          <w:lang w:eastAsia="sk-SK"/>
        </w:rPr>
        <w:t xml:space="preserve">a)    </w:t>
      </w:r>
      <w:r w:rsidRPr="009A6374">
        <w:rPr>
          <w:rFonts w:ascii="Times New Roman" w:hAnsi="Times New Roman"/>
          <w:lang w:val="sk-SK"/>
        </w:rPr>
        <w:t>je upravená v práve Európskej únie: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 xml:space="preserve">- </w:t>
      </w:r>
      <w:r w:rsidRPr="009A6374">
        <w:rPr>
          <w:rFonts w:ascii="Times New Roman" w:hAnsi="Times New Roman"/>
          <w:i/>
          <w:lang w:val="sk-SK"/>
        </w:rPr>
        <w:t>primárnom</w:t>
      </w:r>
      <w:r w:rsidRPr="009A6374">
        <w:rPr>
          <w:rFonts w:ascii="Times New Roman" w:hAnsi="Times New Roman"/>
          <w:lang w:val="sk-SK"/>
        </w:rPr>
        <w:t xml:space="preserve">: 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>- články 48, 151 a 153 Zmluvy o fungovaní Európskej únie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 xml:space="preserve">- </w:t>
      </w:r>
      <w:r w:rsidRPr="009A6374">
        <w:rPr>
          <w:rFonts w:ascii="Times New Roman" w:hAnsi="Times New Roman"/>
          <w:i/>
          <w:lang w:val="sk-SK"/>
        </w:rPr>
        <w:t>sekundárnom</w:t>
      </w:r>
      <w:r w:rsidRPr="009A6374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</w:rPr>
      </w:pP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>- nie je upravená, 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 xml:space="preserve">- </w:t>
      </w:r>
      <w:r w:rsidRPr="009A6374">
        <w:rPr>
          <w:rFonts w:ascii="Times New Roman" w:hAnsi="Times New Roman"/>
          <w:i/>
          <w:lang w:val="sk-SK"/>
        </w:rPr>
        <w:t>sekundárnom</w:t>
      </w:r>
      <w:r w:rsidRPr="009A6374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A6374">
        <w:rPr>
          <w:rFonts w:ascii="Times New Roman" w:hAnsi="Times New Roman"/>
          <w:sz w:val="24"/>
          <w:szCs w:val="24"/>
        </w:rPr>
        <w:t xml:space="preserve">- Nariadenie Európskeho parlamentu a  Rady  (ES) č. 883/2004 z 29. apríla 2004 o koordinácii systémov sociálneho zabezpečenia v platnom znení (Mimoriadne vydanie Ú. v. EÚ, kap. 5/ zv. 5; Ú. v. EÚ L 166, 30. 4. 2004) v platnom znení, </w:t>
      </w:r>
    </w:p>
    <w:p w:rsidR="003F288B" w:rsidRPr="009A6374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F288B" w:rsidRPr="009A6374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A6374">
        <w:rPr>
          <w:rFonts w:ascii="Times New Roman" w:hAnsi="Times New Roman"/>
          <w:sz w:val="24"/>
          <w:szCs w:val="24"/>
        </w:rPr>
        <w:t>- 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pStyle w:val="ListParagraph1"/>
        <w:numPr>
          <w:numId w:val="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9A6374">
        <w:rPr>
          <w:rFonts w:ascii="Times New Roman" w:hAnsi="Times New Roman"/>
          <w:lang w:val="sk-SK"/>
        </w:rPr>
        <w:t>je obsiahnutá v judikatúre Súdneho dvora Európskej únie:</w:t>
      </w:r>
    </w:p>
    <w:p w:rsidR="003F288B" w:rsidRPr="009A6374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3F288B" w:rsidRPr="009A6374" w:rsidP="003F288B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- bezpredmetné</w:t>
      </w:r>
    </w:p>
    <w:p w:rsidR="003F288B" w:rsidRPr="009A6374" w:rsidP="003F288B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3F288B" w:rsidRPr="009A6374" w:rsidP="003F288B">
      <w:pPr>
        <w:bidi w:val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A6374">
        <w:rPr>
          <w:rFonts w:ascii="Times New Roman" w:hAnsi="Times New Roman" w:cs="Times New Roman"/>
          <w:b/>
          <w:sz w:val="24"/>
          <w:szCs w:val="24"/>
        </w:rPr>
        <w:t>4.</w:t>
      </w:r>
      <w:r w:rsidRPr="009A6374">
        <w:rPr>
          <w:rFonts w:ascii="Times New Roman" w:hAnsi="Times New Roman" w:cs="Times New Roman"/>
          <w:sz w:val="24"/>
          <w:szCs w:val="24"/>
        </w:rPr>
        <w:t xml:space="preserve"> </w:t>
      </w:r>
      <w:r w:rsidRPr="009A6374">
        <w:rPr>
          <w:rFonts w:ascii="Times New Roman" w:hAnsi="Times New Roman" w:cs="Times New Roman"/>
          <w:b/>
          <w:sz w:val="24"/>
          <w:szCs w:val="24"/>
        </w:rPr>
        <w:t xml:space="preserve">Záväzky Slovenskej republiky vo vzťahu k Európskej únii: </w:t>
      </w:r>
    </w:p>
    <w:p w:rsidR="003F288B" w:rsidRPr="009A6374" w:rsidP="003F288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F288B" w:rsidRPr="009A6374" w:rsidP="003F288B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lehota na prebratie smernice alebo lehota na implementáciu nariadenia alebo rozhodnutia</w:t>
      </w:r>
    </w:p>
    <w:p w:rsidR="003F288B" w:rsidRPr="009A6374" w:rsidP="003F288B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3F288B" w:rsidRPr="009A6374" w:rsidP="003F288B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- bezpredmetné</w:t>
      </w:r>
    </w:p>
    <w:p w:rsidR="003F288B" w:rsidRPr="009A6374" w:rsidP="003F288B">
      <w:pPr>
        <w:bidi w:val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3F288B" w:rsidRPr="009A6374" w:rsidP="003F288B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- bezpredmetné</w:t>
      </w:r>
    </w:p>
    <w:p w:rsidR="003F288B" w:rsidRPr="009A6374" w:rsidP="003F288B">
      <w:pPr>
        <w:bidi w:val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</w:p>
    <w:p w:rsidR="003F288B" w:rsidRPr="009A6374" w:rsidP="003F288B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- bezpredmetné</w:t>
      </w:r>
    </w:p>
    <w:p w:rsidR="003F288B" w:rsidRPr="009A6374" w:rsidP="003F288B">
      <w:pPr>
        <w:bidi w:val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d)</w:t>
        <w:tab/>
        <w:t>informácia o právnych predpisoch, v ktorých sú preberané smernice už prebraté spolu s uvedením rozsahu tohto prebratia</w:t>
      </w:r>
    </w:p>
    <w:p w:rsidR="003F288B" w:rsidRPr="009A6374" w:rsidP="003F288B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- bezpredmetné</w:t>
      </w:r>
    </w:p>
    <w:p w:rsidR="003F288B" w:rsidRPr="009A6374" w:rsidP="003F288B">
      <w:pPr>
        <w:bidi w:val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74">
        <w:rPr>
          <w:rFonts w:ascii="Times New Roman" w:hAnsi="Times New Roman" w:cs="Times New Roman"/>
          <w:b/>
          <w:sz w:val="24"/>
          <w:szCs w:val="24"/>
        </w:rPr>
        <w:t>5.</w:t>
        <w:tab/>
        <w:t>Stupeň zlučiteľnosti návrhu právneho predpisu s právom Európskej únie:</w:t>
      </w:r>
    </w:p>
    <w:p w:rsidR="003F288B" w:rsidRPr="009A6374" w:rsidP="003F288B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6374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:rsidR="0003658C" w:rsidRPr="009A6374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9A6374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88B" w:rsidRPr="009A6374" w:rsidP="001300A9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A6374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9A6374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A6374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9A637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A6374">
        <w:rPr>
          <w:rFonts w:ascii="Times New Roman" w:hAnsi="Times New Roman" w:cs="Times New Roman"/>
          <w:bCs/>
          <w:sz w:val="24"/>
          <w:szCs w:val="24"/>
        </w:rPr>
        <w:t>, ktorým sa mení</w:t>
      </w:r>
      <w:r w:rsidRPr="009A6374" w:rsidR="00983076">
        <w:rPr>
          <w:rFonts w:ascii="Times New Roman" w:hAnsi="Times New Roman" w:cs="Times New Roman"/>
          <w:bCs/>
          <w:sz w:val="24"/>
          <w:szCs w:val="24"/>
        </w:rPr>
        <w:t xml:space="preserve"> a dopĺňa</w:t>
      </w:r>
      <w:r w:rsidRPr="009A6374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9A6374">
        <w:rPr>
          <w:rFonts w:ascii="Times New Roman" w:hAnsi="Times New Roman" w:cs="Times New Roman"/>
          <w:sz w:val="24"/>
          <w:szCs w:val="24"/>
        </w:rPr>
        <w:t xml:space="preserve">ákon č. 571/2009 Z. z. </w:t>
      </w:r>
      <w:r w:rsidRPr="009A6374">
        <w:rPr>
          <w:rFonts w:ascii="Times New Roman" w:hAnsi="Times New Roman" w:cs="Times New Roman"/>
          <w:bCs/>
          <w:sz w:val="24"/>
          <w:szCs w:val="24"/>
        </w:rPr>
        <w:t>o rodičovskom príspevku a o zmene a doplnení niektorých zákonov</w:t>
      </w:r>
    </w:p>
    <w:p w:rsidR="00351B73" w:rsidRPr="009A6374" w:rsidP="001300A9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556A" w:rsidRPr="009A6374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A6374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49556A" w:rsidRPr="009A6374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3658C" w:rsidRPr="009A6374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1300A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964"/>
        <w:gridCol w:w="1560"/>
        <w:gridCol w:w="1560"/>
        <w:gridCol w:w="1985"/>
        <w:gridCol w:w="9"/>
      </w:tblGrid>
      <w:tr>
        <w:tblPrEx>
          <w:tblW w:w="907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670B72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 w:rsidR="00C44EF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rozpočet verejnej správy </w:t>
            </w:r>
          </w:p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(v eurách)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cantSplit/>
          <w:trHeight w:val="70"/>
          <w:jc w:val="center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43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12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2BBF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2BBF" w:rsidRPr="007D5748" w:rsidP="004C04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2 341 135 120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2BBF" w:rsidRPr="007D5748" w:rsidP="004C04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2 429 432 118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2BBF" w:rsidRPr="007D5748" w:rsidP="004C04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2 460 383 143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P="00AD1E8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702BBF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MPSVR/Rodičovský príspevok 07C0202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956FB2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372 916 957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379 046 664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956FB2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386 134 301</w:t>
            </w:r>
            <w:r w:rsidRPr="007D5748"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078" w:type="dxa"/>
          <w:jc w:val="center"/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(07C0202 – Rodičovský príspevok)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46 480 540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111 615 984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2BBF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111 678 672</w:t>
            </w:r>
            <w:r w:rsidRPr="007D5748" w:rsidR="004C047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</w:tbl>
    <w:p w:rsidR="00C44EFA" w:rsidP="00C44EFA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9556A" w:rsidP="0049556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C44EFA">
        <w:rPr>
          <w:rFonts w:ascii="Times New Roman" w:hAnsi="Times New Roman"/>
          <w:sz w:val="24"/>
          <w:szCs w:val="24"/>
        </w:rPr>
        <w:t>Predkladaný návrh novely zákona o rodičovskom príspevku ustanovuje úpravu sumy rodičovského príspevku z</w:t>
      </w:r>
      <w:r w:rsidR="00AD1E8D">
        <w:rPr>
          <w:rFonts w:ascii="Times New Roman" w:hAnsi="Times New Roman"/>
          <w:sz w:val="24"/>
          <w:szCs w:val="24"/>
        </w:rPr>
        <w:t xml:space="preserve">o sumy </w:t>
      </w:r>
      <w:r w:rsidRPr="00702BBF" w:rsidR="00702BBF">
        <w:rPr>
          <w:rFonts w:ascii="Times New Roman" w:hAnsi="Times New Roman" w:cs="Times New Roman"/>
          <w:bCs/>
          <w:sz w:val="24"/>
          <w:szCs w:val="24"/>
        </w:rPr>
        <w:t>214,70</w:t>
      </w:r>
      <w:r w:rsidR="00702BBF">
        <w:rPr>
          <w:bCs/>
        </w:rPr>
        <w:t xml:space="preserve"> </w:t>
      </w:r>
      <w:r w:rsidR="00983076">
        <w:rPr>
          <w:rFonts w:ascii="Times New Roman" w:hAnsi="Times New Roman"/>
          <w:sz w:val="24"/>
          <w:szCs w:val="24"/>
        </w:rPr>
        <w:t>eura na sumu 280,00</w:t>
      </w:r>
      <w:r w:rsidR="00C44EFA">
        <w:rPr>
          <w:rFonts w:ascii="Times New Roman" w:hAnsi="Times New Roman"/>
          <w:sz w:val="24"/>
          <w:szCs w:val="24"/>
        </w:rPr>
        <w:t xml:space="preserve"> eura. </w:t>
      </w:r>
      <w:r>
        <w:rPr>
          <w:rFonts w:ascii="Times New Roman" w:hAnsi="Times New Roman"/>
          <w:sz w:val="24"/>
          <w:szCs w:val="24"/>
        </w:rPr>
        <w:t>Z uvedeného vyplýva, že sa navrhuje zvýšiť rodičovský príspevok mesačne  o </w:t>
      </w:r>
      <w:r w:rsidR="00AD1E8D">
        <w:rPr>
          <w:rFonts w:ascii="Times New Roman" w:hAnsi="Times New Roman"/>
          <w:sz w:val="24"/>
          <w:szCs w:val="24"/>
        </w:rPr>
        <w:t>6</w:t>
      </w:r>
      <w:r w:rsidR="00702B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702BB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eura. Zvýšené výdavky na zvýšený rodičovský príspevok sa navrhuje hradiť zo štátneho rozpočtu SR. </w:t>
      </w:r>
    </w:p>
    <w:p w:rsidR="0049556A" w:rsidP="004955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Pri odhadoch objemu finančných prostriedkov, ktoré budú mať vplyv na rozpočet verejnej správy sme vychádzali zo skutočného  počtu poberateľov rodičovského príspevku a z predpokladaného vývoja počtu poberateľov rodičovského príspevku (zdroj ÚPSVaR).</w:t>
      </w:r>
    </w:p>
    <w:p w:rsidR="0049556A" w:rsidP="004955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67BE" w:rsidRPr="007D5748" w:rsidP="00EB67BE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Priemerný mesačný počet poberateľov rodičovského príspevku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142 520</w:t>
            </w:r>
          </w:p>
        </w:tc>
      </w:tr>
    </w:tbl>
    <w:p w:rsidR="00EB67BE" w:rsidP="00EB67B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sz w:val="24"/>
          <w:szCs w:val="24"/>
          <w:lang w:eastAsia="sk-SK"/>
        </w:rPr>
        <w:t>A.4. Alternatívne riešenia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sz w:val="24"/>
          <w:szCs w:val="24"/>
          <w:lang w:eastAsia="sk-SK"/>
        </w:rPr>
        <w:t>bezpredmetné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sz w:val="24"/>
          <w:szCs w:val="24"/>
          <w:lang w:eastAsia="sk-SK"/>
        </w:rPr>
        <w:t>  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sz w:val="24"/>
          <w:szCs w:val="24"/>
          <w:lang w:eastAsia="sk-SK"/>
        </w:rPr>
        <w:t>A.5. Stanovisko gestorov</w:t>
      </w:r>
    </w:p>
    <w:p w:rsidR="0049556A" w:rsidRPr="009A6374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49556A" w:rsidRPr="009A6374" w:rsidP="0049556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6374">
        <w:rPr>
          <w:rFonts w:ascii="Times New Roman" w:hAnsi="Times New Roman" w:cs="Times New Roman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556A" w:rsidRPr="0049556A" w:rsidP="0049556A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p w:rsidR="00EB67BE" w:rsidP="00EB67B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67BE" w:rsidRPr="007D5748" w:rsidP="00EB67B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9556A">
      <w:rPr>
        <w:rStyle w:val="PageNumber"/>
        <w:rFonts w:ascii="Times New Roman" w:hAnsi="Times New Roman"/>
      </w:rPr>
      <w:fldChar w:fldCharType="begin"/>
    </w:r>
    <w:r w:rsidR="0049556A">
      <w:rPr>
        <w:rStyle w:val="PageNumber"/>
        <w:rFonts w:ascii="Times New Roman" w:hAnsi="Times New Roman"/>
      </w:rPr>
      <w:instrText xml:space="preserve">PAGE  </w:instrText>
    </w:r>
    <w:r w:rsidR="0049556A">
      <w:rPr>
        <w:rStyle w:val="PageNumber"/>
        <w:rFonts w:ascii="Times New Roman" w:hAnsi="Times New Roman"/>
      </w:rPr>
      <w:fldChar w:fldCharType="separate"/>
    </w:r>
    <w:r w:rsidR="0049556A">
      <w:rPr>
        <w:rStyle w:val="PageNumber"/>
        <w:rFonts w:ascii="Times New Roman" w:hAnsi="Times New Roman"/>
        <w:noProof/>
      </w:rPr>
      <w:t>10</w:t>
    </w:r>
    <w:r w:rsidR="0049556A">
      <w:rPr>
        <w:rStyle w:val="PageNumber"/>
        <w:rFonts w:ascii="Times New Roman" w:hAnsi="Times New Roman"/>
      </w:rPr>
      <w:fldChar w:fldCharType="end"/>
    </w:r>
  </w:p>
  <w:p w:rsidR="009F5CD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bidi w:val="0"/>
      <w:jc w:val="right"/>
      <w:rPr>
        <w:rFonts w:ascii="Times New Roman" w:hAnsi="Times New Roman"/>
      </w:rPr>
    </w:pPr>
    <w:r w:rsidR="0049556A">
      <w:rPr>
        <w:rFonts w:ascii="Times New Roman" w:hAnsi="Times New Roman"/>
      </w:rPr>
      <w:fldChar w:fldCharType="begin"/>
    </w:r>
    <w:r w:rsidR="0049556A">
      <w:rPr>
        <w:rFonts w:ascii="Times New Roman" w:hAnsi="Times New Roman"/>
      </w:rPr>
      <w:instrText>PAGE   \* MERGEFORMAT</w:instrText>
    </w:r>
    <w:r w:rsidR="0049556A">
      <w:rPr>
        <w:rFonts w:ascii="Times New Roman" w:hAnsi="Times New Roman"/>
      </w:rPr>
      <w:fldChar w:fldCharType="separate"/>
    </w:r>
    <w:r w:rsidR="000D33B8">
      <w:rPr>
        <w:rFonts w:ascii="Times New Roman" w:hAnsi="Times New Roman"/>
        <w:noProof/>
      </w:rPr>
      <w:t>4</w:t>
    </w:r>
    <w:r w:rsidR="0049556A">
      <w:rPr>
        <w:rFonts w:ascii="Times New Roman" w:hAnsi="Times New Roman"/>
      </w:rPr>
      <w:fldChar w:fldCharType="end"/>
    </w:r>
  </w:p>
  <w:p w:rsidR="009F5CD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bidi w:val="0"/>
      <w:jc w:val="right"/>
      <w:rPr>
        <w:rFonts w:ascii="Times New Roman" w:hAnsi="Times New Roman"/>
      </w:rPr>
    </w:pPr>
    <w:r w:rsidR="0049556A">
      <w:rPr>
        <w:rFonts w:ascii="Times New Roman" w:hAnsi="Times New Roman"/>
      </w:rPr>
      <w:fldChar w:fldCharType="begin"/>
    </w:r>
    <w:r w:rsidR="0049556A">
      <w:rPr>
        <w:rFonts w:ascii="Times New Roman" w:hAnsi="Times New Roman"/>
      </w:rPr>
      <w:instrText>PAGE   \* MERGEFORMAT</w:instrText>
    </w:r>
    <w:r w:rsidR="0049556A">
      <w:rPr>
        <w:rFonts w:ascii="Times New Roman" w:hAnsi="Times New Roman"/>
      </w:rPr>
      <w:fldChar w:fldCharType="separate"/>
    </w:r>
    <w:r w:rsidR="0049556A">
      <w:rPr>
        <w:rFonts w:ascii="Times New Roman" w:hAnsi="Times New Roman"/>
        <w:noProof/>
      </w:rPr>
      <w:t>0</w:t>
    </w:r>
    <w:r w:rsidR="0049556A">
      <w:rPr>
        <w:rFonts w:ascii="Times New Roman" w:hAnsi="Times New Roman"/>
      </w:rPr>
      <w:fldChar w:fldCharType="end"/>
    </w:r>
  </w:p>
  <w:p w:rsidR="009F5CD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49556A">
      <w:rPr>
        <w:rFonts w:ascii="Times New Roman" w:hAnsi="Times New Roman"/>
        <w:sz w:val="24"/>
        <w:szCs w:val="24"/>
      </w:rPr>
      <w:t>Príloha č. 2</w:t>
    </w:r>
  </w:p>
  <w:p w:rsidR="009F5CD8" w:rsidRPr="00EB59C8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 w:rsidRPr="000A15AE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49556A"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3258B7EC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BB2F6B"/>
    <w:multiLevelType w:val="hybridMultilevel"/>
    <w:tmpl w:val="8266EF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0A15AE"/>
    <w:rsid w:val="000D33B8"/>
    <w:rsid w:val="001300A9"/>
    <w:rsid w:val="0013033A"/>
    <w:rsid w:val="00130EA4"/>
    <w:rsid w:val="00157F70"/>
    <w:rsid w:val="002318C8"/>
    <w:rsid w:val="00351B73"/>
    <w:rsid w:val="003F288B"/>
    <w:rsid w:val="0049556A"/>
    <w:rsid w:val="004C0471"/>
    <w:rsid w:val="00670B72"/>
    <w:rsid w:val="0067171B"/>
    <w:rsid w:val="007009D4"/>
    <w:rsid w:val="00702BBF"/>
    <w:rsid w:val="007D5748"/>
    <w:rsid w:val="00821A32"/>
    <w:rsid w:val="008703F3"/>
    <w:rsid w:val="00956FB2"/>
    <w:rsid w:val="00983076"/>
    <w:rsid w:val="009A6374"/>
    <w:rsid w:val="009B3709"/>
    <w:rsid w:val="009F5CD8"/>
    <w:rsid w:val="00A10BE5"/>
    <w:rsid w:val="00AD1E8D"/>
    <w:rsid w:val="00B7043D"/>
    <w:rsid w:val="00C32654"/>
    <w:rsid w:val="00C44EFA"/>
    <w:rsid w:val="00D75458"/>
    <w:rsid w:val="00DF4863"/>
    <w:rsid w:val="00EB59C8"/>
    <w:rsid w:val="00EB67BE"/>
    <w:rsid w:val="00EC226E"/>
    <w:rsid w:val="00F43852"/>
    <w:rsid w:val="00F568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  <w:style w:type="paragraph" w:styleId="BodyTextIndent3">
    <w:name w:val="Body Text Indent 3"/>
    <w:basedOn w:val="Normal"/>
    <w:link w:val="Zarkazkladnhotextu3Char"/>
    <w:uiPriority w:val="99"/>
    <w:rsid w:val="00F568E0"/>
    <w:pPr>
      <w:spacing w:after="120" w:line="240" w:lineRule="auto"/>
      <w:ind w:left="283"/>
      <w:jc w:val="left"/>
    </w:pPr>
    <w:rPr>
      <w:rFonts w:ascii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F568E0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F568E0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lavikaChar"/>
    <w:uiPriority w:val="99"/>
    <w:unhideWhenUsed/>
    <w:rsid w:val="00EB67B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EB67B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B67B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EB67B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B67B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3F288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F288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739</Words>
  <Characters>4217</Characters>
  <Application>Microsoft Office Word</Application>
  <DocSecurity>0</DocSecurity>
  <Lines>0</Lines>
  <Paragraphs>0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2017-05-22T10:04:00Z</cp:lastPrinted>
  <dcterms:created xsi:type="dcterms:W3CDTF">2018-04-23T10:53:00Z</dcterms:created>
  <dcterms:modified xsi:type="dcterms:W3CDTF">2018-04-23T10:53:00Z</dcterms:modified>
</cp:coreProperties>
</file>