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="00E00B9D"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E00B9D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321ABE">
            <w:pPr>
              <w:bidi w:val="0"/>
              <w:rPr>
                <w:rFonts w:ascii="Times New Roman" w:hAnsi="Times New Roman"/>
                <w:noProof/>
              </w:rPr>
            </w:pPr>
            <w:r w:rsidRPr="00120EA3" w:rsidR="00487F10">
              <w:rPr>
                <w:rFonts w:ascii="Times New Roman" w:hAnsi="Times New Roman"/>
                <w:noProof/>
              </w:rPr>
              <w:t>Dotknutí</w:t>
            </w:r>
            <w:r w:rsidRPr="00120EA3" w:rsidR="00E00B9D">
              <w:rPr>
                <w:rFonts w:ascii="Times New Roman" w:hAnsi="Times New Roman"/>
                <w:noProof/>
              </w:rPr>
              <w:t xml:space="preserve"> budú prevádzko</w:t>
            </w:r>
            <w:r w:rsidRPr="00120EA3" w:rsidR="00321ABE">
              <w:rPr>
                <w:rFonts w:ascii="Times New Roman" w:hAnsi="Times New Roman"/>
                <w:noProof/>
              </w:rPr>
              <w:t>vatelia skládok odpadov,</w:t>
            </w:r>
            <w:r w:rsidRPr="00120EA3" w:rsidR="00120EA3">
              <w:rPr>
                <w:rFonts w:ascii="Times New Roman" w:hAnsi="Times New Roman"/>
                <w:noProof/>
              </w:rPr>
              <w:t xml:space="preserve"> </w:t>
            </w:r>
            <w:r w:rsidRPr="00120EA3" w:rsidR="00321ABE">
              <w:rPr>
                <w:rFonts w:ascii="Times New Roman" w:hAnsi="Times New Roman"/>
                <w:noProof/>
              </w:rPr>
              <w:t xml:space="preserve"> ktorí</w:t>
            </w:r>
            <w:r w:rsidR="00321ABE">
              <w:rPr>
                <w:rFonts w:ascii="Times New Roman" w:hAnsi="Times New Roman"/>
                <w:i/>
              </w:rPr>
              <w:t xml:space="preserve"> </w:t>
            </w:r>
            <w:r w:rsidRPr="00C03B57" w:rsidR="00C03B57">
              <w:rPr>
                <w:rFonts w:ascii="Times New Roman" w:hAnsi="Times New Roman"/>
              </w:rPr>
              <w:t>v</w:t>
            </w:r>
            <w:r w:rsidR="00487F10">
              <w:rPr>
                <w:rFonts w:ascii="Times New Roman" w:hAnsi="Times New Roman"/>
                <w:i/>
              </w:rPr>
              <w:t xml:space="preserve"> </w:t>
            </w:r>
            <w:r w:rsidRPr="0085158A" w:rsidR="00321ABE">
              <w:rPr>
                <w:rFonts w:ascii="Times New Roman" w:hAnsi="Times New Roman"/>
                <w:noProof/>
              </w:rPr>
              <w:t>zmysle stavebného zákona nemali  usporiadané vzťahy s vlastníkmi pozemkov, na ktorých sa nachádza skládka</w:t>
            </w:r>
            <w:r w:rsidR="00321ABE">
              <w:rPr>
                <w:rFonts w:ascii="Times New Roman" w:hAnsi="Times New Roman"/>
                <w:noProof/>
              </w:rPr>
              <w:t xml:space="preserve"> odpadov</w:t>
            </w:r>
            <w:r w:rsidRPr="0085158A" w:rsidR="00321ABE">
              <w:rPr>
                <w:rFonts w:ascii="Times New Roman" w:hAnsi="Times New Roman"/>
                <w:noProof/>
              </w:rPr>
              <w:t>, alebo s vlastníkmi stavieb, ktoré tvoria súčasť skládky odpadov, a ktorí do účinnosti tohto zákona nemajú splnenú povinnosť uzatvoriť skládku odpadov alebo jej časť (§ 40e)</w:t>
            </w:r>
            <w:r w:rsidR="00120EA3">
              <w:rPr>
                <w:rFonts w:ascii="Times New Roman" w:hAnsi="Times New Roman"/>
                <w:noProof/>
              </w:rPr>
              <w:t xml:space="preserve"> v</w:t>
            </w:r>
            <w:r w:rsidR="009A4415">
              <w:rPr>
                <w:rFonts w:ascii="Times New Roman" w:hAnsi="Times New Roman"/>
                <w:noProof/>
              </w:rPr>
              <w:t> </w:t>
            </w:r>
            <w:r w:rsidR="00120EA3">
              <w:rPr>
                <w:rFonts w:ascii="Times New Roman" w:hAnsi="Times New Roman"/>
                <w:noProof/>
              </w:rPr>
              <w:t>prípadoch</w:t>
            </w:r>
            <w:r w:rsidR="009A4415">
              <w:rPr>
                <w:rFonts w:ascii="Times New Roman" w:hAnsi="Times New Roman"/>
                <w:noProof/>
              </w:rPr>
              <w:t>,</w:t>
            </w:r>
            <w:r w:rsidR="00120EA3">
              <w:rPr>
                <w:rFonts w:ascii="Times New Roman" w:hAnsi="Times New Roman"/>
                <w:noProof/>
              </w:rPr>
              <w:t xml:space="preserve"> keď </w:t>
            </w:r>
            <w:r w:rsidRPr="0085158A" w:rsidR="00120EA3">
              <w:rPr>
                <w:rStyle w:val="PlaceholderText"/>
                <w:rFonts w:ascii="Times New Roman" w:hAnsi="Times New Roman"/>
                <w:color w:val="auto"/>
              </w:rPr>
              <w:t>uzatvorenie</w:t>
            </w:r>
            <w:r w:rsidR="00120EA3">
              <w:rPr>
                <w:rStyle w:val="PlaceholderText"/>
                <w:rFonts w:ascii="Times New Roman" w:hAnsi="Times New Roman"/>
                <w:color w:val="auto"/>
              </w:rPr>
              <w:t xml:space="preserve"> skládky odpadu</w:t>
            </w:r>
            <w:r w:rsidRPr="0085158A" w:rsidR="00120EA3">
              <w:rPr>
                <w:rStyle w:val="PlaceholderText"/>
                <w:rFonts w:ascii="Times New Roman" w:hAnsi="Times New Roman"/>
                <w:color w:val="auto"/>
              </w:rPr>
              <w:t xml:space="preserve"> je pred</w:t>
            </w:r>
            <w:r w:rsidR="00120EA3">
              <w:rPr>
                <w:rStyle w:val="PlaceholderText"/>
                <w:rFonts w:ascii="Times New Roman" w:hAnsi="Times New Roman"/>
                <w:color w:val="auto"/>
              </w:rPr>
              <w:t xml:space="preserve">metom integrovaného povoľovania. </w:t>
            </w:r>
          </w:p>
          <w:p w:rsidR="001935F2" w:rsidRPr="00F04CCD" w:rsidP="00321ABE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E00B9D">
            <w:pPr>
              <w:bidi w:val="0"/>
              <w:rPr>
                <w:rFonts w:ascii="Times New Roman" w:hAnsi="Times New Roman"/>
                <w:i/>
              </w:rPr>
            </w:pPr>
            <w:r w:rsidR="00E00B9D">
              <w:rPr>
                <w:rFonts w:ascii="Times New Roman" w:hAnsi="Times New Roman"/>
                <w:i/>
              </w:rPr>
              <w:t xml:space="preserve">Bola vytvorená pracovná skupina k tvorbe zákona, okrem toho proces uzatvárania problémových skládok sa rieši niekoľko rokov priamo s prevádzkovateľmi a povoľujúcim orgánom.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3493" w:rsidRPr="0085158A" w:rsidP="00123493">
            <w:pPr>
              <w:bidi w:val="0"/>
              <w:jc w:val="both"/>
              <w:rPr>
                <w:rFonts w:ascii="Times New Roman" w:hAnsi="Times New Roman"/>
                <w:b/>
                <w:noProof/>
              </w:rPr>
            </w:pPr>
            <w:r w:rsidRPr="0085158A">
              <w:rPr>
                <w:rFonts w:ascii="Times New Roman" w:hAnsi="Times New Roman"/>
                <w:noProof/>
              </w:rPr>
              <w:t>Návrh zákona bude mať vplyv na podnikateľské subjekty, prevádzkovateľov skládok odpadov, ktorí zmysle stavebného zákona nemali  usporiadané vzťahy s vlastníkmi pozemkov, na ktorých sa nachádza skládka</w:t>
            </w:r>
            <w:r>
              <w:rPr>
                <w:rFonts w:ascii="Times New Roman" w:hAnsi="Times New Roman"/>
                <w:noProof/>
              </w:rPr>
              <w:t xml:space="preserve"> odpadov</w:t>
            </w:r>
            <w:r w:rsidRPr="0085158A">
              <w:rPr>
                <w:rFonts w:ascii="Times New Roman" w:hAnsi="Times New Roman"/>
                <w:noProof/>
              </w:rPr>
              <w:t xml:space="preserve">, alebo s vlastníkmi stavieb, ktoré tvoria súčasť skládky odpadov, a ktorí do účinnosti tohto zákona nemajú splnenú povinnosť uzatvoriť skládku odpadov alebo jej časť (§ 40e). Tento vplyv súvisí so zavedením možnosti </w:t>
            </w:r>
            <w:r w:rsidRPr="0085158A">
              <w:rPr>
                <w:rFonts w:ascii="Times New Roman" w:eastAsia="Arial" w:hAnsi="Times New Roman" w:hint="default"/>
              </w:rPr>
              <w:t>vlastní</w:t>
            </w:r>
            <w:r w:rsidRPr="0085158A">
              <w:rPr>
                <w:rFonts w:ascii="Times New Roman" w:eastAsia="Arial" w:hAnsi="Times New Roman" w:hint="default"/>
              </w:rPr>
              <w:t>ka pozemku alebo vlastní</w:t>
            </w:r>
            <w:r w:rsidRPr="0085158A">
              <w:rPr>
                <w:rFonts w:ascii="Times New Roman" w:eastAsia="Arial" w:hAnsi="Times New Roman" w:hint="default"/>
              </w:rPr>
              <w:t>ka stavby uplatň</w:t>
            </w:r>
            <w:r w:rsidRPr="0085158A">
              <w:rPr>
                <w:rFonts w:ascii="Times New Roman" w:eastAsia="Arial" w:hAnsi="Times New Roman" w:hint="default"/>
              </w:rPr>
              <w:t>ovať</w:t>
            </w:r>
            <w:r w:rsidRPr="0085158A">
              <w:rPr>
                <w:rFonts w:ascii="Times New Roman" w:eastAsia="Arial" w:hAnsi="Times New Roman" w:hint="default"/>
              </w:rPr>
              <w:t xml:space="preserve"> jednorazovú</w:t>
            </w:r>
            <w:r w:rsidRPr="0085158A">
              <w:rPr>
                <w:rFonts w:ascii="Times New Roman" w:eastAsia="Arial" w:hAnsi="Times New Roman" w:hint="default"/>
              </w:rPr>
              <w:t xml:space="preserve"> ná</w:t>
            </w:r>
            <w:r w:rsidRPr="0085158A">
              <w:rPr>
                <w:rFonts w:ascii="Times New Roman" w:eastAsia="Arial" w:hAnsi="Times New Roman" w:hint="default"/>
              </w:rPr>
              <w:t>hradu za obmedzenie uží</w:t>
            </w:r>
            <w:r w:rsidRPr="0085158A">
              <w:rPr>
                <w:rFonts w:ascii="Times New Roman" w:eastAsia="Arial" w:hAnsi="Times New Roman" w:hint="default"/>
              </w:rPr>
              <w:t>vania pozemku alebo stavby od</w:t>
            </w:r>
            <w:r w:rsidRPr="0085158A">
              <w:rPr>
                <w:rFonts w:ascii="Times New Roman" w:eastAsia="Arial" w:hAnsi="Times New Roman" w:hint="default"/>
              </w:rPr>
              <w:t xml:space="preserve"> prevá</w:t>
            </w:r>
            <w:r w:rsidRPr="0085158A">
              <w:rPr>
                <w:rFonts w:ascii="Times New Roman" w:eastAsia="Arial" w:hAnsi="Times New Roman" w:hint="default"/>
              </w:rPr>
              <w:t>dzkovateľ</w:t>
            </w:r>
            <w:r w:rsidRPr="0085158A">
              <w:rPr>
                <w:rFonts w:ascii="Times New Roman" w:eastAsia="Arial" w:hAnsi="Times New Roman" w:hint="default"/>
              </w:rPr>
              <w:t>a (§</w:t>
            </w:r>
            <w:r w:rsidRPr="0085158A">
              <w:rPr>
                <w:rFonts w:ascii="Times New Roman" w:eastAsia="Arial" w:hAnsi="Times New Roman" w:hint="default"/>
              </w:rPr>
              <w:t xml:space="preserve"> 26a) v </w:t>
            </w:r>
            <w:r w:rsidRPr="0085158A">
              <w:rPr>
                <w:rFonts w:ascii="Times New Roman" w:eastAsia="Arial" w:hAnsi="Times New Roman" w:hint="default"/>
              </w:rPr>
              <w:t>prí</w:t>
            </w:r>
            <w:r w:rsidRPr="0085158A">
              <w:rPr>
                <w:rFonts w:ascii="Times New Roman" w:eastAsia="Arial" w:hAnsi="Times New Roman" w:hint="default"/>
              </w:rPr>
              <w:t xml:space="preserve">padoch, ak v </w:t>
            </w:r>
            <w:r w:rsidRPr="0085158A">
              <w:rPr>
                <w:rStyle w:val="PlaceholderText"/>
                <w:rFonts w:ascii="Times New Roman" w:hAnsi="Times New Roman"/>
                <w:color w:val="auto"/>
              </w:rPr>
              <w:t xml:space="preserve">konaní týkajúcom sa uzavretia skládky odpadov alebo jej časti, ktorej uzatvorenie je predmetom integrovaného povoľovania, prevádzkovateľ nevie preukázať </w:t>
            </w:r>
            <w:r w:rsidRPr="0085158A">
              <w:rPr>
                <w:rFonts w:ascii="Times New Roman" w:eastAsia="Arial" w:hAnsi="Times New Roman" w:hint="default"/>
              </w:rPr>
              <w:t>vlastní</w:t>
            </w:r>
            <w:r w:rsidRPr="0085158A">
              <w:rPr>
                <w:rFonts w:ascii="Times New Roman" w:eastAsia="Arial" w:hAnsi="Times New Roman" w:hint="default"/>
              </w:rPr>
              <w:t>cke alebo iné</w:t>
            </w:r>
            <w:r w:rsidRPr="0085158A">
              <w:rPr>
                <w:rFonts w:ascii="Times New Roman" w:eastAsia="Arial" w:hAnsi="Times New Roman" w:hint="default"/>
              </w:rPr>
              <w:t xml:space="preserve"> prá</w:t>
            </w:r>
            <w:r w:rsidRPr="0085158A">
              <w:rPr>
                <w:rFonts w:ascii="Times New Roman" w:eastAsia="Arial" w:hAnsi="Times New Roman" w:hint="default"/>
              </w:rPr>
              <w:t>va oprá</w:t>
            </w:r>
            <w:r w:rsidRPr="0085158A">
              <w:rPr>
                <w:rFonts w:ascii="Times New Roman" w:eastAsia="Arial" w:hAnsi="Times New Roman" w:hint="default"/>
              </w:rPr>
              <w:t>vň</w:t>
            </w:r>
            <w:r w:rsidRPr="0085158A">
              <w:rPr>
                <w:rFonts w:ascii="Times New Roman" w:eastAsia="Arial" w:hAnsi="Times New Roman" w:hint="default"/>
              </w:rPr>
              <w:t>ujú</w:t>
            </w:r>
            <w:r w:rsidRPr="0085158A">
              <w:rPr>
                <w:rFonts w:ascii="Times New Roman" w:eastAsia="Arial" w:hAnsi="Times New Roman" w:hint="default"/>
              </w:rPr>
              <w:t>ce</w:t>
            </w:r>
            <w:r>
              <w:rPr>
                <w:rFonts w:ascii="Times New Roman" w:eastAsia="Arial" w:hAnsi="Times New Roman"/>
              </w:rPr>
              <w:t xml:space="preserve"> </w:t>
            </w:r>
            <w:r w:rsidRPr="0085158A">
              <w:rPr>
                <w:rFonts w:ascii="Times New Roman" w:eastAsia="Arial" w:hAnsi="Times New Roman" w:hint="default"/>
              </w:rPr>
              <w:t>ho zriadiť</w:t>
            </w:r>
            <w:r w:rsidRPr="0085158A">
              <w:rPr>
                <w:rFonts w:ascii="Times New Roman" w:eastAsia="Arial" w:hAnsi="Times New Roman" w:hint="default"/>
              </w:rPr>
              <w:t xml:space="preserve"> na pozemku</w:t>
            </w:r>
            <w:r w:rsidRPr="0085158A">
              <w:rPr>
                <w:rFonts w:ascii="Times New Roman" w:eastAsia="Arial" w:hAnsi="Times New Roman" w:hint="default"/>
              </w:rPr>
              <w:t xml:space="preserve"> stavbu alebo prá</w:t>
            </w:r>
            <w:r w:rsidRPr="0085158A">
              <w:rPr>
                <w:rFonts w:ascii="Times New Roman" w:eastAsia="Arial" w:hAnsi="Times New Roman" w:hint="default"/>
              </w:rPr>
              <w:t>vo k stavbe a </w:t>
            </w:r>
            <w:r w:rsidRPr="0085158A">
              <w:rPr>
                <w:rFonts w:ascii="Times New Roman" w:eastAsia="Arial" w:hAnsi="Times New Roman" w:hint="default"/>
              </w:rPr>
              <w:t>inš</w:t>
            </w:r>
            <w:r w:rsidRPr="0085158A">
              <w:rPr>
                <w:rFonts w:ascii="Times New Roman" w:eastAsia="Arial" w:hAnsi="Times New Roman" w:hint="default"/>
              </w:rPr>
              <w:t>pekcia podľ</w:t>
            </w:r>
            <w:r w:rsidRPr="0085158A">
              <w:rPr>
                <w:rFonts w:ascii="Times New Roman" w:eastAsia="Arial" w:hAnsi="Times New Roman" w:hint="default"/>
              </w:rPr>
              <w:t>a novej ú</w:t>
            </w:r>
            <w:r w:rsidRPr="0085158A">
              <w:rPr>
                <w:rFonts w:ascii="Times New Roman" w:eastAsia="Arial" w:hAnsi="Times New Roman" w:hint="default"/>
              </w:rPr>
              <w:t>pravy v</w:t>
            </w:r>
            <w:r>
              <w:rPr>
                <w:rFonts w:ascii="Times New Roman" w:eastAsia="Arial" w:hAnsi="Times New Roman"/>
              </w:rPr>
              <w:t xml:space="preserve"> </w:t>
            </w:r>
            <w:r w:rsidRPr="0085158A">
              <w:rPr>
                <w:rFonts w:ascii="Times New Roman" w:eastAsia="Arial" w:hAnsi="Times New Roman" w:hint="default"/>
              </w:rPr>
              <w:t>§</w:t>
            </w:r>
            <w:r w:rsidRPr="0085158A">
              <w:rPr>
                <w:rFonts w:ascii="Times New Roman" w:eastAsia="Arial" w:hAnsi="Times New Roman" w:hint="default"/>
              </w:rPr>
              <w:t xml:space="preserve"> 11a vydá</w:t>
            </w:r>
            <w:r w:rsidRPr="0085158A">
              <w:rPr>
                <w:rFonts w:ascii="Times New Roman" w:eastAsia="Arial" w:hAnsi="Times New Roman" w:hint="default"/>
              </w:rPr>
              <w:t xml:space="preserve"> rozhodnutie, ktorý</w:t>
            </w:r>
            <w:r w:rsidRPr="0085158A">
              <w:rPr>
                <w:rFonts w:ascii="Times New Roman" w:eastAsia="Arial" w:hAnsi="Times New Roman" w:hint="default"/>
              </w:rPr>
              <w:t>m sa upúšť</w:t>
            </w:r>
            <w:r w:rsidRPr="0085158A">
              <w:rPr>
                <w:rFonts w:ascii="Times New Roman" w:eastAsia="Arial" w:hAnsi="Times New Roman" w:hint="default"/>
              </w:rPr>
              <w:t>a od ich preukazovania. Kedž</w:t>
            </w:r>
            <w:r w:rsidRPr="0085158A">
              <w:rPr>
                <w:rFonts w:ascii="Times New Roman" w:eastAsia="Arial" w:hAnsi="Times New Roman" w:hint="default"/>
              </w:rPr>
              <w:t>e výš</w:t>
            </w:r>
            <w:r w:rsidRPr="0085158A">
              <w:rPr>
                <w:rFonts w:ascii="Times New Roman" w:eastAsia="Arial" w:hAnsi="Times New Roman" w:hint="default"/>
              </w:rPr>
              <w:t>ka jednorazovej ná</w:t>
            </w:r>
            <w:r w:rsidRPr="0085158A">
              <w:rPr>
                <w:rFonts w:ascii="Times New Roman" w:eastAsia="Arial" w:hAnsi="Times New Roman" w:hint="default"/>
              </w:rPr>
              <w:t>hrady zá</w:t>
            </w:r>
            <w:r w:rsidRPr="0085158A">
              <w:rPr>
                <w:rFonts w:ascii="Times New Roman" w:eastAsia="Arial" w:hAnsi="Times New Roman" w:hint="default"/>
              </w:rPr>
              <w:t>leží</w:t>
            </w:r>
            <w:r w:rsidRPr="0085158A">
              <w:rPr>
                <w:rFonts w:ascii="Times New Roman" w:eastAsia="Arial" w:hAnsi="Times New Roman" w:hint="default"/>
              </w:rPr>
              <w:t xml:space="preserve"> na </w:t>
            </w:r>
            <w:r w:rsidRPr="0085158A">
              <w:rPr>
                <w:rFonts w:ascii="Times New Roman" w:hAnsi="Times New Roman"/>
                <w:noProof/>
              </w:rPr>
              <w:t>rokovaní a dohode medzi vlastníkmi a prevádzkovateľom, pričom nie je vylúčená ani dohoda na inom spôsobe náhrady za obmedzenie užívania pozemku alebo stavby,  nie je možné určiť reálny vplyv na podnikateľské prostredie.</w:t>
            </w:r>
            <w:r w:rsidRPr="0085158A">
              <w:rPr>
                <w:rFonts w:ascii="Times New Roman" w:hAnsi="Times New Roman"/>
                <w:b/>
                <w:noProof/>
              </w:rPr>
              <w:t xml:space="preserve"> </w:t>
            </w:r>
          </w:p>
          <w:p w:rsidR="009F2DFA" w:rsidRPr="00F04CCD" w:rsidP="00123493">
            <w:pPr>
              <w:bidi w:val="0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E00B9D">
              <w:rPr>
                <w:rFonts w:ascii="Times New Roman" w:hAnsi="Times New Roman"/>
                <w:b/>
                <w:i/>
              </w:rPr>
              <w:t>nie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</w:tbl>
    <w:p w:rsidR="00BE0528" w:rsidP="00BE0528">
      <w:pPr>
        <w:bidi w:val="0"/>
        <w:rPr>
          <w:rFonts w:ascii="Times New Roman" w:hAnsi="Times New Roman"/>
          <w:b/>
          <w:sz w:val="24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537FE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3</w:t>
    </w:r>
  </w:p>
  <w:p w:rsidR="009F2DF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hyphenationZone w:val="425"/>
  <w:characterSpacingControl w:val="doNotCompress"/>
  <w:compat/>
  <w:rsids>
    <w:rsidRoot w:val="00FB5C13"/>
    <w:rsid w:val="0004174A"/>
    <w:rsid w:val="00042C66"/>
    <w:rsid w:val="0009269B"/>
    <w:rsid w:val="000A15AE"/>
    <w:rsid w:val="000D2622"/>
    <w:rsid w:val="00120EA3"/>
    <w:rsid w:val="00123493"/>
    <w:rsid w:val="00154881"/>
    <w:rsid w:val="001935F2"/>
    <w:rsid w:val="00197A0E"/>
    <w:rsid w:val="00293DCE"/>
    <w:rsid w:val="00296E82"/>
    <w:rsid w:val="002B1108"/>
    <w:rsid w:val="00321ABE"/>
    <w:rsid w:val="003714C0"/>
    <w:rsid w:val="00487F10"/>
    <w:rsid w:val="0052297F"/>
    <w:rsid w:val="00565A50"/>
    <w:rsid w:val="00581C2F"/>
    <w:rsid w:val="005A1CB5"/>
    <w:rsid w:val="006728FD"/>
    <w:rsid w:val="007727A0"/>
    <w:rsid w:val="00780BA6"/>
    <w:rsid w:val="007A1C0A"/>
    <w:rsid w:val="007B71A4"/>
    <w:rsid w:val="00837639"/>
    <w:rsid w:val="0085158A"/>
    <w:rsid w:val="008A1252"/>
    <w:rsid w:val="008A2F64"/>
    <w:rsid w:val="008B148C"/>
    <w:rsid w:val="00904C9B"/>
    <w:rsid w:val="0092326A"/>
    <w:rsid w:val="009537FE"/>
    <w:rsid w:val="00992E98"/>
    <w:rsid w:val="009A4415"/>
    <w:rsid w:val="009A4591"/>
    <w:rsid w:val="009F2DFA"/>
    <w:rsid w:val="00A84000"/>
    <w:rsid w:val="00AD5360"/>
    <w:rsid w:val="00B31A8E"/>
    <w:rsid w:val="00B95670"/>
    <w:rsid w:val="00BA073A"/>
    <w:rsid w:val="00BA32A0"/>
    <w:rsid w:val="00BE0528"/>
    <w:rsid w:val="00C03B57"/>
    <w:rsid w:val="00C40B28"/>
    <w:rsid w:val="00CB3623"/>
    <w:rsid w:val="00CD0914"/>
    <w:rsid w:val="00CD6E1E"/>
    <w:rsid w:val="00CE3C2D"/>
    <w:rsid w:val="00E00B9D"/>
    <w:rsid w:val="00E86AD1"/>
    <w:rsid w:val="00F04CCD"/>
    <w:rsid w:val="00F33D3E"/>
    <w:rsid w:val="00F41620"/>
    <w:rsid w:val="00FB5C13"/>
    <w:rsid w:val="00FC02EB"/>
    <w:rsid w:val="00FC706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A84000"/>
    <w:rPr>
      <w:rFonts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analýza-vplyvov-na-podnikateľské-prostredie"/>
    <f:field ref="objsubject" par="" edit="true" text=""/>
    <f:field ref="objcreatedby" par="" text="Kozlíková, Barbora, Mgr."/>
    <f:field ref="objcreatedat" par="" text="5.4.2018 16:05:17"/>
    <f:field ref="objchangedby" par="" text="Administrator, System"/>
    <f:field ref="objmodifiedat" par="" text="5.4.2018 16:05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712</Words>
  <Characters>4064</Characters>
  <Application>Microsoft Office Word</Application>
  <DocSecurity>0</DocSecurity>
  <Lines>0</Lines>
  <Paragraphs>0</Paragraphs>
  <ScaleCrop>false</ScaleCrop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Kozlíková Barbora</cp:lastModifiedBy>
  <cp:revision>2</cp:revision>
  <dcterms:created xsi:type="dcterms:W3CDTF">2018-04-20T14:41:00Z</dcterms:created>
  <dcterms:modified xsi:type="dcterms:W3CDTF">2018-04-20T14:41:00Z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COO.2145.1000.3.2506928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• zákon č. 364/2004 Z. z. o vodách a o zmene zákona Slovenskej národnej rady č. 372/1990 Zb. o priestupkoch v znení neskorších predpisov (vodný zákon) v znení neskorších predpisov
• zákon č. 137/2010 Z. z. o ovzduší v znení neskorších predpisov
• zákon </vt:lpwstr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do 7. januára 2013 </vt:lpwstr>
  </property>
  <property fmtid="{D5CDD505-2E9C-101B-9397-08002B2CF9AE}" pid="20" name="FSC#SKEDITIONSLOVLEX@103.510:AttrStrListDocPropLehotaPrebratieSmernice">
    <vt:lpwstr>do 7. januára 2013 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články 192 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2010/75/EÚ z 24. novembra 2010 o priemyselných emisiách (integrovaná prevencia a kontrola znečisťovania životného prostredia) (Ú.v.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39/2013 Z. z. o integrovanej prevencii a kontrole znečisťovania životného prostredia a o zmene a doplnení niek</vt:lpwstr>
  </property>
  <property fmtid="{D5CDD505-2E9C-101B-9397-08002B2CF9AE}" pid="32" name="FSC#SKEDITIONSLOVLEX@103.510:AttrStrListDocPropTextPredklSpravy">
    <vt:lpwstr>&lt;p style="text-align: justify;"&gt;Ministerstvo životného prostredia Slovenskej republiky (ďalej len „ministerstvo“) predkladá do legislatívneho procesu návrh zákona, ktorým sa mení a dopĺňa zákon č. 39/2013 Z. z. o integrovanej prevencii a kontrole znečisťo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Barbora Kozlíková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republiky, Ministerstvo životného prostred</vt:lpwstr>
  </property>
  <property fmtid="{D5CDD505-2E9C-101B-9397-08002B2CF9AE}" pid="140" name="FSC#SKEDITIONSLOVLEX@103.510:rezortcislopredpis">
    <vt:lpwstr>3774/2018-9.1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align="center"&gt;&lt;strong&gt;Správa&amp;nbsp;o účasti verejnosti na tvorbe právnych Predpisov &lt;/strong&gt;&lt;/p&gt;&lt;p&gt;&amp;nbsp;&lt;/p&gt;&lt;p align="center"&gt;&amp;nbsp;&lt;/p&gt;&lt;p align="center"&gt;&amp;nbsp;&lt;/p&gt;&lt;p align="center"&gt;&amp;nbsp;&lt;/p&gt;&lt;p&gt;&amp;nbsp;&lt;/p&gt;&lt;table align="left" border="1" cellpadding="0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5. 4. 2018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