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BF6F62" w:rsidP="00BF6F62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 Zhrnutie vplyvov na ro</w:t>
      </w:r>
      <w:r w:rsidR="00BF6F6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zpočet verejnej správy v návrhu</w:t>
      </w: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C97CF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C97C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C97CF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D219E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C97C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C97CF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C97C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C97CFE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C97C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253517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253517" w:rsidRPr="0005276E" w:rsidP="00590C7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711B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253517" w:rsidRPr="0005276E" w:rsidP="00590C7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711B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253517" w:rsidRPr="0005276E" w:rsidP="00590C7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711B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253517" w:rsidRPr="0005276E" w:rsidP="00590C7C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711B5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z toho:</w:t>
            </w:r>
            <w:r w:rsidR="00B37F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7D5748" w:rsidP="00212894">
            <w:pPr>
              <w:bidi w:val="0"/>
              <w:spacing w:after="0" w:line="240" w:lineRule="auto"/>
              <w:ind w:left="2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E46499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464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E46499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464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11B58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47280" w:rsidRPr="007D5748" w:rsidP="00C4728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C47280" w:rsidRPr="0005276E" w:rsidP="00C47280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1 332 632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C47280" w:rsidRPr="00C47280" w:rsidP="009624F4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9624F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7 106 065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C47280" w:rsidRPr="00C47280" w:rsidP="009624F4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16043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</w:t>
            </w:r>
            <w:r w:rsidR="009624F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1 280 289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bottom"/>
          </w:tcPr>
          <w:p w:rsidR="00C47280" w:rsidRPr="00C47280" w:rsidP="009624F4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16043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</w:t>
            </w:r>
            <w:r w:rsidR="009624F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5 641 624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05276E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za </w:t>
            </w:r>
            <w:r w:rsidR="0005276E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MŠVVaŠ SR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067C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071101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1 </w:t>
            </w:r>
            <w:r w:rsidR="007067C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119</w:t>
            </w:r>
            <w:r w:rsidR="00071101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7067C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411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B5BA6" w:rsidP="000C2864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0B5BA6" w:rsidR="00F423A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5 968 677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B5BA6" w:rsidP="000C2864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0B5BA6" w:rsidR="0016043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9 474 190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B5BA6" w:rsidP="004D78F6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0B5BA6" w:rsidR="00160434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13 137 711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B3205" w:rsidRPr="00FA21F0" w:rsidP="00CB5B17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sk-SK"/>
              </w:rPr>
              <w:t>v tom: za MV SR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B3205" w:rsidRPr="007067C8" w:rsidP="00CB5B1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sk-SK"/>
              </w:rPr>
            </w:pPr>
            <w:r w:rsidRPr="007067C8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sk-SK"/>
              </w:rPr>
              <w:t>213 221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B3205" w:rsidRPr="000B5BA6" w:rsidP="00CB5B1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sk-SK"/>
              </w:rPr>
            </w:pPr>
            <w:r w:rsidRPr="000B5BA6" w:rsidR="00D219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sk-SK"/>
              </w:rPr>
              <w:t>1 137 388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B3205" w:rsidRPr="000B5BA6" w:rsidP="00CB5B1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sk-SK"/>
              </w:rPr>
            </w:pPr>
            <w:r w:rsidRPr="000B5BA6" w:rsidR="00D219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sk-SK"/>
              </w:rPr>
              <w:t>1 806 099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EB3205" w:rsidRPr="000B5BA6" w:rsidP="00CB5B17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sk-SK"/>
              </w:rPr>
            </w:pPr>
            <w:r w:rsidRPr="000B5BA6" w:rsidR="00D219EB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sk-SK"/>
              </w:rPr>
              <w:t>2 503 913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624F4" w:rsidRPr="007D5748" w:rsidP="00C47280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624F4" w:rsidRPr="0005276E" w:rsidP="00C47280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1 332 632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624F4" w:rsidRPr="00C47280" w:rsidP="005B108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7 106 065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624F4" w:rsidRPr="00C47280" w:rsidP="005B108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11 280 289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624F4" w:rsidRPr="00C47280" w:rsidP="005B108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15 641 624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624F4" w:rsidRPr="007D5748" w:rsidP="00C47280">
            <w:pPr>
              <w:bidi w:val="0"/>
              <w:spacing w:after="0" w:line="240" w:lineRule="auto"/>
              <w:ind w:firstLine="6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624F4" w:rsidRPr="0005276E" w:rsidP="00C47280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1 332 632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624F4" w:rsidRPr="00C47280" w:rsidP="005B108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7 106 065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624F4" w:rsidRPr="00C47280" w:rsidP="005B108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11 280 289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9624F4" w:rsidRPr="00C47280" w:rsidP="005B1083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15 641 624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="00B37F4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="00B37F4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Pr="007D574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spolufinancovanie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71101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71101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="004A04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71101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="004A04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71101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="004A04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071101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="004A04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B03F86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B03F86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="007067C8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B03F86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="007067C8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B03F86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="007067C8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B03F86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="007067C8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03F86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03F86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="007067C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03F86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="007067C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03F86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="007067C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03F86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="007067C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05276E" w:rsidP="002A6324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8D74C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05276E" w:rsidP="004D78F6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4D78F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</w:t>
            </w:r>
            <w:r w:rsidR="00D219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4D78F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610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05276E" w:rsidP="00AC374E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4D78F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7</w:t>
            </w:r>
            <w:r w:rsidR="00D219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4D78F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830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7D5748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4D78F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7</w:t>
            </w:r>
            <w:r w:rsidR="00D219E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4D78F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830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03F86" w:rsidRPr="007D5748" w:rsidP="00886601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za MŠVVaŠ SR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03F86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8D74C5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03F86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4D78F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</w:t>
            </w:r>
            <w:r w:rsidR="00D219EB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D78F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610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03F86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4D78F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</w:t>
            </w:r>
            <w:r w:rsidR="00D219EB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D78F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83</w:t>
            </w:r>
            <w:r w:rsidR="008D74C5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B03F86" w:rsidRPr="0005276E" w:rsidP="007D5748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4D78F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</w:t>
            </w:r>
            <w:r w:rsidR="00D219EB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4D78F6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83</w:t>
            </w:r>
            <w:r w:rsidR="008D74C5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BF6F62" w:rsidRPr="007D5748" w:rsidP="00BF6F6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BF6F62" w:rsidRPr="0005276E" w:rsidP="00BF6F6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BF6F62" w:rsidRPr="0005276E" w:rsidP="00BF6F6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BF6F62" w:rsidRPr="0005276E" w:rsidP="00BF6F6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BF6F62" w:rsidRPr="0005276E" w:rsidP="00BF6F6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5276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</w:tr>
      <w:tr>
        <w:tblPrEx>
          <w:tblW w:w="9729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DF15B5" w:rsidRPr="000B5BA6" w:rsidP="00BF6F62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0B5BA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DF15B5" w:rsidRPr="0005276E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1 332 632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bottom"/>
          </w:tcPr>
          <w:p w:rsidR="00DF15B5" w:rsidRPr="00C47280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7 106 065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bottom"/>
          </w:tcPr>
          <w:p w:rsidR="00DF15B5" w:rsidRPr="00C47280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11 280 289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bottom"/>
          </w:tcPr>
          <w:p w:rsidR="00DF15B5" w:rsidRPr="00C47280" w:rsidP="00045B7D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15 641 624</w:t>
            </w:r>
          </w:p>
        </w:tc>
      </w:tr>
    </w:tbl>
    <w:p w:rsidR="00160434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bookmarkEnd w:id="0"/>
    </w:p>
    <w:p w:rsidR="00160434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160434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160434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191AF2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160434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8434A7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160434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P="00282F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="00840684">
        <w:rPr>
          <w:rFonts w:ascii="Times New Roman" w:hAnsi="Times New Roman" w:cs="Times New Roman"/>
          <w:bCs/>
          <w:sz w:val="24"/>
          <w:szCs w:val="24"/>
          <w:lang w:eastAsia="sk-SK"/>
        </w:rPr>
        <w:t>Predpokladané zvýšené výdavky verejnej správy vyčíslené v tabuľke č. 1 budú kryté v rámci limitov pri príprave štátneho rozpočtu na roky 2019, 2020 a 2021 pre rozpočtovú kapitolu Ministerstva školstva, vedy, výskumu a športu SR</w:t>
      </w:r>
      <w:r w:rsidR="009F464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a Ministerstva vnútra SR</w:t>
      </w:r>
      <w:r w:rsidR="00840684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</w:p>
    <w:p w:rsidR="007D5748" w:rsidRPr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371142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135C5B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813D36">
        <w:rPr>
          <w:rFonts w:ascii="Times New Roman" w:hAnsi="Times New Roman" w:cs="Times New Roman"/>
          <w:sz w:val="24"/>
          <w:szCs w:val="24"/>
          <w:lang w:eastAsia="sk-SK"/>
        </w:rPr>
        <w:t xml:space="preserve">Novela zákona vychádza z Plánu legislatívnych úloh vlády Slovenskej republiky. </w:t>
      </w:r>
      <w:r w:rsidR="00D855AA">
        <w:rPr>
          <w:rFonts w:ascii="Times New Roman" w:hAnsi="Times New Roman" w:cs="Times New Roman"/>
          <w:sz w:val="24"/>
          <w:szCs w:val="24"/>
          <w:lang w:eastAsia="sk-SK"/>
        </w:rPr>
        <w:t>Cieľom novely zákona je zefektívniť vstup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stredných odborných škôl, </w:t>
      </w:r>
      <w:r w:rsidR="00D855AA">
        <w:rPr>
          <w:rFonts w:ascii="Times New Roman" w:hAnsi="Times New Roman" w:cs="Times New Roman"/>
          <w:sz w:val="24"/>
          <w:szCs w:val="24"/>
          <w:lang w:eastAsia="sk-SK"/>
        </w:rPr>
        <w:t>zamestnávateľov a predovšetkým malých a stredných po</w:t>
      </w:r>
      <w:r w:rsidR="00097632">
        <w:rPr>
          <w:rFonts w:ascii="Times New Roman" w:hAnsi="Times New Roman" w:cs="Times New Roman"/>
          <w:sz w:val="24"/>
          <w:szCs w:val="24"/>
          <w:lang w:eastAsia="sk-SK"/>
        </w:rPr>
        <w:t>dnikov, vrátane živnostníkov do </w:t>
      </w:r>
      <w:r w:rsidR="00D855AA">
        <w:rPr>
          <w:rFonts w:ascii="Times New Roman" w:hAnsi="Times New Roman" w:cs="Times New Roman"/>
          <w:sz w:val="24"/>
          <w:szCs w:val="24"/>
          <w:lang w:eastAsia="sk-SK"/>
        </w:rPr>
        <w:t>systému duálneho vzdelávania</w:t>
      </w:r>
      <w:r w:rsidR="00CB401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223080">
        <w:rPr>
          <w:rFonts w:ascii="Times New Roman" w:hAnsi="Times New Roman" w:cs="Times New Roman"/>
          <w:sz w:val="24"/>
          <w:szCs w:val="24"/>
          <w:lang w:eastAsia="sk-SK"/>
        </w:rPr>
        <w:t xml:space="preserve">(ďalej len „SDV“) </w:t>
      </w:r>
      <w:r w:rsidR="00D855AA">
        <w:rPr>
          <w:rFonts w:ascii="Times New Roman" w:hAnsi="Times New Roman" w:cs="Times New Roman"/>
          <w:sz w:val="24"/>
          <w:szCs w:val="24"/>
          <w:lang w:eastAsia="sk-SK"/>
        </w:rPr>
        <w:t>prostredníctvom znižovania administratívnej zá</w:t>
      </w:r>
      <w:r w:rsidR="00097632">
        <w:rPr>
          <w:rFonts w:ascii="Times New Roman" w:hAnsi="Times New Roman" w:cs="Times New Roman"/>
          <w:sz w:val="24"/>
          <w:szCs w:val="24"/>
          <w:lang w:eastAsia="sk-SK"/>
        </w:rPr>
        <w:t>ťaže pri </w:t>
      </w:r>
      <w:r w:rsidR="00D855AA">
        <w:rPr>
          <w:rFonts w:ascii="Times New Roman" w:hAnsi="Times New Roman" w:cs="Times New Roman"/>
          <w:sz w:val="24"/>
          <w:szCs w:val="24"/>
          <w:lang w:eastAsia="sk-SK"/>
        </w:rPr>
        <w:t>overovaní spôsobilosti zamestnávateľov poskytovať praktické vyučovanie v študijnom odbore alebo v učebnom odbore v</w:t>
      </w:r>
      <w:r w:rsidR="00223080">
        <w:rPr>
          <w:rFonts w:ascii="Times New Roman" w:hAnsi="Times New Roman" w:cs="Times New Roman"/>
          <w:sz w:val="24"/>
          <w:szCs w:val="24"/>
          <w:lang w:eastAsia="sk-SK"/>
        </w:rPr>
        <w:t xml:space="preserve"> SDV </w:t>
      </w:r>
      <w:r w:rsidR="00D855AA">
        <w:rPr>
          <w:rFonts w:ascii="Times New Roman" w:hAnsi="Times New Roman" w:cs="Times New Roman"/>
          <w:sz w:val="24"/>
          <w:szCs w:val="24"/>
          <w:lang w:eastAsia="sk-SK"/>
        </w:rPr>
        <w:t>a zároveň sa poskytuje možnosť živnostníkom a malým podnikom zabezpečiť vyšší podiel praktického vyu</w:t>
      </w:r>
      <w:r w:rsidR="00CB4012">
        <w:rPr>
          <w:rFonts w:ascii="Times New Roman" w:hAnsi="Times New Roman" w:cs="Times New Roman"/>
          <w:sz w:val="24"/>
          <w:szCs w:val="24"/>
          <w:lang w:eastAsia="sk-SK"/>
        </w:rPr>
        <w:t>čovania mimo svojho pracoviska.</w:t>
      </w:r>
    </w:p>
    <w:p w:rsidR="00DC6D94" w:rsidP="003A7667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A32B9D">
        <w:rPr>
          <w:rFonts w:ascii="Times New Roman" w:hAnsi="Times New Roman" w:cs="Times New Roman"/>
          <w:sz w:val="24"/>
          <w:szCs w:val="24"/>
          <w:lang w:eastAsia="sk-SK"/>
        </w:rPr>
        <w:t xml:space="preserve">Efektívnejší vstup </w:t>
      </w:r>
      <w:r w:rsidR="000A4E18">
        <w:rPr>
          <w:rFonts w:ascii="Times New Roman" w:hAnsi="Times New Roman" w:cs="Times New Roman"/>
          <w:sz w:val="24"/>
          <w:szCs w:val="24"/>
          <w:lang w:eastAsia="sk-SK"/>
        </w:rPr>
        <w:t xml:space="preserve">potenciálnych účastníkov do </w:t>
      </w:r>
      <w:r w:rsidR="00223080">
        <w:rPr>
          <w:rFonts w:ascii="Times New Roman" w:hAnsi="Times New Roman" w:cs="Times New Roman"/>
          <w:sz w:val="24"/>
          <w:szCs w:val="24"/>
          <w:lang w:eastAsia="sk-SK"/>
        </w:rPr>
        <w:t xml:space="preserve">SDV </w:t>
      </w:r>
      <w:r w:rsidR="000A4E18">
        <w:rPr>
          <w:rFonts w:ascii="Times New Roman" w:hAnsi="Times New Roman" w:cs="Times New Roman"/>
          <w:sz w:val="24"/>
          <w:szCs w:val="24"/>
          <w:lang w:eastAsia="sk-SK"/>
        </w:rPr>
        <w:t xml:space="preserve">a podporu existujúcich účastníkov </w:t>
      </w:r>
      <w:r w:rsidR="003F664C">
        <w:rPr>
          <w:rFonts w:ascii="Times New Roman" w:hAnsi="Times New Roman" w:cs="Times New Roman"/>
          <w:sz w:val="24"/>
          <w:szCs w:val="24"/>
          <w:lang w:eastAsia="sk-SK"/>
        </w:rPr>
        <w:t>zdôrazňujú rozšírené stimuly. Novým stimulo</w:t>
      </w:r>
      <w:r w:rsidR="00170267">
        <w:rPr>
          <w:rFonts w:ascii="Times New Roman" w:hAnsi="Times New Roman" w:cs="Times New Roman"/>
          <w:sz w:val="24"/>
          <w:szCs w:val="24"/>
          <w:lang w:eastAsia="sk-SK"/>
        </w:rPr>
        <w:t xml:space="preserve">m pre zapájanie sa </w:t>
      </w:r>
      <w:r w:rsidR="003F664C">
        <w:rPr>
          <w:rFonts w:ascii="Times New Roman" w:hAnsi="Times New Roman" w:cs="Times New Roman"/>
          <w:sz w:val="24"/>
          <w:szCs w:val="24"/>
          <w:lang w:eastAsia="sk-SK"/>
        </w:rPr>
        <w:t>stredných odborných škôl</w:t>
      </w:r>
      <w:r w:rsidR="00170267">
        <w:rPr>
          <w:rFonts w:ascii="Times New Roman" w:hAnsi="Times New Roman" w:cs="Times New Roman"/>
          <w:sz w:val="24"/>
          <w:szCs w:val="24"/>
          <w:lang w:eastAsia="sk-SK"/>
        </w:rPr>
        <w:t xml:space="preserve"> do </w:t>
      </w:r>
      <w:r w:rsidR="00223080">
        <w:rPr>
          <w:rFonts w:ascii="Times New Roman" w:hAnsi="Times New Roman" w:cs="Times New Roman"/>
          <w:sz w:val="24"/>
          <w:szCs w:val="24"/>
          <w:lang w:eastAsia="sk-SK"/>
        </w:rPr>
        <w:t xml:space="preserve">SDV </w:t>
      </w:r>
      <w:r w:rsidR="00170267">
        <w:rPr>
          <w:rFonts w:ascii="Times New Roman" w:hAnsi="Times New Roman" w:cs="Times New Roman"/>
          <w:sz w:val="24"/>
          <w:szCs w:val="24"/>
          <w:lang w:eastAsia="sk-SK"/>
        </w:rPr>
        <w:t>je zrušenie znižovania normatívneho objemu finančných prostriedkov prislúchajúcich na jedného žiaka na bežný kalendárny rok o sumu zodpovedajúcu mzdovému n</w:t>
      </w:r>
      <w:r w:rsidR="00CB4012">
        <w:rPr>
          <w:rFonts w:ascii="Times New Roman" w:hAnsi="Times New Roman" w:cs="Times New Roman"/>
          <w:sz w:val="24"/>
          <w:szCs w:val="24"/>
          <w:lang w:eastAsia="sk-SK"/>
        </w:rPr>
        <w:t>ormatívu na praktické vyučovanie</w:t>
      </w:r>
      <w:r w:rsidR="00170267">
        <w:rPr>
          <w:rFonts w:ascii="Times New Roman" w:hAnsi="Times New Roman" w:cs="Times New Roman"/>
          <w:sz w:val="24"/>
          <w:szCs w:val="24"/>
          <w:lang w:eastAsia="sk-SK"/>
        </w:rPr>
        <w:t xml:space="preserve"> žiaka podľa príslušnej kategórie strednej odbornej školy</w:t>
      </w:r>
      <w:r w:rsidR="00C2115D">
        <w:rPr>
          <w:rFonts w:ascii="Times New Roman" w:hAnsi="Times New Roman" w:cs="Times New Roman"/>
          <w:sz w:val="24"/>
          <w:szCs w:val="24"/>
          <w:lang w:eastAsia="sk-SK"/>
        </w:rPr>
        <w:t xml:space="preserve"> (ďalej len „SOŠ“)</w:t>
      </w:r>
      <w:r w:rsidR="00170267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387503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C00E92" w:rsidR="00DB0C0F">
        <w:rPr>
          <w:rFonts w:ascii="Times New Roman" w:hAnsi="Times New Roman" w:cs="Times New Roman"/>
          <w:sz w:val="24"/>
          <w:szCs w:val="24"/>
          <w:lang w:eastAsia="sk-SK"/>
        </w:rPr>
        <w:t>Nie zanedbateľným stimul</w:t>
      </w:r>
      <w:r w:rsidRPr="00C00E92" w:rsidR="00C00E92">
        <w:rPr>
          <w:rFonts w:ascii="Times New Roman" w:hAnsi="Times New Roman" w:cs="Times New Roman"/>
          <w:sz w:val="24"/>
          <w:szCs w:val="24"/>
          <w:lang w:eastAsia="sk-SK"/>
        </w:rPr>
        <w:t>om</w:t>
      </w:r>
      <w:r w:rsidRPr="00C00E92" w:rsidR="00DB0C0F">
        <w:rPr>
          <w:rFonts w:ascii="Times New Roman" w:hAnsi="Times New Roman" w:cs="Times New Roman"/>
          <w:sz w:val="24"/>
          <w:szCs w:val="24"/>
          <w:lang w:eastAsia="sk-SK"/>
        </w:rPr>
        <w:t xml:space="preserve"> pre </w:t>
      </w:r>
      <w:r w:rsidRPr="00C00E92" w:rsidR="00533CEF">
        <w:rPr>
          <w:rFonts w:ascii="Times New Roman" w:hAnsi="Times New Roman" w:cs="Times New Roman"/>
          <w:sz w:val="24"/>
          <w:szCs w:val="24"/>
          <w:lang w:eastAsia="sk-SK"/>
        </w:rPr>
        <w:t xml:space="preserve">zamestnávateľov </w:t>
      </w:r>
      <w:r w:rsidRPr="00C00E92" w:rsidR="00C00E92">
        <w:rPr>
          <w:rFonts w:ascii="Times New Roman" w:hAnsi="Times New Roman" w:cs="Times New Roman"/>
          <w:sz w:val="24"/>
          <w:szCs w:val="24"/>
          <w:lang w:eastAsia="sk-SK"/>
        </w:rPr>
        <w:t xml:space="preserve">je príspevok na kompenzáciu časti nákladov na realizáciu duálneho vzdelávania. </w:t>
      </w:r>
    </w:p>
    <w:p w:rsidR="00D855AA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Novela zákona ďalej reaguje na aplikačnú prax v oblasti uzatvárania zmlúv o duálnom vzdelávaní a učebných zmlúv, zavádza nový inštitút hlavného inštruktora, rušia sa vzorové učebné plány a vzorové učebné osnovy a pomery praktické</w:t>
      </w:r>
      <w:r w:rsidR="00B02B6F">
        <w:rPr>
          <w:rFonts w:ascii="Times New Roman" w:hAnsi="Times New Roman" w:cs="Times New Roman"/>
          <w:sz w:val="24"/>
          <w:szCs w:val="24"/>
          <w:lang w:eastAsia="sk-SK"/>
        </w:rPr>
        <w:t>ho vyučovania, ktoré sa budú po 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novom určovať v štátnych vzdelávacích programoch. Zavádza sa inštitút podnikovej školy a upravuje sa postup pri určovaní počtu tried prvého ročníka stredných škôl pre prijímacie konanie pre nasledujúci školský rok. </w:t>
      </w:r>
    </w:p>
    <w:p w:rsidR="00EF4552" w:rsidRPr="00EF4552" w:rsidP="00EF455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F4552">
        <w:rPr>
          <w:rFonts w:ascii="Times New Roman" w:hAnsi="Times New Roman" w:cs="Times New Roman"/>
          <w:sz w:val="24"/>
          <w:szCs w:val="24"/>
          <w:lang w:eastAsia="sk-SK"/>
        </w:rPr>
        <w:t xml:space="preserve">V rámci systému koordinácie odborného vzdelávania a prípravy ako aj vo vzťahu ku kompetencii samosprávnych krajov určovať najvyšší počet žiakov prvého ročníka stredných škôl pre jednotlivé študijné odbory a jednotlivé učebné odbory pre prijímacie konanie v príslušnom školskom  roku sa upravuje kompetencia Ústredia práce, sociálnych vecí a rodiny SR. </w:t>
      </w:r>
    </w:p>
    <w:p w:rsidR="00EF4552" w:rsidRPr="00EF4552" w:rsidP="00EF455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F4552">
        <w:rPr>
          <w:rFonts w:ascii="Times New Roman" w:hAnsi="Times New Roman" w:cs="Times New Roman"/>
          <w:sz w:val="24"/>
          <w:szCs w:val="24"/>
          <w:lang w:eastAsia="sk-SK"/>
        </w:rPr>
        <w:t>Ústredie práce, sociálnych vecí a rodiny SR malo podľa pôvodného znenia zákona o odbornom vzdelávaní a príprave zverejňovať informáciu o uplatnení absolventov stredných škôl na trhu práce v rámci pravidelných prognóz vývoja na trhu práce podľa jednotlivých krajov, stredných škôl, študijných odborov a učebných odborov a vykonávaného zamestnania. Táto kompetencia sa na základe zmien v zákone č. 5/2004 Z. z. o službách v zamestnanosti a o zmene a doplnení niektorých zákonov v znení neskorších predpisov presunula priamo pod gesciu Ministerstva práce, sociálnych vecí a rodiny SR</w:t>
      </w:r>
      <w:r w:rsidR="006F1129">
        <w:rPr>
          <w:rFonts w:ascii="Times New Roman" w:hAnsi="Times New Roman" w:cs="Times New Roman"/>
          <w:sz w:val="24"/>
          <w:szCs w:val="24"/>
          <w:lang w:eastAsia="sk-SK"/>
        </w:rPr>
        <w:t xml:space="preserve"> (ďalej len „MPSV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R SR“), </w:t>
      </w:r>
      <w:r w:rsidRPr="00EF455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EF4552" w:rsidP="00AC3C6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A322B">
        <w:rPr>
          <w:rFonts w:ascii="Times New Roman" w:hAnsi="Times New Roman" w:cs="Times New Roman"/>
          <w:sz w:val="24"/>
          <w:szCs w:val="24"/>
          <w:lang w:eastAsia="sk-SK"/>
        </w:rPr>
        <w:t>Zároveň sa rezortu práce ukladá povinnosť v spolupráci so stavovskými organizáciami a profesijnými organizáciami zverejniť do 30. apríla príslušného kalendárneho roka dodatočnú potrebu zamestnancov na trhu práce v členení</w:t>
      </w:r>
      <w:r w:rsidRPr="00BA322B" w:rsidR="002854B9">
        <w:rPr>
          <w:rFonts w:ascii="Times New Roman" w:hAnsi="Times New Roman" w:cs="Times New Roman"/>
          <w:sz w:val="24"/>
          <w:szCs w:val="24"/>
          <w:lang w:eastAsia="sk-SK"/>
        </w:rPr>
        <w:t xml:space="preserve">  na príbuzné študijné odbory a </w:t>
      </w:r>
      <w:r w:rsidRPr="00BA322B">
        <w:rPr>
          <w:rFonts w:ascii="Times New Roman" w:hAnsi="Times New Roman" w:cs="Times New Roman"/>
          <w:sz w:val="24"/>
          <w:szCs w:val="24"/>
          <w:lang w:eastAsia="sk-SK"/>
        </w:rPr>
        <w:t>príbuzné učebné odbory. Táto informácia je relevantná pre vyššie uvedený plánovací proces výkonov stredných škôl, ktorý bude na základe splnomocňovacieho ustanovenia ďalej rozpracovaný vo všeobe</w:t>
      </w:r>
      <w:r w:rsidR="00BF6F62">
        <w:rPr>
          <w:rFonts w:ascii="Times New Roman" w:hAnsi="Times New Roman" w:cs="Times New Roman"/>
          <w:sz w:val="24"/>
          <w:szCs w:val="24"/>
          <w:lang w:eastAsia="sk-SK"/>
        </w:rPr>
        <w:t>cne záväznom právnom predpise.</w:t>
      </w:r>
    </w:p>
    <w:p w:rsidR="007D5748" w:rsidRPr="007D5748" w:rsidP="00E07882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D855AA">
        <w:rPr>
          <w:rFonts w:ascii="Times New Roman" w:hAnsi="Times New Roman" w:cs="Times New Roman"/>
          <w:sz w:val="24"/>
          <w:szCs w:val="24"/>
          <w:lang w:eastAsia="sk-SK"/>
        </w:rPr>
        <w:t>Návrh bude implementovať Ministerstvo školstva, vedy, výskumu a športu Slovenskej republiky</w:t>
      </w:r>
      <w:r w:rsidR="007E5DD3">
        <w:rPr>
          <w:rFonts w:ascii="Times New Roman" w:hAnsi="Times New Roman" w:cs="Times New Roman"/>
          <w:sz w:val="24"/>
          <w:szCs w:val="24"/>
          <w:lang w:eastAsia="sk-SK"/>
        </w:rPr>
        <w:t xml:space="preserve"> (ďalej len „MŠVVaŠ SR“)</w:t>
      </w:r>
      <w:r w:rsidR="00D855AA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BA322B" w:rsidR="0099385A">
        <w:rPr>
          <w:rFonts w:ascii="Times New Roman" w:hAnsi="Times New Roman" w:cs="Times New Roman"/>
          <w:sz w:val="24"/>
          <w:szCs w:val="24"/>
          <w:lang w:eastAsia="sk-SK"/>
        </w:rPr>
        <w:t>Ministerstvo vnútra</w:t>
      </w:r>
      <w:r w:rsidRPr="00BA322B" w:rsidR="00CB499C">
        <w:rPr>
          <w:rFonts w:ascii="Times New Roman" w:hAnsi="Times New Roman" w:cs="Times New Roman"/>
          <w:sz w:val="24"/>
          <w:szCs w:val="24"/>
          <w:lang w:eastAsia="sk-SK"/>
        </w:rPr>
        <w:t xml:space="preserve"> Slovenskej republiky</w:t>
      </w:r>
      <w:r w:rsidRPr="00BA322B" w:rsidR="001F1002">
        <w:rPr>
          <w:rFonts w:ascii="Times New Roman" w:hAnsi="Times New Roman" w:cs="Times New Roman"/>
          <w:sz w:val="24"/>
          <w:szCs w:val="24"/>
          <w:lang w:eastAsia="sk-SK"/>
        </w:rPr>
        <w:t xml:space="preserve"> (ďalej len „MV SR“)</w:t>
      </w:r>
      <w:r w:rsidRPr="00BA322B" w:rsidR="0099385A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Pr="00BA322B" w:rsidR="001D0931">
        <w:rPr>
          <w:rFonts w:ascii="Times New Roman" w:hAnsi="Times New Roman" w:cs="Times New Roman"/>
          <w:sz w:val="24"/>
          <w:szCs w:val="24"/>
          <w:lang w:eastAsia="sk-SK"/>
        </w:rPr>
        <w:t>M</w:t>
      </w:r>
      <w:r w:rsidR="00BF6F62">
        <w:rPr>
          <w:rFonts w:ascii="Times New Roman" w:hAnsi="Times New Roman" w:cs="Times New Roman"/>
          <w:sz w:val="24"/>
          <w:szCs w:val="24"/>
          <w:lang w:eastAsia="sk-SK"/>
        </w:rPr>
        <w:t>PSV</w:t>
      </w:r>
      <w:r w:rsidRPr="00BA322B" w:rsidR="00BA322B">
        <w:rPr>
          <w:rFonts w:ascii="Times New Roman" w:hAnsi="Times New Roman" w:cs="Times New Roman"/>
          <w:sz w:val="24"/>
          <w:szCs w:val="24"/>
          <w:lang w:eastAsia="sk-SK"/>
        </w:rPr>
        <w:t>R SR,</w:t>
      </w:r>
      <w:r w:rsidR="001D093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D855AA">
        <w:rPr>
          <w:rFonts w:ascii="Times New Roman" w:hAnsi="Times New Roman" w:cs="Times New Roman"/>
          <w:sz w:val="24"/>
          <w:szCs w:val="24"/>
          <w:lang w:eastAsia="sk-SK"/>
        </w:rPr>
        <w:t>Štátny inštitút odborného vzdelávania</w:t>
      </w:r>
      <w:r w:rsidR="001F1002">
        <w:rPr>
          <w:rFonts w:ascii="Times New Roman" w:hAnsi="Times New Roman" w:cs="Times New Roman"/>
          <w:sz w:val="24"/>
          <w:szCs w:val="24"/>
          <w:lang w:eastAsia="sk-SK"/>
        </w:rPr>
        <w:t xml:space="preserve"> (ďalej len „ŠIOV“)</w:t>
      </w:r>
      <w:r w:rsidR="00D855AA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E07882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E07882" w:rsidR="00E07882">
        <w:rPr>
          <w:rFonts w:ascii="Times New Roman" w:hAnsi="Times New Roman" w:cs="Times New Roman"/>
          <w:sz w:val="24"/>
          <w:szCs w:val="24"/>
          <w:lang w:eastAsia="sk-SK"/>
        </w:rPr>
        <w:t>zriaďovatelia stredných škôl, stavovské organizácie, profesijné organizácie, podnikateľská sféra,</w:t>
      </w:r>
      <w:r w:rsidR="00E07882">
        <w:rPr>
          <w:rFonts w:ascii="Times New Roman" w:hAnsi="Times New Roman" w:cs="Times New Roman"/>
          <w:sz w:val="24"/>
          <w:szCs w:val="24"/>
          <w:lang w:eastAsia="sk-SK"/>
        </w:rPr>
        <w:t xml:space="preserve"> stredné školy.</w:t>
      </w:r>
      <w:r w:rsidR="0009588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BF6F62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="00B37F4B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="00B37F4B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>zmena v nároku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="00B37F4B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>nová služba alebo nariadenie (alebo ich zrušenie)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0910E3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="00B37F4B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>kombinovaný návrh</w:t>
      </w:r>
    </w:p>
    <w:p w:rsidR="001317D5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="00B37F4B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AC3C68">
        <w:rPr>
          <w:rFonts w:ascii="Times New Roman" w:hAnsi="Times New Roman" w:cs="Times New Roman"/>
          <w:sz w:val="24"/>
          <w:szCs w:val="24"/>
          <w:lang w:eastAsia="sk-SK"/>
        </w:rPr>
        <w:t>iné</w:t>
      </w:r>
    </w:p>
    <w:p w:rsidR="00AC3C6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B02B6F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B02B6F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B02B6F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349B9" w:rsidP="00B349B9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A61FEF">
        <w:rPr>
          <w:rFonts w:ascii="Times New Roman" w:hAnsi="Times New Roman" w:cs="Times New Roman"/>
          <w:sz w:val="24"/>
          <w:szCs w:val="24"/>
          <w:lang w:eastAsia="sk-SK"/>
        </w:rPr>
        <w:t xml:space="preserve">Hlavným determinantom vplyvov návrhu na rozpočet verejnej správy sú počty žiakov </w:t>
      </w:r>
      <w:r w:rsidR="00CB4012">
        <w:rPr>
          <w:rFonts w:ascii="Times New Roman" w:hAnsi="Times New Roman" w:cs="Times New Roman"/>
          <w:sz w:val="24"/>
          <w:szCs w:val="24"/>
          <w:lang w:eastAsia="sk-SK"/>
        </w:rPr>
        <w:t xml:space="preserve">študijných odborov s praktickým vyučovaním formou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odborného výcviku a učebných odborov </w:t>
      </w:r>
      <w:r w:rsidR="00A61FEF">
        <w:rPr>
          <w:rFonts w:ascii="Times New Roman" w:hAnsi="Times New Roman" w:cs="Times New Roman"/>
          <w:sz w:val="24"/>
          <w:szCs w:val="24"/>
          <w:lang w:eastAsia="sk-SK"/>
        </w:rPr>
        <w:t>stredných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odborných škôl, ktorí sa už zapojili do </w:t>
      </w:r>
      <w:r w:rsidR="00223080">
        <w:rPr>
          <w:rFonts w:ascii="Times New Roman" w:hAnsi="Times New Roman" w:cs="Times New Roman"/>
          <w:sz w:val="24"/>
          <w:szCs w:val="24"/>
          <w:lang w:eastAsia="sk-SK"/>
        </w:rPr>
        <w:t>SDV</w:t>
      </w:r>
      <w:r w:rsidR="00647170">
        <w:rPr>
          <w:rFonts w:ascii="Times New Roman" w:hAnsi="Times New Roman" w:cs="Times New Roman"/>
          <w:sz w:val="24"/>
          <w:szCs w:val="24"/>
          <w:lang w:eastAsia="sk-SK"/>
        </w:rPr>
        <w:t xml:space="preserve"> na </w:t>
      </w:r>
      <w:r w:rsidR="00A61FEF">
        <w:rPr>
          <w:rFonts w:ascii="Times New Roman" w:hAnsi="Times New Roman" w:cs="Times New Roman"/>
          <w:sz w:val="24"/>
          <w:szCs w:val="24"/>
          <w:lang w:eastAsia="sk-SK"/>
        </w:rPr>
        <w:t>základe učebnej zmluvy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v školských rokoch 2015/2016 až 2017/2018 a predpokladaného počtu žiakov ktorý budú vstupovať do </w:t>
      </w:r>
      <w:r w:rsidR="001C7D8B">
        <w:rPr>
          <w:rFonts w:ascii="Times New Roman" w:hAnsi="Times New Roman" w:cs="Times New Roman"/>
          <w:sz w:val="24"/>
          <w:szCs w:val="24"/>
          <w:lang w:eastAsia="sk-SK"/>
        </w:rPr>
        <w:t>SDV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v ďalších školských rokoch.</w:t>
      </w:r>
    </w:p>
    <w:p w:rsidR="00452B0F" w:rsidP="00CB4012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333C0F">
        <w:rPr>
          <w:rFonts w:ascii="Times New Roman" w:hAnsi="Times New Roman" w:cs="Times New Roman"/>
          <w:sz w:val="24"/>
          <w:szCs w:val="24"/>
          <w:lang w:eastAsia="sk-SK"/>
        </w:rPr>
        <w:t xml:space="preserve">Počet žiakov v jednotlivých ročníkoch má vplyv na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príjmy a </w:t>
      </w:r>
      <w:r w:rsidR="00333C0F">
        <w:rPr>
          <w:rFonts w:ascii="Times New Roman" w:hAnsi="Times New Roman" w:cs="Times New Roman"/>
          <w:sz w:val="24"/>
          <w:szCs w:val="24"/>
          <w:lang w:eastAsia="sk-SK"/>
        </w:rPr>
        <w:t>výdavky rozpočtu verejnej správy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v súvislosti so zrušením znižovania normatívneho objemu finančných prostriedkov prislúchajúcich na jedného žiaka na bežný kalendárny rok o sumu zodpovedajúcu mzdovému normatívu na praktické vyučovania žiaka podľa príslušnej kategórie </w:t>
      </w:r>
      <w:r w:rsidR="00C2115D">
        <w:rPr>
          <w:rFonts w:ascii="Times New Roman" w:hAnsi="Times New Roman" w:cs="Times New Roman"/>
          <w:sz w:val="24"/>
          <w:szCs w:val="24"/>
          <w:lang w:eastAsia="sk-SK"/>
        </w:rPr>
        <w:t>SOŠ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a ďalej vo forme daňových úľav poskytovaných zamestnávateľom zapojeným do </w:t>
      </w:r>
      <w:r w:rsidR="00900CB8">
        <w:rPr>
          <w:rFonts w:ascii="Times New Roman" w:hAnsi="Times New Roman" w:cs="Times New Roman"/>
          <w:sz w:val="24"/>
          <w:szCs w:val="24"/>
          <w:lang w:eastAsia="sk-SK"/>
        </w:rPr>
        <w:t xml:space="preserve">SDV </w:t>
      </w:r>
      <w:r w:rsidR="00B349B9">
        <w:rPr>
          <w:rFonts w:ascii="Times New Roman" w:hAnsi="Times New Roman" w:cs="Times New Roman"/>
          <w:sz w:val="24"/>
          <w:szCs w:val="24"/>
          <w:lang w:eastAsia="sk-SK"/>
        </w:rPr>
        <w:t>a zamestnávateľom</w:t>
      </w:r>
      <w:r w:rsidR="00DC0260">
        <w:rPr>
          <w:rFonts w:ascii="Times New Roman" w:hAnsi="Times New Roman" w:cs="Times New Roman"/>
          <w:sz w:val="24"/>
          <w:szCs w:val="24"/>
          <w:lang w:eastAsia="sk-SK"/>
        </w:rPr>
        <w:t xml:space="preserve"> poskytujúcich praktické</w:t>
      </w:r>
      <w:r w:rsidR="00B349B9">
        <w:rPr>
          <w:rFonts w:ascii="Times New Roman" w:hAnsi="Times New Roman" w:cs="Times New Roman"/>
          <w:sz w:val="24"/>
          <w:szCs w:val="24"/>
          <w:lang w:eastAsia="sk-SK"/>
        </w:rPr>
        <w:t xml:space="preserve"> vyučovanie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7D5748" w:rsidRPr="00B02B6F" w:rsidP="00CB4012">
      <w:pPr>
        <w:bidi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354C57">
        <w:rPr>
          <w:rFonts w:ascii="Times New Roman" w:hAnsi="Times New Roman" w:cs="Times New Roman"/>
          <w:sz w:val="24"/>
          <w:szCs w:val="24"/>
          <w:lang w:eastAsia="sk-SK"/>
        </w:rPr>
        <w:t xml:space="preserve">Účinnosť novely zákona č. 61/2015 </w:t>
      </w:r>
      <w:r w:rsidR="00CB4012">
        <w:rPr>
          <w:rFonts w:ascii="Times New Roman" w:hAnsi="Times New Roman" w:cs="Times New Roman"/>
          <w:sz w:val="24"/>
          <w:szCs w:val="24"/>
          <w:lang w:eastAsia="sk-SK"/>
        </w:rPr>
        <w:t xml:space="preserve">Z. z. </w:t>
      </w:r>
      <w:r w:rsidR="00354C57">
        <w:rPr>
          <w:rFonts w:ascii="Times New Roman" w:hAnsi="Times New Roman" w:cs="Times New Roman"/>
          <w:sz w:val="24"/>
          <w:szCs w:val="24"/>
          <w:lang w:eastAsia="sk-SK"/>
        </w:rPr>
        <w:t>o odbornom vzdelávaní a príprave</w:t>
      </w:r>
      <w:r w:rsidR="00B37F4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354C57">
        <w:rPr>
          <w:rFonts w:ascii="Times New Roman" w:hAnsi="Times New Roman" w:cs="Times New Roman"/>
          <w:sz w:val="24"/>
          <w:szCs w:val="24"/>
          <w:lang w:eastAsia="sk-SK"/>
        </w:rPr>
        <w:t xml:space="preserve">a o zmene a doplnení niektorých zákonov sa predpokladá od 1. septembra 2018, kedy </w:t>
      </w:r>
      <w:r w:rsidR="00B349B9">
        <w:rPr>
          <w:rFonts w:ascii="Times New Roman" w:hAnsi="Times New Roman" w:cs="Times New Roman"/>
          <w:sz w:val="24"/>
          <w:szCs w:val="24"/>
          <w:lang w:eastAsia="sk-SK"/>
        </w:rPr>
        <w:t>sa predpokladá, že v </w:t>
      </w:r>
      <w:r w:rsidR="00580CEE">
        <w:rPr>
          <w:rFonts w:ascii="Times New Roman" w:hAnsi="Times New Roman" w:cs="Times New Roman"/>
          <w:sz w:val="24"/>
          <w:szCs w:val="24"/>
          <w:lang w:eastAsia="sk-SK"/>
        </w:rPr>
        <w:t>SDV</w:t>
      </w:r>
      <w:r w:rsidR="00B349B9">
        <w:rPr>
          <w:rFonts w:ascii="Times New Roman" w:hAnsi="Times New Roman" w:cs="Times New Roman"/>
          <w:sz w:val="24"/>
          <w:szCs w:val="24"/>
          <w:lang w:eastAsia="sk-SK"/>
        </w:rPr>
        <w:t xml:space="preserve"> bude zapojených 5</w:t>
      </w:r>
      <w:r w:rsidR="007A0225">
        <w:rPr>
          <w:rFonts w:ascii="Times New Roman" w:hAnsi="Times New Roman" w:cs="Times New Roman"/>
          <w:sz w:val="24"/>
          <w:szCs w:val="24"/>
          <w:lang w:eastAsia="sk-SK"/>
        </w:rPr>
        <w:t> 74</w:t>
      </w:r>
      <w:r w:rsidR="00DC0260">
        <w:rPr>
          <w:rFonts w:ascii="Times New Roman" w:hAnsi="Times New Roman" w:cs="Times New Roman"/>
          <w:sz w:val="24"/>
          <w:szCs w:val="24"/>
          <w:lang w:eastAsia="sk-SK"/>
        </w:rPr>
        <w:t>1</w:t>
      </w:r>
      <w:r w:rsidR="007A0225">
        <w:rPr>
          <w:rFonts w:ascii="Times New Roman" w:hAnsi="Times New Roman" w:cs="Times New Roman"/>
          <w:sz w:val="24"/>
          <w:szCs w:val="24"/>
          <w:lang w:eastAsia="sk-SK"/>
        </w:rPr>
        <w:t xml:space="preserve"> žiakov. </w:t>
      </w:r>
    </w:p>
    <w:p w:rsidR="007D5748" w:rsidRPr="00B02B6F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B02B6F">
        <w:rPr>
          <w:rFonts w:ascii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B02B6F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2B6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B02B6F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2B6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B02B6F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B02B6F" w:rsidP="00B02B6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02B6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B02B6F" w:rsidP="00B02B6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02B6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B02B6F" w:rsidP="00B02B6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02B6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B02B6F" w:rsidP="00B02B6F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02B6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96D1C" w:rsidRPr="00B02B6F" w:rsidP="00B02B6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Počet žiakov zúčastnených na duálnom vzdelávaní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6D1C" w:rsidRPr="00B02B6F" w:rsidP="00272E62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B349B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5 7</w:t>
            </w:r>
            <w:r w:rsidR="00272E62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6D1C" w:rsidRPr="00B02B6F" w:rsidP="00EB6D1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10 102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6D1C" w:rsidRPr="00B02B6F" w:rsidP="00EB6D1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14 200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6D1C" w:rsidRPr="00B02B6F" w:rsidP="00EB6D1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16 600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0CEE" w:rsidP="00580CE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B96D1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Počet žiakov zapojených do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SDV</w:t>
            </w:r>
          </w:p>
          <w:p w:rsidR="00B96D1C" w:rsidRPr="00B02B6F" w:rsidP="00580CE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1. ročník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6D1C" w:rsidRPr="00B02B6F" w:rsidP="00EB6D1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6D1C" w:rsidRPr="00B02B6F" w:rsidP="00EB6D1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6D1C" w:rsidRPr="00B02B6F" w:rsidP="00EB6D1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6D1C" w:rsidRPr="00B02B6F" w:rsidP="00EB6D1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5 000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0CEE" w:rsidP="00580CE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B96D1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Počet žiakov zapojených do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SDV</w:t>
            </w:r>
          </w:p>
          <w:p w:rsidR="00B96D1C" w:rsidRPr="00B02B6F" w:rsidP="00580CE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2. ročník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6D1C" w:rsidRPr="00D52548" w:rsidP="00D465D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52548" w:rsidR="00B349B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1 3</w:t>
            </w:r>
            <w:r w:rsidRPr="00D52548" w:rsidR="00D465D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6D1C" w:rsidRPr="00B02B6F" w:rsidP="00EB6D1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6D1C" w:rsidRPr="00B02B6F" w:rsidP="00EB6D1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6D1C" w:rsidRPr="00B02B6F" w:rsidP="00EB6D1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5 000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0CEE" w:rsidP="00580CE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B96D1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Počet žiakov zapojených do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SDV</w:t>
            </w:r>
          </w:p>
          <w:p w:rsidR="00B96D1C" w:rsidRPr="00B02B6F" w:rsidP="00580CE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3. ročník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6D1C" w:rsidRPr="00D52548" w:rsidP="00EB6D1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525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6D1C" w:rsidRPr="00B02B6F" w:rsidP="00EB6D1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1 342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6D1C" w:rsidRPr="00B02B6F" w:rsidP="00EB6D1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6D1C" w:rsidRPr="00B02B6F" w:rsidP="00EB6D1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5 000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80CEE" w:rsidP="00580CE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B96D1C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Počet žiakov zapojených do </w:t>
            </w: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SDV</w:t>
            </w:r>
          </w:p>
          <w:p w:rsidR="00B96D1C" w:rsidRPr="00B02B6F" w:rsidP="00580CE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4. ročník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6D1C" w:rsidRPr="00D52548" w:rsidP="00D465D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D52548" w:rsidR="00B349B9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</w:t>
            </w:r>
            <w:r w:rsidRPr="00D52548" w:rsidR="00D465D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6D1C" w:rsidRPr="00B02B6F" w:rsidP="00EB6D1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6D1C" w:rsidRPr="00B02B6F" w:rsidP="00EB6D1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96D1C" w:rsidRPr="00B02B6F" w:rsidP="00EB6D1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1 600</w:t>
            </w:r>
          </w:p>
        </w:tc>
      </w:tr>
    </w:tbl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E1FA6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40427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40427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434A7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434A7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40427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E1FA6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A5CF7" w:rsidRPr="00102963" w:rsidP="00FA5CF7">
      <w:pPr>
        <w:bidi w:val="0"/>
        <w:spacing w:after="0" w:line="240" w:lineRule="auto"/>
        <w:rPr>
          <w:rFonts w:ascii="Times New Roman" w:hAnsi="Times New Roman" w:cs="Verdana"/>
          <w:b/>
          <w:bCs/>
          <w:iCs/>
          <w:sz w:val="24"/>
          <w:szCs w:val="24"/>
        </w:rPr>
      </w:pPr>
      <w:r w:rsidRPr="007D5748">
        <w:rPr>
          <w:rFonts w:ascii="Times New Roman" w:hAnsi="Times New Roman" w:cs="Verdana"/>
          <w:b/>
          <w:bCs/>
          <w:iCs/>
          <w:sz w:val="24"/>
          <w:szCs w:val="24"/>
        </w:rPr>
        <w:t xml:space="preserve">2.2.4. Výpočty vplyvov na rozpočet verejnej </w:t>
      </w:r>
      <w:r w:rsidRPr="00102963">
        <w:rPr>
          <w:rFonts w:ascii="Times New Roman" w:hAnsi="Times New Roman" w:cs="Verdana"/>
          <w:b/>
          <w:bCs/>
          <w:iCs/>
          <w:sz w:val="24"/>
          <w:szCs w:val="24"/>
        </w:rPr>
        <w:t>správy</w:t>
      </w:r>
    </w:p>
    <w:p w:rsidR="00FA5CF7" w:rsidRPr="007D5748" w:rsidP="00FA5CF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FA5CF7" w:rsidP="00FA5CF7">
      <w:pPr>
        <w:bidi w:val="0"/>
        <w:spacing w:after="0" w:line="240" w:lineRule="auto"/>
        <w:rPr>
          <w:rFonts w:ascii="Times New Roman" w:hAnsi="Times New Roman" w:cs="Verdana"/>
          <w:b/>
          <w:bCs/>
          <w:i/>
          <w:iCs/>
          <w:sz w:val="24"/>
          <w:szCs w:val="24"/>
        </w:rPr>
      </w:pPr>
      <w:r w:rsidRPr="007D5748">
        <w:rPr>
          <w:rFonts w:ascii="Times New Roman" w:hAnsi="Times New Roman" w:cs="Verdana"/>
          <w:b/>
          <w:bCs/>
          <w:i/>
          <w:iCs/>
          <w:sz w:val="24"/>
          <w:szCs w:val="24"/>
        </w:rPr>
        <w:t>Výpočet vplyvu na</w:t>
      </w:r>
      <w:r>
        <w:rPr>
          <w:rFonts w:ascii="Times New Roman" w:hAnsi="Times New Roman" w:cs="Verdana"/>
          <w:b/>
          <w:bCs/>
          <w:i/>
          <w:iCs/>
          <w:sz w:val="24"/>
          <w:szCs w:val="24"/>
        </w:rPr>
        <w:t xml:space="preserve"> daňové</w:t>
      </w:r>
      <w:r w:rsidRPr="007D5748">
        <w:rPr>
          <w:rFonts w:ascii="Times New Roman" w:hAnsi="Times New Roman" w:cs="Verdana"/>
          <w:b/>
          <w:bCs/>
          <w:i/>
          <w:iCs/>
          <w:sz w:val="24"/>
          <w:szCs w:val="24"/>
        </w:rPr>
        <w:t xml:space="preserve"> príjmy</w:t>
      </w:r>
      <w:r>
        <w:rPr>
          <w:rFonts w:ascii="Times New Roman" w:hAnsi="Times New Roman" w:cs="Verdana"/>
          <w:b/>
          <w:bCs/>
          <w:i/>
          <w:iCs/>
          <w:sz w:val="24"/>
          <w:szCs w:val="24"/>
        </w:rPr>
        <w:t>:</w:t>
      </w:r>
    </w:p>
    <w:p w:rsidR="00FA5CF7" w:rsidP="00FA5CF7">
      <w:pPr>
        <w:bidi w:val="0"/>
        <w:spacing w:after="0" w:line="240" w:lineRule="auto"/>
        <w:rPr>
          <w:rFonts w:ascii="Times New Roman" w:hAnsi="Times New Roman" w:cs="Verdana"/>
          <w:b/>
          <w:bCs/>
          <w:i/>
          <w:iCs/>
          <w:sz w:val="24"/>
          <w:szCs w:val="24"/>
        </w:rPr>
      </w:pPr>
    </w:p>
    <w:p w:rsidR="00712EB5" w:rsidRPr="008434A7" w:rsidP="008434A7">
      <w:pPr>
        <w:bidi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115D" w:rsidR="00FA5CF7">
        <w:rPr>
          <w:rFonts w:ascii="Times New Roman" w:hAnsi="Times New Roman" w:cs="Times New Roman"/>
          <w:sz w:val="24"/>
          <w:szCs w:val="24"/>
          <w:u w:val="single"/>
        </w:rPr>
        <w:t xml:space="preserve">Z hľadiska negatívnych vplyvov na daňové príjmy verejného rozpočtu sa </w:t>
      </w:r>
      <w:r w:rsidR="003C038F">
        <w:rPr>
          <w:rFonts w:ascii="Times New Roman" w:hAnsi="Times New Roman" w:cs="Times New Roman"/>
          <w:sz w:val="24"/>
          <w:szCs w:val="24"/>
          <w:u w:val="single"/>
        </w:rPr>
        <w:t>ne</w:t>
      </w:r>
      <w:r w:rsidRPr="00C2115D" w:rsidR="00FA5CF7">
        <w:rPr>
          <w:rFonts w:ascii="Times New Roman" w:hAnsi="Times New Roman" w:cs="Times New Roman"/>
          <w:sz w:val="24"/>
          <w:szCs w:val="24"/>
          <w:u w:val="single"/>
        </w:rPr>
        <w:t>predpokladajú vplyvy</w:t>
      </w:r>
      <w:r w:rsidR="003C038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47280">
      <w:pPr>
        <w:bidi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5CF7" w:rsidRPr="006F5A06" w:rsidP="00815EEE">
      <w:pPr>
        <w:bidi w:val="0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A06">
        <w:rPr>
          <w:rFonts w:ascii="Times New Roman" w:hAnsi="Times New Roman" w:cs="Times New Roman"/>
          <w:b/>
          <w:sz w:val="24"/>
          <w:szCs w:val="24"/>
        </w:rPr>
        <w:t>Dopady na výdavkovej strane:</w:t>
      </w:r>
    </w:p>
    <w:p w:rsidR="00FA5CF7" w:rsidRPr="006F5A06" w:rsidP="00815EEE">
      <w:pPr>
        <w:bidi w:val="0"/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5A06">
        <w:rPr>
          <w:rFonts w:ascii="Times New Roman" w:hAnsi="Times New Roman" w:cs="Times New Roman"/>
          <w:i/>
          <w:sz w:val="24"/>
          <w:szCs w:val="24"/>
        </w:rPr>
        <w:t>Vplyv na bežné výdavky:</w:t>
      </w:r>
    </w:p>
    <w:p w:rsidR="00FA5CF7" w:rsidRPr="006F5A06" w:rsidP="00FA5CF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10846">
        <w:rPr>
          <w:rFonts w:ascii="Times New Roman" w:hAnsi="Times New Roman" w:cs="Times New Roman"/>
          <w:sz w:val="24"/>
          <w:szCs w:val="24"/>
          <w:u w:val="single"/>
        </w:rPr>
        <w:t xml:space="preserve">Z hľadiska </w:t>
      </w:r>
      <w:r w:rsidRPr="00410846">
        <w:rPr>
          <w:rFonts w:ascii="Times New Roman" w:hAnsi="Times New Roman" w:cs="Times New Roman"/>
          <w:b/>
          <w:sz w:val="24"/>
          <w:szCs w:val="24"/>
          <w:u w:val="single"/>
        </w:rPr>
        <w:t>negatívnych vplyvov</w:t>
      </w:r>
      <w:r w:rsidRPr="00410846">
        <w:rPr>
          <w:rFonts w:ascii="Times New Roman" w:hAnsi="Times New Roman" w:cs="Times New Roman"/>
          <w:sz w:val="24"/>
          <w:szCs w:val="24"/>
          <w:u w:val="single"/>
        </w:rPr>
        <w:t xml:space="preserve"> na bežné výdavky verejného rozpočtu sa </w:t>
      </w:r>
      <w:r w:rsidRPr="00A818CC">
        <w:rPr>
          <w:rFonts w:ascii="Times New Roman" w:hAnsi="Times New Roman" w:cs="Times New Roman"/>
          <w:sz w:val="24"/>
          <w:szCs w:val="24"/>
          <w:u w:val="single"/>
        </w:rPr>
        <w:t>predpokla</w:t>
      </w:r>
      <w:r w:rsidRPr="00A818CC" w:rsidR="00066D99">
        <w:rPr>
          <w:rFonts w:ascii="Times New Roman" w:hAnsi="Times New Roman" w:cs="Times New Roman"/>
          <w:sz w:val="24"/>
          <w:szCs w:val="24"/>
          <w:u w:val="single"/>
        </w:rPr>
        <w:t xml:space="preserve">dajú </w:t>
      </w:r>
      <w:r w:rsidR="00273298">
        <w:rPr>
          <w:rFonts w:ascii="Times New Roman" w:hAnsi="Times New Roman" w:cs="Times New Roman"/>
          <w:sz w:val="24"/>
          <w:szCs w:val="24"/>
          <w:u w:val="single"/>
        </w:rPr>
        <w:t>dva</w:t>
      </w:r>
      <w:r w:rsidRPr="00A818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10846">
        <w:rPr>
          <w:rFonts w:ascii="Times New Roman" w:hAnsi="Times New Roman" w:cs="Times New Roman"/>
          <w:sz w:val="24"/>
          <w:szCs w:val="24"/>
          <w:u w:val="single"/>
        </w:rPr>
        <w:t>vplyv</w:t>
      </w:r>
      <w:r w:rsidR="00066D99">
        <w:rPr>
          <w:rFonts w:ascii="Times New Roman" w:hAnsi="Times New Roman" w:cs="Times New Roman"/>
          <w:sz w:val="24"/>
          <w:szCs w:val="24"/>
          <w:u w:val="single"/>
        </w:rPr>
        <w:t>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5773" w:rsidRPr="00A50251" w:rsidP="00AE5773">
      <w:pPr>
        <w:numPr>
          <w:numId w:val="7"/>
        </w:num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0251" w:rsidR="00180771">
        <w:rPr>
          <w:rFonts w:ascii="Times New Roman" w:hAnsi="Times New Roman" w:cs="Times New Roman"/>
          <w:b/>
          <w:bCs/>
          <w:sz w:val="24"/>
          <w:szCs w:val="24"/>
        </w:rPr>
        <w:t xml:space="preserve">Zrušenie </w:t>
      </w:r>
      <w:r w:rsidRPr="00A50251" w:rsidR="00FA5C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znižovania normatívneho objemu finančných prostriedkov na praktické vyučovanie </w:t>
      </w:r>
      <w:r w:rsidRPr="00A50251" w:rsidR="001807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 </w:t>
      </w:r>
      <w:r w:rsidRPr="00A50251" w:rsidR="005C27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SDV</w:t>
      </w:r>
      <w:r w:rsidRPr="00A50251" w:rsidR="001807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ktorý </w:t>
      </w:r>
      <w:r w:rsidRPr="00A50251" w:rsidR="00FA5C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sa v procese vyhodnocovania skúseností z prvého roka zavádzania </w:t>
      </w:r>
      <w:r w:rsidRPr="00A50251" w:rsidR="00857D0F">
        <w:rPr>
          <w:rFonts w:ascii="Times New Roman" w:hAnsi="Times New Roman" w:cs="Times New Roman"/>
          <w:bCs/>
          <w:color w:val="000000"/>
          <w:sz w:val="24"/>
          <w:szCs w:val="24"/>
        </w:rPr>
        <w:t>SDV</w:t>
      </w:r>
      <w:r w:rsidRPr="00A50251" w:rsidR="00FA5C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ukázal ako najčastejšia prekážka nedostatočného záujmu </w:t>
      </w:r>
      <w:r w:rsidRPr="00A50251" w:rsidR="001807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stredných odborných škôl </w:t>
      </w:r>
      <w:r w:rsidRPr="00A50251" w:rsidR="005E41F4">
        <w:rPr>
          <w:rFonts w:ascii="Times New Roman" w:hAnsi="Times New Roman" w:cs="Times New Roman"/>
          <w:bCs/>
          <w:color w:val="000000"/>
          <w:sz w:val="24"/>
          <w:szCs w:val="24"/>
        </w:rPr>
        <w:t>o vstup do </w:t>
      </w:r>
      <w:r w:rsidRPr="00A50251" w:rsidR="00DE6A7D">
        <w:rPr>
          <w:rFonts w:ascii="Times New Roman" w:hAnsi="Times New Roman" w:cs="Times New Roman"/>
          <w:bCs/>
          <w:color w:val="000000"/>
          <w:sz w:val="24"/>
          <w:szCs w:val="24"/>
        </w:rPr>
        <w:t>SDV</w:t>
      </w:r>
      <w:r w:rsidRPr="00A50251" w:rsidR="00FA5C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Riešením vzniknutého problému je </w:t>
      </w:r>
      <w:r w:rsidRPr="00A50251" w:rsidR="005E41F4">
        <w:rPr>
          <w:rFonts w:ascii="Times New Roman" w:hAnsi="Times New Roman" w:cs="Times New Roman"/>
          <w:bCs/>
          <w:color w:val="000000"/>
          <w:sz w:val="24"/>
          <w:szCs w:val="24"/>
        </w:rPr>
        <w:t>návrh na </w:t>
      </w:r>
      <w:r w:rsidRPr="00A50251" w:rsidR="00FA5CF7">
        <w:rPr>
          <w:rFonts w:ascii="Times New Roman" w:hAnsi="Times New Roman" w:cs="Times New Roman"/>
          <w:bCs/>
          <w:color w:val="000000"/>
          <w:sz w:val="24"/>
          <w:szCs w:val="24"/>
        </w:rPr>
        <w:t>zrušenie krátenia normatívneho objemu mzdo</w:t>
      </w:r>
      <w:r w:rsidRPr="00A50251" w:rsidR="005E41F4">
        <w:rPr>
          <w:rFonts w:ascii="Times New Roman" w:hAnsi="Times New Roman" w:cs="Times New Roman"/>
          <w:bCs/>
          <w:color w:val="000000"/>
          <w:sz w:val="24"/>
          <w:szCs w:val="24"/>
        </w:rPr>
        <w:t>vých finančných prostriedkov na </w:t>
      </w:r>
      <w:r w:rsidRPr="00A50251" w:rsidR="00FA5C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jedného žiaka </w:t>
      </w:r>
      <w:r w:rsidR="009A1A7F">
        <w:rPr>
          <w:rFonts w:ascii="Times New Roman" w:hAnsi="Times New Roman" w:cs="Times New Roman"/>
          <w:bCs/>
          <w:color w:val="000000"/>
          <w:sz w:val="24"/>
          <w:szCs w:val="24"/>
        </w:rPr>
        <w:t>na </w:t>
      </w:r>
      <w:r w:rsidRPr="00A50251" w:rsidR="001807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bežný kalendárny o sumu zodpovedajúcu normatívu </w:t>
      </w:r>
      <w:r w:rsidRPr="00A50251" w:rsidR="00FA5CF7">
        <w:rPr>
          <w:rFonts w:ascii="Times New Roman" w:hAnsi="Times New Roman" w:cs="Times New Roman"/>
          <w:bCs/>
          <w:color w:val="000000"/>
          <w:sz w:val="24"/>
          <w:szCs w:val="24"/>
        </w:rPr>
        <w:t>na praktické vyučovanie</w:t>
      </w:r>
      <w:r w:rsidRPr="00A50251" w:rsidR="001807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žiaka.</w:t>
      </w:r>
      <w:r w:rsidRPr="00A50251" w:rsidR="008B0D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0251" w:rsidR="006E67F1">
        <w:rPr>
          <w:rFonts w:ascii="Times New Roman" w:hAnsi="Times New Roman" w:cs="Times New Roman"/>
          <w:bCs/>
          <w:sz w:val="24"/>
          <w:szCs w:val="24"/>
        </w:rPr>
        <w:t>V rámc</w:t>
      </w:r>
      <w:r w:rsidRPr="00A50251" w:rsidR="00180771">
        <w:rPr>
          <w:rFonts w:ascii="Times New Roman" w:hAnsi="Times New Roman" w:cs="Times New Roman"/>
          <w:bCs/>
          <w:sz w:val="24"/>
          <w:szCs w:val="24"/>
        </w:rPr>
        <w:t>i zrušenia krátenia normatívu si</w:t>
      </w:r>
      <w:r w:rsidRPr="00A50251" w:rsidR="006E67F1">
        <w:rPr>
          <w:rFonts w:ascii="Times New Roman" w:hAnsi="Times New Roman" w:cs="Times New Roman"/>
          <w:bCs/>
          <w:sz w:val="24"/>
          <w:szCs w:val="24"/>
        </w:rPr>
        <w:t xml:space="preserve"> tieto prostriedky ako súčasť normatívu poskytovaného na žiaka </w:t>
      </w:r>
      <w:r w:rsidRPr="00A50251" w:rsidR="00C2115D">
        <w:rPr>
          <w:rFonts w:ascii="Times New Roman" w:hAnsi="Times New Roman" w:cs="Times New Roman"/>
          <w:bCs/>
          <w:sz w:val="24"/>
          <w:szCs w:val="24"/>
        </w:rPr>
        <w:t xml:space="preserve">SOŠ </w:t>
      </w:r>
      <w:r w:rsidRPr="00A50251" w:rsidR="006E67F1">
        <w:rPr>
          <w:rFonts w:ascii="Times New Roman" w:hAnsi="Times New Roman" w:cs="Times New Roman"/>
          <w:bCs/>
          <w:sz w:val="24"/>
          <w:szCs w:val="24"/>
        </w:rPr>
        <w:t xml:space="preserve">môže riaditeľ školy prerozdeliť </w:t>
      </w:r>
      <w:r w:rsidRPr="00A50251" w:rsidR="008753F4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Pr="00A50251" w:rsidR="00FE2D1D">
        <w:rPr>
          <w:rFonts w:ascii="Times New Roman" w:hAnsi="Times New Roman" w:cs="Times New Roman"/>
          <w:bCs/>
          <w:sz w:val="24"/>
          <w:szCs w:val="24"/>
        </w:rPr>
        <w:t>materiálno-technické a priestorové zabezpečenie</w:t>
      </w:r>
      <w:r w:rsidRPr="00A50251" w:rsidR="00DC76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0251" w:rsidR="005E41F4">
        <w:rPr>
          <w:rFonts w:ascii="Times New Roman" w:hAnsi="Times New Roman" w:cs="Times New Roman"/>
          <w:bCs/>
          <w:sz w:val="24"/>
          <w:szCs w:val="24"/>
        </w:rPr>
        <w:t>na </w:t>
      </w:r>
      <w:r w:rsidRPr="00A50251" w:rsidR="00FE2D1D">
        <w:rPr>
          <w:rFonts w:ascii="Times New Roman" w:hAnsi="Times New Roman" w:cs="Times New Roman"/>
          <w:bCs/>
          <w:sz w:val="24"/>
          <w:szCs w:val="24"/>
        </w:rPr>
        <w:t>zabezpečenie ďalších úloh, ktoré súvisia s prípravou žiakov v </w:t>
      </w:r>
      <w:r w:rsidRPr="00A50251" w:rsidR="00F2480F">
        <w:rPr>
          <w:rFonts w:ascii="Times New Roman" w:hAnsi="Times New Roman" w:cs="Times New Roman"/>
          <w:bCs/>
          <w:sz w:val="24"/>
          <w:szCs w:val="24"/>
        </w:rPr>
        <w:t>SDV</w:t>
      </w:r>
      <w:r w:rsidRPr="00A50251" w:rsidR="00DC76BB">
        <w:rPr>
          <w:rFonts w:ascii="Times New Roman" w:hAnsi="Times New Roman" w:cs="Times New Roman"/>
          <w:bCs/>
          <w:sz w:val="24"/>
          <w:szCs w:val="24"/>
        </w:rPr>
        <w:t>. Takéto použitie prostriedkov</w:t>
      </w:r>
      <w:r w:rsidRPr="00A50251" w:rsidR="00FE2D1D">
        <w:rPr>
          <w:rFonts w:ascii="Times New Roman" w:hAnsi="Times New Roman" w:cs="Times New Roman"/>
          <w:bCs/>
          <w:sz w:val="24"/>
          <w:szCs w:val="24"/>
        </w:rPr>
        <w:t xml:space="preserve"> prispeje k odstraňovaniu modernizačného dlhu škôl, čím sa zabezpečí vyššie kvalita a efektivita výkonu SDV, ako aj obsah výchovno-vzdelávacieho procesu, ktorý bude hodnovernejšie približovať aktuálne poznatky a trendy z daného odvetvia priemyslu alebo služieb. Toto opatrenie je v súlade s programovým vyhlásením vlády SR na roky </w:t>
      </w:r>
      <w:r w:rsidRPr="00A50251" w:rsidR="00FE2D1D">
        <w:rPr>
          <w:rFonts w:ascii="Times New Roman" w:hAnsi="Times New Roman" w:cs="Times New Roman"/>
          <w:sz w:val="24"/>
          <w:szCs w:val="24"/>
        </w:rPr>
        <w:t xml:space="preserve">2016 – 2020, v rámci zachovania princípu kontinuity zefektívniť a skvalitniť </w:t>
      </w:r>
      <w:r w:rsidRPr="00A50251" w:rsidR="00107872">
        <w:rPr>
          <w:rFonts w:ascii="Times New Roman" w:hAnsi="Times New Roman" w:cs="Times New Roman"/>
          <w:sz w:val="24"/>
          <w:szCs w:val="24"/>
        </w:rPr>
        <w:t>existujúci SDV.</w:t>
      </w:r>
      <w:r w:rsidRPr="00A50251" w:rsidR="008B0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773" w:rsidRPr="00AE5773" w:rsidP="00A50251">
      <w:pPr>
        <w:bidi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E5773">
        <w:rPr>
          <w:rFonts w:ascii="Times New Roman" w:hAnsi="Times New Roman" w:cs="Times New Roman"/>
          <w:sz w:val="24"/>
          <w:szCs w:val="24"/>
        </w:rPr>
        <w:t xml:space="preserve">Výpočet vychádza z váženého priemerného počtu žiakov v kalendárnom roku a z priemernej výšky krátenia mzdového normatívu na žiaka SOŠ. Priemerná výška krátenia normatívu bola určená pomocou hodnoty váženého priemeru mzdového normatívu na žiaka SOŠ a koeficientu úspory výdavkov štátu na vzdelávanie. </w:t>
      </w:r>
    </w:p>
    <w:p w:rsidR="00AE5773" w:rsidRPr="00BE1FA6" w:rsidP="00C47280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736"/>
        <w:gridCol w:w="1703"/>
        <w:gridCol w:w="1443"/>
        <w:gridCol w:w="1560"/>
        <w:gridCol w:w="1700"/>
      </w:tblGrid>
      <w:tr>
        <w:tblPrEx>
          <w:tblW w:w="4962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AE5773" w:rsidRPr="00BE1FA6" w:rsidP="00FA21F0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E1FA6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AE5773" w:rsidRPr="00BE1FA6" w:rsidP="00FA21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</w:pPr>
            <w:r w:rsidRPr="00BE1FA6"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AE5773" w:rsidRPr="00BE1FA6" w:rsidP="00FA21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</w:pPr>
            <w:r w:rsidRPr="00BE1FA6"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AE5773" w:rsidRPr="00BE1FA6" w:rsidP="00FA21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</w:pPr>
            <w:r w:rsidRPr="00BE1FA6"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AE5773" w:rsidRPr="00BE1FA6" w:rsidP="00FA21F0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</w:pPr>
            <w:r w:rsidRPr="00BE1FA6"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  <w:t>2021</w:t>
            </w:r>
          </w:p>
        </w:tc>
      </w:tr>
      <w:tr>
        <w:tblPrEx>
          <w:tblW w:w="4962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AE5773" w:rsidRPr="00BE1FA6" w:rsidP="002D1B9E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1F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Náklady na zrušenie krátenia normatívu</w:t>
            </w:r>
            <w:r w:rsidRPr="00BE1FA6" w:rsidR="00B37F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BE1F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(</w:t>
            </w:r>
            <w:r w:rsidRPr="00BE1FA6" w:rsidR="002D1B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 eurách</w:t>
            </w:r>
            <w:r w:rsidRPr="00BE1F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AE5773" w:rsidRPr="009A2252" w:rsidP="00A90D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2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1 332 632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AE5773" w:rsidRPr="009A2252" w:rsidP="00A90D23">
            <w:pPr>
              <w:tabs>
                <w:tab w:val="left" w:pos="255"/>
                <w:tab w:val="center" w:pos="727"/>
              </w:tabs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9A2252" w:rsidR="00BE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4 437 675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AE5773" w:rsidRPr="009A2252" w:rsidP="00A90D23">
            <w:pPr>
              <w:tabs>
                <w:tab w:val="center" w:pos="727"/>
              </w:tabs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9A2252" w:rsidR="00BE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7 086 119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AE5773" w:rsidRPr="009A2252" w:rsidP="00A90D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9A2252" w:rsidR="00BE1FA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9 149 454</w:t>
            </w:r>
          </w:p>
        </w:tc>
      </w:tr>
      <w:tr>
        <w:tblPrEx>
          <w:tblW w:w="4962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AE5773" w:rsidRPr="00BE1FA6" w:rsidP="0051248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3275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 toho MŠVVaŠ SR (84 %)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AE5773" w:rsidRPr="009A2252" w:rsidP="00A90D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2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1 119 411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AE5773" w:rsidRPr="009A2252" w:rsidP="00A90D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2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3 727 647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AE5773" w:rsidRPr="009A2252" w:rsidP="00A90D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2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5 952 340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AE5773" w:rsidRPr="009A2252" w:rsidP="00A90D23">
            <w:pPr>
              <w:tabs>
                <w:tab w:val="center" w:pos="726"/>
              </w:tabs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2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7 685 541</w:t>
            </w:r>
          </w:p>
        </w:tc>
      </w:tr>
      <w:tr>
        <w:tblPrEx>
          <w:tblW w:w="4962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AE5773" w:rsidRPr="00BE1FA6" w:rsidP="0051248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3275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 toho MV SR (16 %)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AE5773" w:rsidRPr="009A2252" w:rsidP="00A90D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2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213 221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AE5773" w:rsidRPr="009A2252" w:rsidP="00A90D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2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710 028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AE5773" w:rsidRPr="009A2252" w:rsidP="00A90D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2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1 133 779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AE5773" w:rsidRPr="009A2252" w:rsidP="00A90D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A22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1 463 913</w:t>
            </w:r>
          </w:p>
        </w:tc>
      </w:tr>
    </w:tbl>
    <w:p w:rsidR="00AE5773" w:rsidRPr="00BE1FA6" w:rsidP="008205CF">
      <w:pPr>
        <w:bidi w:val="0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BE1FA6" w:rsidR="00712EB5">
        <w:rPr>
          <w:rFonts w:ascii="Times New Roman" w:hAnsi="Times New Roman" w:cs="Times New Roman"/>
          <w:sz w:val="20"/>
          <w:szCs w:val="20"/>
        </w:rPr>
        <w:t xml:space="preserve">Podrobný výpočet v tabuľke č. </w:t>
      </w:r>
      <w:r w:rsidRPr="00BE1FA6" w:rsidR="00C51084">
        <w:rPr>
          <w:rFonts w:ascii="Times New Roman" w:hAnsi="Times New Roman" w:cs="Times New Roman"/>
          <w:sz w:val="20"/>
          <w:szCs w:val="20"/>
        </w:rPr>
        <w:t>6</w:t>
      </w:r>
    </w:p>
    <w:p w:rsidR="00973223" w:rsidRPr="00815EEE" w:rsidP="00815EEE">
      <w:pPr>
        <w:numPr>
          <w:numId w:val="7"/>
        </w:numPr>
        <w:autoSpaceDE w:val="0"/>
        <w:autoSpaceDN w:val="0"/>
        <w:bidi w:val="0"/>
        <w:adjustRightInd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3223" w:rsidR="004B7072">
        <w:rPr>
          <w:rFonts w:ascii="Times New Roman" w:hAnsi="Times New Roman" w:cs="Times New Roman"/>
          <w:b/>
          <w:bCs/>
          <w:sz w:val="24"/>
          <w:szCs w:val="24"/>
        </w:rPr>
        <w:t xml:space="preserve">Príspevok </w:t>
      </w:r>
      <w:r w:rsidRPr="00973223" w:rsidR="009A2252">
        <w:rPr>
          <w:rFonts w:ascii="Times New Roman" w:hAnsi="Times New Roman" w:cs="Times New Roman"/>
          <w:b/>
          <w:bCs/>
          <w:sz w:val="24"/>
          <w:szCs w:val="24"/>
        </w:rPr>
        <w:t xml:space="preserve">zamestnávateľom </w:t>
      </w:r>
      <w:r w:rsidRPr="00973223" w:rsidR="004B7072">
        <w:rPr>
          <w:rFonts w:ascii="Times New Roman" w:hAnsi="Times New Roman" w:cs="Times New Roman"/>
          <w:b/>
          <w:bCs/>
          <w:sz w:val="24"/>
          <w:szCs w:val="24"/>
        </w:rPr>
        <w:t>na kompenzáciu časti nákladov na realizáciu duálneho vzdelávania</w:t>
      </w:r>
    </w:p>
    <w:p w:rsidR="004F62A6" w:rsidP="00A81D1F">
      <w:pPr>
        <w:numPr>
          <w:ilvl w:val="1"/>
          <w:numId w:val="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62E8" w:rsidR="004B7072">
        <w:rPr>
          <w:rFonts w:ascii="Times New Roman" w:hAnsi="Times New Roman" w:cs="Times New Roman"/>
          <w:b/>
          <w:bCs/>
          <w:sz w:val="24"/>
          <w:szCs w:val="24"/>
        </w:rPr>
        <w:t xml:space="preserve">Nárok na príspevok v hodnote </w:t>
      </w:r>
      <w:r>
        <w:rPr>
          <w:rFonts w:ascii="Times New Roman" w:hAnsi="Times New Roman" w:cs="Times New Roman"/>
          <w:b/>
          <w:bCs/>
          <w:sz w:val="24"/>
          <w:szCs w:val="24"/>
        </w:rPr>
        <w:t>300 eur alebo 700</w:t>
      </w:r>
      <w:r w:rsidRPr="005362E8" w:rsidR="004B70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2746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Pr="005362E8" w:rsidR="004B7072">
        <w:rPr>
          <w:rFonts w:ascii="Times New Roman" w:hAnsi="Times New Roman" w:cs="Times New Roman"/>
          <w:b/>
          <w:bCs/>
          <w:sz w:val="24"/>
          <w:szCs w:val="24"/>
        </w:rPr>
        <w:t xml:space="preserve"> pre </w:t>
      </w:r>
      <w:r w:rsidRPr="005362E8" w:rsidR="005362E8">
        <w:rPr>
          <w:rFonts w:ascii="Times New Roman" w:hAnsi="Times New Roman" w:cs="Times New Roman"/>
          <w:b/>
          <w:bCs/>
          <w:sz w:val="24"/>
          <w:szCs w:val="24"/>
        </w:rPr>
        <w:t xml:space="preserve">veľkého </w:t>
      </w:r>
      <w:r w:rsidRPr="005362E8" w:rsidR="004B7072">
        <w:rPr>
          <w:rFonts w:ascii="Times New Roman" w:hAnsi="Times New Roman" w:cs="Times New Roman"/>
          <w:b/>
          <w:bCs/>
          <w:sz w:val="24"/>
          <w:szCs w:val="24"/>
        </w:rPr>
        <w:t>zamestnávateľa</w:t>
      </w:r>
      <w:r w:rsidR="00C7274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72746">
        <w:rPr>
          <w:rFonts w:ascii="Times New Roman" w:hAnsi="Times New Roman" w:cs="Times New Roman"/>
          <w:bCs/>
          <w:sz w:val="24"/>
          <w:szCs w:val="24"/>
        </w:rPr>
        <w:t xml:space="preserve"> Vzniká za </w:t>
      </w:r>
      <w:r w:rsidRPr="00A818CC" w:rsidR="004B7072">
        <w:rPr>
          <w:rFonts w:ascii="Times New Roman" w:hAnsi="Times New Roman" w:cs="Times New Roman"/>
          <w:bCs/>
          <w:sz w:val="24"/>
          <w:szCs w:val="24"/>
        </w:rPr>
        <w:t xml:space="preserve">každého žiaka s učebnou zmluvou za každý školský rok, v ktorom žiakovi poskytol </w:t>
      </w:r>
      <w:r w:rsidRPr="00A818CC" w:rsidR="00C72746">
        <w:rPr>
          <w:rFonts w:ascii="Times New Roman" w:hAnsi="Times New Roman" w:cs="Times New Roman"/>
          <w:bCs/>
          <w:sz w:val="24"/>
          <w:szCs w:val="24"/>
        </w:rPr>
        <w:t>praktické vyučovani</w:t>
      </w:r>
      <w:r w:rsidR="00C72746">
        <w:rPr>
          <w:rFonts w:ascii="Times New Roman" w:hAnsi="Times New Roman" w:cs="Times New Roman"/>
          <w:bCs/>
          <w:sz w:val="24"/>
          <w:szCs w:val="24"/>
        </w:rPr>
        <w:t>e</w:t>
      </w:r>
      <w:r w:rsidRPr="00A818CC" w:rsidR="00C72746">
        <w:rPr>
          <w:rFonts w:ascii="Times New Roman" w:hAnsi="Times New Roman" w:cs="Times New Roman"/>
          <w:bCs/>
          <w:sz w:val="24"/>
          <w:szCs w:val="24"/>
        </w:rPr>
        <w:t xml:space="preserve"> na pracovisku praktického vyučovania</w:t>
      </w:r>
      <w:r w:rsidR="00C72746">
        <w:rPr>
          <w:rFonts w:ascii="Times New Roman" w:hAnsi="Times New Roman" w:cs="Times New Roman"/>
          <w:bCs/>
          <w:sz w:val="24"/>
          <w:szCs w:val="24"/>
        </w:rPr>
        <w:t xml:space="preserve"> v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C72746">
        <w:rPr>
          <w:rFonts w:ascii="Times New Roman" w:hAnsi="Times New Roman" w:cs="Times New Roman"/>
          <w:bCs/>
          <w:sz w:val="24"/>
          <w:szCs w:val="24"/>
        </w:rPr>
        <w:t>rozsahu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4F62A6" w:rsidP="004F62A6">
      <w:pPr>
        <w:pStyle w:val="ListParagraph"/>
        <w:numPr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62A6" w:rsidR="00C72746">
        <w:rPr>
          <w:rFonts w:ascii="Times New Roman" w:hAnsi="Times New Roman" w:cs="Times New Roman"/>
          <w:bCs/>
          <w:sz w:val="24"/>
          <w:szCs w:val="24"/>
        </w:rPr>
        <w:t>2</w:t>
      </w:r>
      <w:r w:rsidRPr="004F62A6" w:rsidR="004B7072">
        <w:rPr>
          <w:rFonts w:ascii="Times New Roman" w:hAnsi="Times New Roman" w:cs="Times New Roman"/>
          <w:bCs/>
          <w:sz w:val="24"/>
          <w:szCs w:val="24"/>
        </w:rPr>
        <w:t>00</w:t>
      </w:r>
      <w:r w:rsidRPr="004F62A6" w:rsidR="00C72746">
        <w:rPr>
          <w:rFonts w:ascii="Times New Roman" w:hAnsi="Times New Roman" w:cs="Times New Roman"/>
          <w:bCs/>
          <w:sz w:val="24"/>
          <w:szCs w:val="24"/>
        </w:rPr>
        <w:t xml:space="preserve"> až 400</w:t>
      </w:r>
      <w:r w:rsidRPr="004F62A6" w:rsidR="004B7072">
        <w:rPr>
          <w:rFonts w:ascii="Times New Roman" w:hAnsi="Times New Roman" w:cs="Times New Roman"/>
          <w:bCs/>
          <w:sz w:val="24"/>
          <w:szCs w:val="24"/>
        </w:rPr>
        <w:t xml:space="preserve"> hodín </w:t>
      </w:r>
      <w:r w:rsidRPr="004F62A6" w:rsidR="00A90D23">
        <w:rPr>
          <w:rFonts w:ascii="Times New Roman" w:hAnsi="Times New Roman" w:cs="Times New Roman"/>
          <w:bCs/>
          <w:sz w:val="24"/>
          <w:szCs w:val="24"/>
        </w:rPr>
        <w:t xml:space="preserve">vrátane </w:t>
      </w:r>
      <w:r w:rsidRPr="004F62A6" w:rsidR="00C72746">
        <w:rPr>
          <w:rFonts w:ascii="Times New Roman" w:hAnsi="Times New Roman" w:cs="Times New Roman"/>
          <w:bCs/>
          <w:sz w:val="24"/>
          <w:szCs w:val="24"/>
        </w:rPr>
        <w:t xml:space="preserve">vo výške 300 eur </w:t>
      </w:r>
    </w:p>
    <w:p w:rsidR="004F62A6" w:rsidP="004F62A6">
      <w:pPr>
        <w:pStyle w:val="ListParagraph"/>
        <w:numPr>
          <w:numId w:val="1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62A6" w:rsidR="00C72746">
        <w:rPr>
          <w:rFonts w:ascii="Times New Roman" w:hAnsi="Times New Roman" w:cs="Times New Roman"/>
          <w:bCs/>
          <w:sz w:val="24"/>
          <w:szCs w:val="24"/>
        </w:rPr>
        <w:t>nad 400 hodín vo výške 700 eur</w:t>
      </w:r>
      <w:r w:rsidRPr="004F62A6" w:rsidR="004B707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81D1F" w:rsidRPr="00A81D1F" w:rsidP="004F62A6">
      <w:pPr>
        <w:autoSpaceDE w:val="0"/>
        <w:autoSpaceDN w:val="0"/>
        <w:bidi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62A6" w:rsidR="004B7072">
        <w:rPr>
          <w:rFonts w:ascii="Times New Roman" w:hAnsi="Times New Roman" w:cs="Times New Roman"/>
          <w:bCs/>
          <w:sz w:val="24"/>
          <w:szCs w:val="24"/>
        </w:rPr>
        <w:t xml:space="preserve">Výpočet vychádza z predpokladaného počtu žiakov v 3. a 4. </w:t>
      </w:r>
      <w:r w:rsidRPr="004F62A6" w:rsidR="00C72746">
        <w:rPr>
          <w:rFonts w:ascii="Times New Roman" w:hAnsi="Times New Roman" w:cs="Times New Roman"/>
          <w:bCs/>
          <w:sz w:val="24"/>
          <w:szCs w:val="24"/>
        </w:rPr>
        <w:t>r</w:t>
      </w:r>
      <w:r w:rsidRPr="004F62A6" w:rsidR="004B7072">
        <w:rPr>
          <w:rFonts w:ascii="Times New Roman" w:hAnsi="Times New Roman" w:cs="Times New Roman"/>
          <w:bCs/>
          <w:sz w:val="24"/>
          <w:szCs w:val="24"/>
        </w:rPr>
        <w:t>očníku</w:t>
      </w:r>
      <w:r w:rsidRPr="004F62A6" w:rsidR="00C7274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F62A6" w:rsidR="004B7072">
        <w:rPr>
          <w:rFonts w:ascii="Times New Roman" w:hAnsi="Times New Roman" w:cs="Times New Roman"/>
          <w:bCs/>
          <w:sz w:val="24"/>
          <w:szCs w:val="24"/>
        </w:rPr>
        <w:t>Vo výpočtoch predpokladáme, že príspevok bude vyplatený v 2. kalendárnom roku prislúchajúceho školského roka.</w:t>
      </w:r>
    </w:p>
    <w:p w:rsidR="00A818CC" w:rsidRPr="00BE1FA6" w:rsidP="00815EEE">
      <w:pPr>
        <w:keepLines/>
        <w:bidi w:val="0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252">
        <w:rPr>
          <w:rFonts w:ascii="Times New Roman" w:hAnsi="Times New Roman" w:cs="Times New Roman"/>
          <w:b/>
          <w:sz w:val="24"/>
          <w:szCs w:val="24"/>
        </w:rPr>
        <w:t xml:space="preserve">Vplyv zavedenia príspevku na podporu </w:t>
      </w:r>
      <w:r w:rsidR="005362E8">
        <w:rPr>
          <w:rFonts w:ascii="Times New Roman" w:hAnsi="Times New Roman" w:cs="Times New Roman"/>
          <w:b/>
          <w:sz w:val="24"/>
          <w:szCs w:val="24"/>
        </w:rPr>
        <w:t xml:space="preserve">veľkých </w:t>
      </w:r>
      <w:r>
        <w:rPr>
          <w:rFonts w:ascii="Times New Roman" w:hAnsi="Times New Roman" w:cs="Times New Roman"/>
          <w:b/>
          <w:sz w:val="24"/>
          <w:szCs w:val="24"/>
        </w:rPr>
        <w:t>zame</w:t>
      </w:r>
      <w:r w:rsidR="00A81D1F">
        <w:rPr>
          <w:rFonts w:ascii="Times New Roman" w:hAnsi="Times New Roman" w:cs="Times New Roman"/>
          <w:b/>
          <w:sz w:val="24"/>
          <w:szCs w:val="24"/>
        </w:rPr>
        <w:t xml:space="preserve">stnávateľov </w:t>
      </w:r>
      <w:r w:rsidR="005362E8">
        <w:rPr>
          <w:rFonts w:ascii="Times New Roman" w:hAnsi="Times New Roman" w:cs="Times New Roman"/>
          <w:b/>
          <w:sz w:val="24"/>
          <w:szCs w:val="24"/>
        </w:rPr>
        <w:t>v SDV</w:t>
      </w:r>
    </w:p>
    <w:tbl>
      <w:tblPr>
        <w:tblStyle w:val="TableNormal"/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92"/>
        <w:gridCol w:w="1704"/>
        <w:gridCol w:w="1486"/>
        <w:gridCol w:w="1560"/>
        <w:gridCol w:w="1700"/>
      </w:tblGrid>
      <w:tr>
        <w:tblPrEx>
          <w:tblW w:w="4962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327515" w:rsidRPr="00BE1FA6" w:rsidP="00815EEE">
            <w:pPr>
              <w:keepLines/>
              <w:bidi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BE1FA6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327515" w:rsidRPr="00BE1FA6" w:rsidP="00815EEE">
            <w:pPr>
              <w:keepLines/>
              <w:bidi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</w:pPr>
            <w:r w:rsidRPr="00BE1FA6"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327515" w:rsidRPr="00BE1FA6" w:rsidP="00815EEE">
            <w:pPr>
              <w:keepLines/>
              <w:bidi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</w:pPr>
            <w:r w:rsidRPr="00BE1FA6"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327515" w:rsidRPr="00BE1FA6" w:rsidP="00815EEE">
            <w:pPr>
              <w:keepLines/>
              <w:bidi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</w:pPr>
            <w:r w:rsidRPr="00BE1FA6"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327515" w:rsidRPr="00BE1FA6" w:rsidP="00815EEE">
            <w:pPr>
              <w:keepLines/>
              <w:bidi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</w:pPr>
            <w:r w:rsidRPr="00BE1FA6"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  <w:t>2021</w:t>
            </w:r>
          </w:p>
        </w:tc>
      </w:tr>
      <w:tr>
        <w:tblPrEx>
          <w:tblW w:w="4962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327515" w:rsidRPr="00BE1FA6" w:rsidP="00815EEE">
            <w:pPr>
              <w:keepLines/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E1F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Príspevok na kompenzáciu časti nákladov na realizáciu duálneho vzdelávania </w:t>
            </w:r>
            <w:r w:rsidR="00191A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(v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eurách)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327515" w:rsidRPr="00327515" w:rsidP="00815EEE">
            <w:pPr>
              <w:keepLines/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327515" w:rsidRPr="00327515" w:rsidP="00815EEE">
            <w:pPr>
              <w:keepLines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75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1 199 000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327515" w:rsidRPr="00327515" w:rsidP="00815EEE">
            <w:pPr>
              <w:keepLines/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75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1 902 000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327515" w:rsidRPr="00327515" w:rsidP="00815EEE">
            <w:pPr>
              <w:keepLines/>
              <w:bidi w:val="0"/>
              <w:spacing w:after="0" w:line="240" w:lineRule="auto"/>
              <w:ind w:right="287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275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4 200 000</w:t>
            </w:r>
          </w:p>
        </w:tc>
      </w:tr>
    </w:tbl>
    <w:p w:rsidR="004B7072" w:rsidRPr="00A818CC" w:rsidP="00815EEE">
      <w:pPr>
        <w:pStyle w:val="ListParagraph"/>
        <w:keepLines/>
        <w:bidi w:val="0"/>
        <w:spacing w:after="120"/>
        <w:ind w:left="4968" w:firstLine="696"/>
        <w:jc w:val="right"/>
        <w:rPr>
          <w:rFonts w:ascii="Times New Roman" w:hAnsi="Times New Roman" w:cs="Times New Roman"/>
          <w:sz w:val="20"/>
          <w:szCs w:val="20"/>
        </w:rPr>
      </w:pPr>
      <w:r w:rsidRPr="00A818CC" w:rsidR="00BE1FA6">
        <w:rPr>
          <w:rFonts w:ascii="Times New Roman" w:hAnsi="Times New Roman" w:cs="Times New Roman"/>
          <w:sz w:val="20"/>
          <w:szCs w:val="20"/>
        </w:rPr>
        <w:t xml:space="preserve">Podrobný výpočet v tabuľke č. </w:t>
      </w:r>
      <w:r w:rsidR="00273298">
        <w:rPr>
          <w:rFonts w:ascii="Times New Roman" w:hAnsi="Times New Roman" w:cs="Times New Roman"/>
          <w:sz w:val="20"/>
          <w:szCs w:val="20"/>
        </w:rPr>
        <w:t>7</w:t>
      </w:r>
    </w:p>
    <w:p w:rsidR="004B7072" w:rsidRPr="00A81D1F" w:rsidP="00EE2C33">
      <w:pPr>
        <w:numPr>
          <w:ilvl w:val="1"/>
          <w:numId w:val="7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62E8">
        <w:rPr>
          <w:rFonts w:ascii="Times New Roman" w:hAnsi="Times New Roman" w:cs="Times New Roman"/>
          <w:b/>
          <w:bCs/>
          <w:sz w:val="24"/>
          <w:szCs w:val="24"/>
        </w:rPr>
        <w:t xml:space="preserve">Príspevok na podporu vstupu malých a stredných podnikov do </w:t>
      </w:r>
      <w:r w:rsidRPr="005362E8" w:rsidR="005362E8">
        <w:rPr>
          <w:rFonts w:ascii="Times New Roman" w:hAnsi="Times New Roman" w:cs="Times New Roman"/>
          <w:b/>
          <w:bCs/>
          <w:sz w:val="24"/>
          <w:szCs w:val="24"/>
        </w:rPr>
        <w:t>SDV</w:t>
      </w:r>
      <w:r w:rsidRPr="00A81D1F" w:rsidR="00A818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81D1F">
        <w:rPr>
          <w:rFonts w:ascii="Times New Roman" w:hAnsi="Times New Roman" w:cs="Times New Roman"/>
          <w:sz w:val="24"/>
          <w:szCs w:val="24"/>
        </w:rPr>
        <w:t>v hodnote 1000 EUR vzniká zame</w:t>
      </w:r>
      <w:r w:rsidRPr="00A81D1F" w:rsidR="009A2252">
        <w:rPr>
          <w:rFonts w:ascii="Times New Roman" w:hAnsi="Times New Roman" w:cs="Times New Roman"/>
          <w:sz w:val="24"/>
          <w:szCs w:val="24"/>
        </w:rPr>
        <w:t>stnávateľovi za každého žiaka s </w:t>
      </w:r>
      <w:r w:rsidRPr="00A81D1F">
        <w:rPr>
          <w:rFonts w:ascii="Times New Roman" w:hAnsi="Times New Roman" w:cs="Times New Roman"/>
          <w:sz w:val="24"/>
          <w:szCs w:val="24"/>
        </w:rPr>
        <w:t>učebnou zmluvou v roku, kedy prvýkrát začal poskytovať praktické</w:t>
      </w:r>
      <w:r w:rsidR="001146BF">
        <w:rPr>
          <w:rFonts w:ascii="Times New Roman" w:hAnsi="Times New Roman" w:cs="Times New Roman"/>
          <w:sz w:val="24"/>
          <w:szCs w:val="24"/>
        </w:rPr>
        <w:t xml:space="preserve"> vyučovanie. Výpočet vychádza z </w:t>
      </w:r>
      <w:r w:rsidRPr="00A81D1F">
        <w:rPr>
          <w:rFonts w:ascii="Times New Roman" w:hAnsi="Times New Roman" w:cs="Times New Roman"/>
          <w:sz w:val="24"/>
          <w:szCs w:val="24"/>
        </w:rPr>
        <w:t>predpokladaného počtu žiakov, ktorí sa zapoja do duálneho systému v rokoch 2018 - 2021. Malé a stredné podniky sú kategorizované podľa Nariadenia Komisie (EÚ)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A81D1F">
        <w:rPr>
          <w:rFonts w:ascii="Times New Roman" w:hAnsi="Times New Roman" w:cs="Times New Roman"/>
          <w:sz w:val="24"/>
          <w:szCs w:val="24"/>
        </w:rPr>
        <w:t>. Relatívne početnosti uzavretých učebných zmlúv ku dňu 1. 9. 2017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A81D1F">
        <w:rPr>
          <w:rFonts w:ascii="Times New Roman" w:hAnsi="Times New Roman" w:cs="Times New Roman"/>
          <w:sz w:val="24"/>
          <w:szCs w:val="24"/>
        </w:rPr>
        <w:t xml:space="preserve"> podľa veľkosti zamestnávateľa boli extrapolované na predpokladané p</w:t>
      </w:r>
      <w:r w:rsidRPr="00A81D1F" w:rsidR="00016CC6">
        <w:rPr>
          <w:rFonts w:ascii="Times New Roman" w:hAnsi="Times New Roman" w:cs="Times New Roman"/>
          <w:sz w:val="24"/>
          <w:szCs w:val="24"/>
        </w:rPr>
        <w:t>očty žiakov v </w:t>
      </w:r>
      <w:r w:rsidRPr="00A81D1F" w:rsidR="009A2252">
        <w:rPr>
          <w:rFonts w:ascii="Times New Roman" w:hAnsi="Times New Roman" w:cs="Times New Roman"/>
          <w:sz w:val="24"/>
          <w:szCs w:val="24"/>
        </w:rPr>
        <w:t>duálnom systéme v </w:t>
      </w:r>
      <w:r w:rsidRPr="00A81D1F">
        <w:rPr>
          <w:rFonts w:ascii="Times New Roman" w:hAnsi="Times New Roman" w:cs="Times New Roman"/>
          <w:sz w:val="24"/>
          <w:szCs w:val="24"/>
        </w:rPr>
        <w:t>rokoch 2018 – 2021. Predpokladom je, že podiely žiakov podľa jednotlivých kategórií podnikov sa ani po zavedení príspevku nezmenia. Vo výpočtoch predpokladáme, že príspevok bude vyplatený v 2. kalendárnom roku</w:t>
      </w:r>
      <w:r w:rsidRPr="00A81D1F" w:rsidR="00A818CC">
        <w:rPr>
          <w:rFonts w:ascii="Times New Roman" w:hAnsi="Times New Roman" w:cs="Times New Roman"/>
          <w:sz w:val="24"/>
          <w:szCs w:val="24"/>
        </w:rPr>
        <w:t xml:space="preserve"> prislúchajúceho školského roka.</w:t>
      </w:r>
    </w:p>
    <w:p w:rsidR="00B73846" w:rsidP="009A2252">
      <w:pPr>
        <w:bidi w:val="0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7072" w:rsidRPr="009A2252" w:rsidP="009A2252">
      <w:pPr>
        <w:bidi w:val="0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252">
        <w:rPr>
          <w:rFonts w:ascii="Times New Roman" w:hAnsi="Times New Roman" w:cs="Times New Roman"/>
          <w:b/>
          <w:sz w:val="24"/>
          <w:szCs w:val="24"/>
        </w:rPr>
        <w:t xml:space="preserve">Vplyv zavedenia príspevku na podporu vstupu malých a stredných podnikov do </w:t>
      </w:r>
      <w:r w:rsidR="005362E8">
        <w:rPr>
          <w:rFonts w:ascii="Times New Roman" w:hAnsi="Times New Roman" w:cs="Times New Roman"/>
          <w:b/>
          <w:sz w:val="24"/>
          <w:szCs w:val="24"/>
        </w:rPr>
        <w:t>SDV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08"/>
        <w:gridCol w:w="1677"/>
        <w:gridCol w:w="1677"/>
        <w:gridCol w:w="1677"/>
        <w:gridCol w:w="167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016CC6" w:rsidRPr="009A2252" w:rsidP="00EE2C33">
            <w:pPr>
              <w:bidi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A2252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016CC6" w:rsidRPr="00016CC6" w:rsidP="00EE2C33">
            <w:pPr>
              <w:bidi w:val="0"/>
              <w:spacing w:after="0"/>
              <w:jc w:val="center"/>
              <w:rPr>
                <w:rFonts w:ascii="Times New Roman" w:hAnsi="Times New Roman" w:cs="Times New Roman"/>
                <w:bCs/>
                <w:color w:val="821A1A"/>
                <w:sz w:val="20"/>
                <w:szCs w:val="20"/>
                <w:lang w:eastAsia="sk-SK"/>
              </w:rPr>
            </w:pPr>
            <w:r w:rsidRPr="00016CC6">
              <w:rPr>
                <w:rFonts w:ascii="Times New Roman" w:hAnsi="Times New Roman" w:cs="Times New Roman"/>
                <w:bCs/>
                <w:color w:val="821A1A"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016CC6" w:rsidRPr="00016CC6" w:rsidP="00EE2C33">
            <w:pPr>
              <w:bidi w:val="0"/>
              <w:spacing w:after="0"/>
              <w:jc w:val="center"/>
              <w:rPr>
                <w:rFonts w:ascii="Times New Roman" w:hAnsi="Times New Roman" w:cs="Times New Roman"/>
                <w:bCs/>
                <w:color w:val="821A1A"/>
                <w:sz w:val="20"/>
                <w:szCs w:val="20"/>
                <w:lang w:eastAsia="sk-SK"/>
              </w:rPr>
            </w:pPr>
            <w:r w:rsidRPr="00016CC6">
              <w:rPr>
                <w:rFonts w:ascii="Times New Roman" w:hAnsi="Times New Roman" w:cs="Times New Roman"/>
                <w:bCs/>
                <w:color w:val="821A1A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016CC6" w:rsidRPr="00016CC6" w:rsidP="00EE2C33">
            <w:pPr>
              <w:bidi w:val="0"/>
              <w:spacing w:after="0"/>
              <w:jc w:val="center"/>
              <w:rPr>
                <w:rFonts w:ascii="Times New Roman" w:hAnsi="Times New Roman" w:cs="Times New Roman"/>
                <w:bCs/>
                <w:color w:val="821A1A"/>
                <w:sz w:val="20"/>
                <w:szCs w:val="20"/>
                <w:lang w:eastAsia="sk-SK"/>
              </w:rPr>
            </w:pPr>
            <w:r w:rsidRPr="00016CC6">
              <w:rPr>
                <w:rFonts w:ascii="Times New Roman" w:hAnsi="Times New Roman" w:cs="Times New Roman"/>
                <w:bCs/>
                <w:color w:val="821A1A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016CC6" w:rsidRPr="00016CC6" w:rsidP="00EE2C33">
            <w:pPr>
              <w:bidi w:val="0"/>
              <w:spacing w:after="0"/>
              <w:jc w:val="center"/>
              <w:rPr>
                <w:rFonts w:ascii="Times New Roman" w:hAnsi="Times New Roman" w:cs="Times New Roman"/>
                <w:bCs/>
                <w:color w:val="821A1A"/>
                <w:sz w:val="20"/>
                <w:szCs w:val="20"/>
                <w:lang w:eastAsia="sk-SK"/>
              </w:rPr>
            </w:pPr>
            <w:r w:rsidRPr="00016CC6">
              <w:rPr>
                <w:rFonts w:ascii="Times New Roman" w:hAnsi="Times New Roman" w:cs="Times New Roman"/>
                <w:bCs/>
                <w:color w:val="821A1A"/>
                <w:sz w:val="20"/>
                <w:szCs w:val="20"/>
                <w:lang w:eastAsia="sk-SK"/>
              </w:rPr>
              <w:t>2021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016CC6" w:rsidRPr="00016CC6" w:rsidP="00EE2C33">
            <w:pPr>
              <w:bidi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16C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Príspevok na podporu vstupu malých a stredných podnikov do systému duálneho vzdelávania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(v </w:t>
            </w:r>
            <w:r w:rsidRPr="00016C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eurách)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016CC6" w:rsidRPr="00016CC6" w:rsidP="009A2252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</w:tcPr>
          <w:p w:rsidR="00016CC6" w:rsidRPr="00016CC6" w:rsidP="001146B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6C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1 472 000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</w:tcPr>
          <w:p w:rsidR="00016CC6" w:rsidRPr="00016CC6" w:rsidP="001146B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6C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2 300 000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</w:tcPr>
          <w:p w:rsidR="00016CC6" w:rsidRPr="00016CC6" w:rsidP="001146BF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6CC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2 300 000</w:t>
            </w:r>
          </w:p>
        </w:tc>
      </w:tr>
    </w:tbl>
    <w:p w:rsidR="004B7072" w:rsidRPr="00A818CC" w:rsidP="001146BF">
      <w:pPr>
        <w:pStyle w:val="ListParagraph"/>
        <w:bidi w:val="0"/>
        <w:spacing w:after="0"/>
        <w:ind w:left="4967" w:firstLine="697"/>
        <w:jc w:val="right"/>
        <w:rPr>
          <w:rFonts w:ascii="Times New Roman" w:hAnsi="Times New Roman" w:cs="Times New Roman"/>
          <w:sz w:val="20"/>
          <w:szCs w:val="20"/>
        </w:rPr>
      </w:pPr>
      <w:r w:rsidRPr="00A818CC" w:rsidR="009A2252">
        <w:rPr>
          <w:rFonts w:ascii="Times New Roman" w:hAnsi="Times New Roman" w:cs="Times New Roman"/>
          <w:sz w:val="20"/>
          <w:szCs w:val="20"/>
        </w:rPr>
        <w:t xml:space="preserve">Podrobný výpočet v tabuľke č. </w:t>
      </w:r>
      <w:r w:rsidR="00273298">
        <w:rPr>
          <w:rFonts w:ascii="Times New Roman" w:hAnsi="Times New Roman" w:cs="Times New Roman"/>
          <w:sz w:val="20"/>
          <w:szCs w:val="20"/>
        </w:rPr>
        <w:t>7</w:t>
      </w:r>
    </w:p>
    <w:p w:rsidR="009A1A7F" w:rsidRPr="005C378A" w:rsidP="005C378A">
      <w:pPr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963" w:rsidRPr="00F83186" w:rsidP="00191AF2">
      <w:pPr>
        <w:bidi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D0931" w:rsidRPr="00410846" w:rsidP="001D0931">
      <w:pPr>
        <w:bidi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0846">
        <w:rPr>
          <w:rFonts w:ascii="Times New Roman" w:hAnsi="Times New Roman" w:cs="Times New Roman"/>
          <w:sz w:val="24"/>
          <w:szCs w:val="24"/>
          <w:u w:val="single"/>
        </w:rPr>
        <w:t xml:space="preserve">Z hľadiska </w:t>
      </w:r>
      <w:r w:rsidRPr="00410846">
        <w:rPr>
          <w:rFonts w:ascii="Times New Roman" w:hAnsi="Times New Roman" w:cs="Times New Roman"/>
          <w:b/>
          <w:sz w:val="24"/>
          <w:szCs w:val="24"/>
          <w:u w:val="single"/>
        </w:rPr>
        <w:t>pozitívnych vplyvov</w:t>
      </w:r>
      <w:r w:rsidRPr="00410846">
        <w:rPr>
          <w:rFonts w:ascii="Times New Roman" w:hAnsi="Times New Roman" w:cs="Times New Roman"/>
          <w:sz w:val="24"/>
          <w:szCs w:val="24"/>
          <w:u w:val="single"/>
        </w:rPr>
        <w:t xml:space="preserve"> na bežné výdavky verejného rozpočtu sa predpokladá jeden vplyv:</w:t>
      </w:r>
    </w:p>
    <w:p w:rsidR="00F14E8F" w:rsidRPr="00752D41" w:rsidP="00752D41">
      <w:pPr>
        <w:pStyle w:val="ListParagraph"/>
        <w:numPr>
          <w:numId w:val="10"/>
        </w:numPr>
        <w:bidi w:val="0"/>
        <w:jc w:val="both"/>
        <w:rPr>
          <w:rStyle w:val="PlaceholderText"/>
          <w:b/>
          <w:bCs/>
          <w:color w:val="auto"/>
          <w:sz w:val="24"/>
          <w:szCs w:val="24"/>
        </w:rPr>
      </w:pPr>
      <w:r w:rsidR="001D0931">
        <w:rPr>
          <w:rFonts w:ascii="Times New Roman" w:hAnsi="Times New Roman" w:cs="Times New Roman"/>
          <w:b/>
          <w:sz w:val="24"/>
          <w:szCs w:val="24"/>
        </w:rPr>
        <w:t xml:space="preserve">Zníženie normatívu pre žiakov </w:t>
      </w:r>
      <w:r w:rsidR="006E500A">
        <w:rPr>
          <w:rFonts w:ascii="Times New Roman" w:hAnsi="Times New Roman" w:cs="Times New Roman"/>
          <w:b/>
          <w:sz w:val="24"/>
          <w:szCs w:val="24"/>
        </w:rPr>
        <w:t xml:space="preserve">študujúcich v školách umeleckého priemyslu iba odborné predmety </w:t>
      </w:r>
      <w:r w:rsidR="00752D4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52C38" w:rsidR="001D0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2D41" w:rsidR="00752D41">
        <w:rPr>
          <w:rFonts w:ascii="Times New Roman" w:hAnsi="Times New Roman" w:cs="Times New Roman"/>
          <w:bCs/>
          <w:sz w:val="24"/>
          <w:szCs w:val="24"/>
        </w:rPr>
        <w:t>v</w:t>
      </w:r>
      <w:r w:rsidRPr="00752D41" w:rsidR="00A70ABB">
        <w:rPr>
          <w:rStyle w:val="PlaceholderText"/>
          <w:color w:val="000000"/>
          <w:sz w:val="24"/>
          <w:szCs w:val="24"/>
        </w:rPr>
        <w:t> súvislosti so zavedení</w:t>
      </w:r>
      <w:r w:rsidR="009B4115">
        <w:rPr>
          <w:rStyle w:val="PlaceholderText"/>
          <w:color w:val="000000"/>
          <w:sz w:val="24"/>
          <w:szCs w:val="24"/>
        </w:rPr>
        <w:t xml:space="preserve">m </w:t>
      </w:r>
      <w:r w:rsidRPr="00752D41" w:rsidR="00A70ABB">
        <w:rPr>
          <w:rStyle w:val="PlaceholderText"/>
          <w:color w:val="000000"/>
          <w:sz w:val="24"/>
          <w:szCs w:val="24"/>
        </w:rPr>
        <w:t xml:space="preserve">nového druhu strednej školy – </w:t>
      </w:r>
      <w:r w:rsidRPr="003F10BB" w:rsidR="00A70ABB">
        <w:rPr>
          <w:rStyle w:val="PlaceholderText"/>
          <w:i/>
          <w:color w:val="000000"/>
          <w:sz w:val="24"/>
          <w:szCs w:val="24"/>
        </w:rPr>
        <w:t>škola umeleckého priemyslu</w:t>
      </w:r>
      <w:r w:rsidRPr="00752D41" w:rsidR="00A70ABB">
        <w:rPr>
          <w:rStyle w:val="PlaceholderText"/>
          <w:color w:val="000000"/>
          <w:sz w:val="24"/>
          <w:szCs w:val="24"/>
        </w:rPr>
        <w:t xml:space="preserve"> – s účinnosťou od 1. 9. 2019 bude </w:t>
      </w:r>
      <w:r w:rsidR="009B4115">
        <w:rPr>
          <w:rStyle w:val="PlaceholderText"/>
          <w:color w:val="000000"/>
          <w:sz w:val="24"/>
          <w:szCs w:val="24"/>
        </w:rPr>
        <w:t>normatív na žiaka, ktorí už získal v predchádzajúcom štúdiu úplné stredné všeobecné alebo odborné vzdelanie a</w:t>
      </w:r>
      <w:r w:rsidR="006E500A">
        <w:rPr>
          <w:rStyle w:val="PlaceholderText"/>
          <w:color w:val="000000"/>
          <w:sz w:val="24"/>
          <w:szCs w:val="24"/>
        </w:rPr>
        <w:t> </w:t>
      </w:r>
      <w:r w:rsidR="009B4115">
        <w:rPr>
          <w:rStyle w:val="PlaceholderText"/>
          <w:color w:val="000000"/>
          <w:sz w:val="24"/>
          <w:szCs w:val="24"/>
        </w:rPr>
        <w:t>začne</w:t>
      </w:r>
      <w:r w:rsidRPr="00752D41" w:rsidR="00A70ABB">
        <w:rPr>
          <w:rStyle w:val="PlaceholderText"/>
          <w:color w:val="000000"/>
          <w:sz w:val="24"/>
          <w:szCs w:val="24"/>
        </w:rPr>
        <w:t xml:space="preserve"> študovať v te</w:t>
      </w:r>
      <w:r w:rsidRPr="00752D41">
        <w:rPr>
          <w:rStyle w:val="PlaceholderText"/>
          <w:color w:val="000000"/>
          <w:sz w:val="24"/>
          <w:szCs w:val="24"/>
        </w:rPr>
        <w:t>j</w:t>
      </w:r>
      <w:r w:rsidRPr="00752D41" w:rsidR="00A70ABB">
        <w:rPr>
          <w:rStyle w:val="PlaceholderText"/>
          <w:color w:val="000000"/>
          <w:sz w:val="24"/>
          <w:szCs w:val="24"/>
        </w:rPr>
        <w:t>to škole</w:t>
      </w:r>
      <w:r w:rsidR="009B4115">
        <w:rPr>
          <w:rStyle w:val="PlaceholderText"/>
          <w:color w:val="000000"/>
          <w:sz w:val="24"/>
          <w:szCs w:val="24"/>
        </w:rPr>
        <w:t xml:space="preserve"> iba odborné predmety</w:t>
      </w:r>
      <w:r w:rsidR="004553C6">
        <w:rPr>
          <w:rStyle w:val="PlaceholderText"/>
          <w:color w:val="000000"/>
          <w:sz w:val="24"/>
          <w:szCs w:val="24"/>
        </w:rPr>
        <w:t xml:space="preserve">, krátený </w:t>
      </w:r>
      <w:r w:rsidRPr="00752D41">
        <w:rPr>
          <w:rStyle w:val="PlaceholderText"/>
          <w:color w:val="000000"/>
          <w:sz w:val="24"/>
          <w:szCs w:val="24"/>
        </w:rPr>
        <w:t>o 5%</w:t>
      </w:r>
      <w:r w:rsidR="009B4115">
        <w:rPr>
          <w:rStyle w:val="PlaceholderText"/>
          <w:color w:val="000000"/>
          <w:sz w:val="24"/>
          <w:szCs w:val="24"/>
        </w:rPr>
        <w:t xml:space="preserve"> rovnako </w:t>
      </w:r>
      <w:r w:rsidRPr="00752D41">
        <w:rPr>
          <w:rStyle w:val="PlaceholderText"/>
          <w:color w:val="000000"/>
          <w:sz w:val="24"/>
          <w:szCs w:val="24"/>
        </w:rPr>
        <w:t xml:space="preserve">ako je to v prípade konzervatórií. </w:t>
      </w:r>
      <w:r w:rsidRPr="00752D41" w:rsidR="00A70ABB">
        <w:rPr>
          <w:rStyle w:val="PlaceholderText"/>
          <w:color w:val="000000"/>
          <w:sz w:val="24"/>
          <w:szCs w:val="24"/>
        </w:rPr>
        <w:t xml:space="preserve"> </w:t>
      </w:r>
      <w:r w:rsidR="004553C6">
        <w:rPr>
          <w:rStyle w:val="PlaceholderText"/>
          <w:color w:val="000000"/>
          <w:sz w:val="24"/>
          <w:szCs w:val="24"/>
        </w:rPr>
        <w:t>U</w:t>
      </w:r>
      <w:r w:rsidRPr="00752D41">
        <w:rPr>
          <w:rStyle w:val="PlaceholderText"/>
          <w:color w:val="000000"/>
          <w:sz w:val="24"/>
          <w:szCs w:val="24"/>
        </w:rPr>
        <w:t>vedené krátenie konzervatórií je upravené nariadením vlády SR č. 630/2008 Z. z., ktorým sa ustanovujú podrobnosti rozpisu finančných prostr</w:t>
      </w:r>
      <w:r w:rsidR="004553C6">
        <w:rPr>
          <w:rStyle w:val="PlaceholderText"/>
          <w:color w:val="000000"/>
          <w:sz w:val="24"/>
          <w:szCs w:val="24"/>
        </w:rPr>
        <w:t>iedkov zo štátneho rozpočtu pre </w:t>
      </w:r>
      <w:r w:rsidRPr="00752D41">
        <w:rPr>
          <w:rStyle w:val="PlaceholderText"/>
          <w:color w:val="000000"/>
          <w:sz w:val="24"/>
          <w:szCs w:val="24"/>
        </w:rPr>
        <w:t>školy a školské zariadenia.</w:t>
      </w:r>
    </w:p>
    <w:p w:rsidR="00F83186" w:rsidP="00F83186">
      <w:pPr>
        <w:pStyle w:val="ListParagraph"/>
        <w:bidi w:val="0"/>
        <w:jc w:val="both"/>
        <w:rPr>
          <w:rStyle w:val="PlaceholderText"/>
          <w:color w:val="000000"/>
          <w:sz w:val="24"/>
          <w:szCs w:val="24"/>
        </w:rPr>
      </w:pPr>
      <w:r w:rsidRPr="00EE1D84" w:rsidR="001D0931">
        <w:rPr>
          <w:rStyle w:val="PlaceholderText"/>
          <w:color w:val="000000"/>
          <w:sz w:val="24"/>
          <w:szCs w:val="24"/>
        </w:rPr>
        <w:t>Personálna náročnosť vzdelávania žiakov</w:t>
      </w:r>
      <w:r w:rsidRPr="009B4115" w:rsidR="009B4115">
        <w:rPr>
          <w:rStyle w:val="PlaceholderText"/>
          <w:color w:val="000000"/>
          <w:sz w:val="24"/>
          <w:szCs w:val="24"/>
        </w:rPr>
        <w:t xml:space="preserve"> </w:t>
      </w:r>
      <w:r w:rsidR="009B4115">
        <w:rPr>
          <w:rStyle w:val="PlaceholderText"/>
          <w:color w:val="000000"/>
          <w:sz w:val="24"/>
          <w:szCs w:val="24"/>
        </w:rPr>
        <w:t>na škole umeleckého priemyslu, ktorí už získali v predchádzajúcom štúdiu úplné stredné všeobecné alebo odborné vzdelanie</w:t>
      </w:r>
      <w:r w:rsidRPr="00EE1D84" w:rsidR="001D0931">
        <w:rPr>
          <w:rStyle w:val="PlaceholderText"/>
          <w:color w:val="000000"/>
          <w:sz w:val="24"/>
          <w:szCs w:val="24"/>
        </w:rPr>
        <w:t xml:space="preserve"> je porovnateľn</w:t>
      </w:r>
      <w:r w:rsidR="001D0931">
        <w:rPr>
          <w:rStyle w:val="PlaceholderText"/>
          <w:color w:val="000000"/>
          <w:sz w:val="24"/>
          <w:szCs w:val="24"/>
        </w:rPr>
        <w:t>á</w:t>
      </w:r>
      <w:r w:rsidRPr="00EE1D84" w:rsidR="001D0931">
        <w:rPr>
          <w:rStyle w:val="PlaceholderText"/>
          <w:color w:val="000000"/>
          <w:sz w:val="24"/>
          <w:szCs w:val="24"/>
        </w:rPr>
        <w:t xml:space="preserve"> s personálnou náročnosťou vzdelávania </w:t>
      </w:r>
      <w:r w:rsidR="009B4115">
        <w:rPr>
          <w:rStyle w:val="PlaceholderText"/>
          <w:color w:val="000000"/>
          <w:sz w:val="24"/>
          <w:szCs w:val="24"/>
        </w:rPr>
        <w:t xml:space="preserve">takýchto </w:t>
      </w:r>
      <w:r w:rsidR="004553C6">
        <w:rPr>
          <w:rStyle w:val="PlaceholderText"/>
          <w:color w:val="000000"/>
          <w:sz w:val="24"/>
          <w:szCs w:val="24"/>
        </w:rPr>
        <w:t>žiakov na </w:t>
      </w:r>
      <w:r w:rsidR="009B4115">
        <w:rPr>
          <w:rStyle w:val="PlaceholderText"/>
          <w:color w:val="000000"/>
          <w:sz w:val="24"/>
          <w:szCs w:val="24"/>
        </w:rPr>
        <w:t>konzervatóriách</w:t>
      </w:r>
      <w:r w:rsidR="001D0931">
        <w:rPr>
          <w:rStyle w:val="PlaceholderText"/>
          <w:color w:val="000000"/>
          <w:sz w:val="24"/>
          <w:szCs w:val="24"/>
        </w:rPr>
        <w:t>.</w:t>
      </w:r>
    </w:p>
    <w:p w:rsidR="007D5748" w:rsidRPr="00F83186" w:rsidP="00B73846">
      <w:pPr>
        <w:pStyle w:val="ListParagraph"/>
        <w:bidi w:val="0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846" w:rsidR="00CE1032">
        <w:rPr>
          <w:rFonts w:ascii="Times New Roman" w:hAnsi="Times New Roman" w:cs="Times New Roman"/>
          <w:sz w:val="24"/>
          <w:szCs w:val="24"/>
          <w:lang w:eastAsia="sk-SK"/>
        </w:rPr>
        <w:t xml:space="preserve">Predpokladaný vplyv </w:t>
      </w:r>
      <w:r w:rsidR="004553C6">
        <w:rPr>
          <w:rFonts w:ascii="Times New Roman" w:hAnsi="Times New Roman" w:cs="Times New Roman"/>
          <w:sz w:val="24"/>
          <w:szCs w:val="24"/>
          <w:lang w:eastAsia="sk-SK"/>
        </w:rPr>
        <w:t xml:space="preserve">je prepočítaný </w:t>
      </w:r>
      <w:r w:rsidR="00C4758E">
        <w:rPr>
          <w:rFonts w:ascii="Times New Roman" w:hAnsi="Times New Roman" w:cs="Times New Roman"/>
          <w:sz w:val="24"/>
          <w:szCs w:val="24"/>
          <w:lang w:eastAsia="sk-SK"/>
        </w:rPr>
        <w:t xml:space="preserve">odhadom </w:t>
      </w:r>
      <w:r w:rsidR="004553C6">
        <w:rPr>
          <w:rFonts w:ascii="Times New Roman" w:hAnsi="Times New Roman" w:cs="Times New Roman"/>
          <w:sz w:val="24"/>
          <w:szCs w:val="24"/>
          <w:lang w:eastAsia="sk-SK"/>
        </w:rPr>
        <w:t>na</w:t>
      </w:r>
      <w:r w:rsidRPr="00410846" w:rsidR="001D093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410846" w:rsidR="00CE1032">
        <w:rPr>
          <w:rFonts w:ascii="Times New Roman" w:hAnsi="Times New Roman" w:cs="Times New Roman"/>
          <w:sz w:val="24"/>
          <w:szCs w:val="24"/>
          <w:lang w:eastAsia="sk-SK"/>
        </w:rPr>
        <w:t>54</w:t>
      </w:r>
      <w:r w:rsidRPr="00410846" w:rsidR="001D0931">
        <w:rPr>
          <w:rFonts w:ascii="Times New Roman" w:hAnsi="Times New Roman" w:cs="Times New Roman"/>
          <w:sz w:val="24"/>
          <w:szCs w:val="24"/>
          <w:lang w:eastAsia="sk-SK"/>
        </w:rPr>
        <w:t xml:space="preserve"> žiakov</w:t>
      </w:r>
      <w:r w:rsidRPr="00410846" w:rsidR="00CE1032">
        <w:rPr>
          <w:rFonts w:ascii="Times New Roman" w:hAnsi="Times New Roman" w:cs="Times New Roman"/>
          <w:sz w:val="24"/>
          <w:szCs w:val="24"/>
          <w:lang w:eastAsia="sk-SK"/>
        </w:rPr>
        <w:t xml:space="preserve">, ktorí </w:t>
      </w:r>
      <w:r w:rsidR="009B4115">
        <w:rPr>
          <w:rFonts w:ascii="Times New Roman" w:hAnsi="Times New Roman" w:cs="Times New Roman"/>
          <w:sz w:val="24"/>
          <w:szCs w:val="24"/>
          <w:lang w:eastAsia="sk-SK"/>
        </w:rPr>
        <w:t xml:space="preserve">v súčasnosti v študujú v umeleckých študijných odboroch </w:t>
      </w:r>
      <w:r w:rsidRPr="00410846" w:rsidR="00CE1032">
        <w:rPr>
          <w:rFonts w:ascii="Times New Roman" w:hAnsi="Times New Roman" w:cs="Times New Roman"/>
          <w:sz w:val="24"/>
          <w:szCs w:val="24"/>
          <w:lang w:eastAsia="sk-SK"/>
        </w:rPr>
        <w:t xml:space="preserve">v pomaturitnom kvalifikačnom štúdiu </w:t>
      </w:r>
      <w:r w:rsidRPr="00410846" w:rsidR="001D0931">
        <w:rPr>
          <w:rFonts w:ascii="Times New Roman" w:hAnsi="Times New Roman" w:cs="Times New Roman"/>
          <w:sz w:val="24"/>
          <w:szCs w:val="24"/>
          <w:lang w:eastAsia="sk-SK"/>
        </w:rPr>
        <w:t>financovaných z</w:t>
      </w:r>
      <w:r w:rsidR="004553C6">
        <w:rPr>
          <w:rFonts w:ascii="Times New Roman" w:hAnsi="Times New Roman" w:cs="Times New Roman"/>
          <w:sz w:val="24"/>
          <w:szCs w:val="24"/>
          <w:lang w:eastAsia="sk-SK"/>
        </w:rPr>
        <w:t> rozpočtu kapitoly</w:t>
      </w:r>
      <w:r w:rsidRPr="00410846" w:rsidR="001D0931">
        <w:rPr>
          <w:rFonts w:ascii="Times New Roman" w:hAnsi="Times New Roman" w:cs="Times New Roman"/>
          <w:sz w:val="24"/>
          <w:szCs w:val="24"/>
          <w:lang w:eastAsia="sk-SK"/>
        </w:rPr>
        <w:t xml:space="preserve"> MŠVVaŠ SR. Normatív</w:t>
      </w:r>
      <w:r w:rsidR="00F67B2D">
        <w:rPr>
          <w:rFonts w:ascii="Times New Roman" w:hAnsi="Times New Roman" w:cs="Times New Roman"/>
          <w:sz w:val="24"/>
          <w:szCs w:val="24"/>
          <w:lang w:eastAsia="sk-SK"/>
        </w:rPr>
        <w:t xml:space="preserve"> spolu – stred v kategórii škôl </w:t>
      </w:r>
      <w:r w:rsidRPr="00E6685F" w:rsidR="00E6685F">
        <w:rPr>
          <w:rFonts w:ascii="Times New Roman" w:hAnsi="Times New Roman" w:cs="Times New Roman"/>
          <w:i/>
          <w:sz w:val="24"/>
          <w:szCs w:val="24"/>
          <w:lang w:eastAsia="sk-SK"/>
        </w:rPr>
        <w:t>Stredné odborné školy – 13. kategória</w:t>
      </w:r>
      <w:r w:rsidRPr="00410846" w:rsidR="001D0931">
        <w:rPr>
          <w:rFonts w:ascii="Times New Roman" w:hAnsi="Times New Roman" w:cs="Times New Roman"/>
          <w:sz w:val="24"/>
          <w:szCs w:val="24"/>
          <w:lang w:eastAsia="sk-SK"/>
        </w:rPr>
        <w:t xml:space="preserve"> na žiaka sa z</w:t>
      </w:r>
      <w:r w:rsidRPr="00410846" w:rsidR="00CE1032">
        <w:rPr>
          <w:rFonts w:ascii="Times New Roman" w:hAnsi="Times New Roman" w:cs="Times New Roman"/>
          <w:sz w:val="24"/>
          <w:szCs w:val="24"/>
          <w:lang w:eastAsia="sk-SK"/>
        </w:rPr>
        <w:t>níži</w:t>
      </w:r>
      <w:r w:rsidRPr="00410846" w:rsidR="001D0931">
        <w:rPr>
          <w:rFonts w:ascii="Times New Roman" w:hAnsi="Times New Roman" w:cs="Times New Roman"/>
          <w:sz w:val="24"/>
          <w:szCs w:val="24"/>
          <w:lang w:eastAsia="sk-SK"/>
        </w:rPr>
        <w:t xml:space="preserve"> v priemere o </w:t>
      </w:r>
      <w:r w:rsidRPr="00410846" w:rsidR="00010743">
        <w:rPr>
          <w:rFonts w:ascii="Times New Roman" w:hAnsi="Times New Roman" w:cs="Times New Roman"/>
          <w:sz w:val="24"/>
          <w:szCs w:val="24"/>
          <w:lang w:eastAsia="sk-SK"/>
        </w:rPr>
        <w:t>145</w:t>
      </w:r>
      <w:r w:rsidRPr="00410846" w:rsidR="001D093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410846" w:rsidR="001D0931">
        <w:rPr>
          <w:rFonts w:ascii="Times New Roman" w:hAnsi="Times New Roman" w:cs="Times New Roman"/>
          <w:sz w:val="24"/>
          <w:szCs w:val="24"/>
        </w:rPr>
        <w:t xml:space="preserve">eur, pričom </w:t>
      </w:r>
      <w:r w:rsidRPr="00410846" w:rsidR="001D0931">
        <w:rPr>
          <w:rFonts w:ascii="Times New Roman" w:hAnsi="Times New Roman" w:cs="Times New Roman"/>
          <w:sz w:val="24"/>
          <w:szCs w:val="24"/>
          <w:lang w:eastAsia="sk-SK"/>
        </w:rPr>
        <w:t>celkov</w:t>
      </w:r>
      <w:r w:rsidR="00016CC6">
        <w:rPr>
          <w:rFonts w:ascii="Times New Roman" w:hAnsi="Times New Roman" w:cs="Times New Roman"/>
          <w:sz w:val="24"/>
          <w:szCs w:val="24"/>
          <w:lang w:eastAsia="sk-SK"/>
        </w:rPr>
        <w:t xml:space="preserve">ý ročný dopad predstavuje sumu </w:t>
      </w:r>
      <w:r w:rsidRPr="00410846" w:rsidR="00010743">
        <w:rPr>
          <w:rFonts w:ascii="Times New Roman" w:hAnsi="Times New Roman" w:cs="Times New Roman"/>
          <w:sz w:val="24"/>
          <w:szCs w:val="24"/>
          <w:lang w:eastAsia="sk-SK"/>
        </w:rPr>
        <w:t>7830</w:t>
      </w:r>
      <w:r w:rsidRPr="00410846" w:rsidR="001D0931">
        <w:rPr>
          <w:rFonts w:ascii="Times New Roman" w:hAnsi="Times New Roman" w:cs="Times New Roman"/>
          <w:sz w:val="24"/>
          <w:szCs w:val="24"/>
          <w:lang w:eastAsia="sk-SK"/>
        </w:rPr>
        <w:t xml:space="preserve"> eur.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739"/>
        <w:gridCol w:w="1619"/>
        <w:gridCol w:w="1619"/>
        <w:gridCol w:w="1619"/>
        <w:gridCol w:w="16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E78E8" w:rsidRPr="00512489" w:rsidP="00016CC6">
            <w:pPr>
              <w:bidi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512489">
              <w:rPr>
                <w:rFonts w:ascii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E78E8" w:rsidRPr="00512489" w:rsidP="00016C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</w:pPr>
            <w:r w:rsidRPr="00512489"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E78E8" w:rsidRPr="00512489" w:rsidP="00016C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</w:pPr>
            <w:r w:rsidRPr="00512489"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E78E8" w:rsidRPr="00512489" w:rsidP="00016C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</w:pPr>
            <w:r w:rsidRPr="00512489"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E78E8" w:rsidRPr="00512489" w:rsidP="00016C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</w:pPr>
            <w:r w:rsidRPr="00512489">
              <w:rPr>
                <w:rFonts w:ascii="Times New Roman" w:hAnsi="Times New Roman" w:cs="Times New Roman"/>
                <w:b/>
                <w:bCs/>
                <w:color w:val="821A1A"/>
                <w:sz w:val="20"/>
                <w:szCs w:val="20"/>
                <w:lang w:eastAsia="sk-SK"/>
              </w:rPr>
              <w:t>2021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E78E8" w:rsidRPr="00512489" w:rsidP="00016CC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="001120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Úspora z </w:t>
            </w:r>
            <w:r w:rsidRPr="005124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krátenia normatívu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5124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(</w:t>
            </w:r>
            <w:r w:rsidR="003E20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 </w:t>
            </w:r>
            <w:r w:rsidR="00FA70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eur</w:t>
            </w:r>
            <w:r w:rsidR="003E20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ách</w:t>
            </w:r>
            <w:r w:rsidRPr="005124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  <w:r w:rsidR="00D62D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– účinnosť </w:t>
            </w:r>
            <w:r w:rsidR="00016CC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od </w:t>
            </w:r>
            <w:r w:rsidR="00D62DF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1.9.2019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1E78E8" w:rsidRPr="00512489" w:rsidP="00016C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1E78E8" w:rsidRPr="00512489" w:rsidP="00016CC6">
            <w:pPr>
              <w:tabs>
                <w:tab w:val="left" w:pos="255"/>
                <w:tab w:val="center" w:pos="727"/>
              </w:tabs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2 610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1E78E8" w:rsidRPr="00512489" w:rsidP="00016CC6">
            <w:pPr>
              <w:tabs>
                <w:tab w:val="center" w:pos="727"/>
              </w:tabs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124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830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1E78E8" w:rsidRPr="00512489" w:rsidP="00016C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7 830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70"/>
        </w:trPr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E78E8" w:rsidRPr="00512489" w:rsidP="00016CC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124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 toho MŠVVaŠ SR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100</w:t>
            </w:r>
            <w:r w:rsidRPr="005124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%)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E78E8" w:rsidRPr="00512489" w:rsidP="00016C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E78E8" w:rsidRPr="00512489" w:rsidP="00016C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1102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610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E78E8" w:rsidRPr="00512489" w:rsidP="00016CC6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7 830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E78E8" w:rsidRPr="00512489" w:rsidP="00016CC6">
            <w:pPr>
              <w:tabs>
                <w:tab w:val="center" w:pos="726"/>
              </w:tabs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1102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830</w:t>
            </w:r>
          </w:p>
        </w:tc>
      </w:tr>
    </w:tbl>
    <w:p w:rsidR="00A25563" w:rsidP="00410846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0846" w:rsidRPr="00410846" w:rsidP="00410846">
      <w:pPr>
        <w:autoSpaceDE w:val="0"/>
        <w:autoSpaceDN w:val="0"/>
        <w:bidi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Tieto</w:t>
      </w:r>
      <w:r w:rsidRPr="00410846">
        <w:rPr>
          <w:rFonts w:ascii="Times New Roman" w:hAnsi="Times New Roman" w:cs="Times New Roman"/>
          <w:i/>
          <w:sz w:val="24"/>
          <w:szCs w:val="24"/>
        </w:rPr>
        <w:t xml:space="preserve"> vplyv</w:t>
      </w:r>
      <w:r>
        <w:rPr>
          <w:rFonts w:ascii="Times New Roman" w:hAnsi="Times New Roman" w:cs="Times New Roman"/>
          <w:i/>
          <w:sz w:val="24"/>
          <w:szCs w:val="24"/>
        </w:rPr>
        <w:t>y</w:t>
      </w:r>
      <w:r w:rsidRPr="00410846">
        <w:rPr>
          <w:rFonts w:ascii="Times New Roman" w:hAnsi="Times New Roman" w:cs="Times New Roman"/>
          <w:i/>
          <w:sz w:val="24"/>
          <w:szCs w:val="24"/>
        </w:rPr>
        <w:t xml:space="preserve"> na bež</w:t>
      </w:r>
      <w:r>
        <w:rPr>
          <w:rFonts w:ascii="Times New Roman" w:hAnsi="Times New Roman" w:cs="Times New Roman"/>
          <w:i/>
          <w:sz w:val="24"/>
          <w:szCs w:val="24"/>
        </w:rPr>
        <w:t>né výdavky verejného rozpočtu sú uvedené</w:t>
      </w:r>
      <w:r w:rsidRPr="00410846">
        <w:rPr>
          <w:rFonts w:ascii="Times New Roman" w:hAnsi="Times New Roman" w:cs="Times New Roman"/>
          <w:i/>
          <w:sz w:val="24"/>
          <w:szCs w:val="24"/>
        </w:rPr>
        <w:t xml:space="preserve"> v</w:t>
      </w:r>
      <w:r w:rsidR="00F83186">
        <w:rPr>
          <w:rFonts w:ascii="Times New Roman" w:hAnsi="Times New Roman" w:cs="Times New Roman"/>
          <w:i/>
          <w:sz w:val="24"/>
          <w:szCs w:val="24"/>
        </w:rPr>
        <w:t> </w:t>
      </w:r>
      <w:r w:rsidRPr="00697E11">
        <w:rPr>
          <w:rFonts w:ascii="Times New Roman" w:hAnsi="Times New Roman" w:cs="Times New Roman"/>
          <w:i/>
          <w:sz w:val="24"/>
          <w:szCs w:val="24"/>
        </w:rPr>
        <w:t>tabuľk</w:t>
      </w:r>
      <w:r w:rsidR="00F83186">
        <w:rPr>
          <w:rFonts w:ascii="Times New Roman" w:hAnsi="Times New Roman" w:cs="Times New Roman"/>
          <w:i/>
          <w:sz w:val="24"/>
          <w:szCs w:val="24"/>
        </w:rPr>
        <w:t>ách č. 4</w:t>
      </w:r>
      <w:r w:rsidRPr="00410846">
        <w:rPr>
          <w:rFonts w:ascii="Times New Roman" w:hAnsi="Times New Roman" w:cs="Times New Roman"/>
          <w:i/>
          <w:sz w:val="24"/>
          <w:szCs w:val="24"/>
        </w:rPr>
        <w:t xml:space="preserve"> pod položkou Transfery v rámci verejnej správy (641).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  <w:sectPr w:rsidSect="006E51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276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8E5B7D" w:rsidP="008E5B7D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5B0CAE" w:rsidR="008E5B7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</w:t>
      </w:r>
      <w:r w:rsidRPr="005B0CAE" w:rsidR="00B46440">
        <w:rPr>
          <w:rFonts w:ascii="Times New Roman" w:hAnsi="Times New Roman" w:cs="Times New Roman"/>
          <w:bCs/>
          <w:sz w:val="24"/>
          <w:szCs w:val="24"/>
          <w:lang w:eastAsia="sk-SK"/>
        </w:rPr>
        <w:t>3</w:t>
      </w:r>
      <w:r w:rsidR="008E5B7D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39344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3934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39344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3934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39344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3934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393447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39344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840AAD" w:rsidP="00CA3B29">
            <w:pPr>
              <w:bidi w:val="0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672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A853F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672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A853F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672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A853F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672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6433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CA3B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B6A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B6A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B6A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8B6A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A74" w:rsidRPr="007D5748" w:rsidP="008B6A7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A74" w:rsidRPr="007D5748" w:rsidP="00CA3B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A74" w:rsidRPr="007D5748" w:rsidP="008B6A7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A74" w:rsidRPr="007D5748" w:rsidP="008B6A7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A74" w:rsidRPr="007D5748" w:rsidP="008B6A7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B6A74" w:rsidRPr="007D5748" w:rsidP="008B6A7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A74" w:rsidRPr="007D5748" w:rsidP="008B6A7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8B6A74" w:rsidRPr="007D5748" w:rsidP="00CA3B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8B6A74" w:rsidRPr="007D5748" w:rsidP="008B6A7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8B6A74" w:rsidRPr="007D5748" w:rsidP="008B6A7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8B6A74" w:rsidRPr="007D5748" w:rsidP="008B6A7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B6A74" w:rsidRPr="007D5748" w:rsidP="008B6A7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6A74" w:rsidRPr="007D5748" w:rsidP="008B6A7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8B6A74" w:rsidRPr="007D5748" w:rsidP="00CA3B2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8B6A74" w:rsidRPr="007D5748" w:rsidP="008B6A7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8B6A74" w:rsidRPr="007D5748" w:rsidP="008B6A7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8B6A74" w:rsidRPr="007D5748" w:rsidP="008B6A7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8B6A74" w:rsidRPr="007D5748" w:rsidP="008B6A7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A853F4" w:rsidRPr="007D5748" w:rsidP="00A853F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853F4" w:rsidRPr="00840AAD" w:rsidP="00CA3B29">
            <w:pPr>
              <w:bidi w:val="0"/>
              <w:spacing w:after="0" w:line="240" w:lineRule="auto"/>
              <w:ind w:left="360" w:hanging="34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672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853F4" w:rsidRPr="007D5748" w:rsidP="00A853F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672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853F4" w:rsidRPr="007D5748" w:rsidP="00A853F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672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A853F4" w:rsidRPr="007D5748" w:rsidP="00A853F4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26723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A853F4" w:rsidRPr="007D5748" w:rsidP="00A853F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1 –</w:t>
      </w:r>
      <w:r w:rsidR="00B37F4B">
        <w:rPr>
          <w:rFonts w:ascii="Times New Roman" w:hAnsi="Times New Roman" w:cs="Times New Roman"/>
          <w:bCs/>
          <w:sz w:val="20"/>
          <w:szCs w:val="20"/>
          <w:lang w:eastAsia="sk-SK"/>
        </w:rPr>
        <w:t xml:space="preserve"> </w:t>
      </w: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príjmy rozpísať až do položiek platnej ekonomickej klasifikácie</w:t>
      </w:r>
    </w:p>
    <w:p w:rsidR="007D5748" w:rsidRPr="007D5748" w:rsidP="00DB03AC">
      <w:pPr>
        <w:tabs>
          <w:tab w:val="num" w:pos="1080"/>
        </w:tabs>
        <w:bidi w:val="0"/>
        <w:spacing w:after="0" w:line="240" w:lineRule="auto"/>
        <w:ind w:right="-578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31CE9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31CE9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31CE9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31CE9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31CE9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31CE9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496013" w:rsidP="00496013">
      <w:pPr>
        <w:tabs>
          <w:tab w:val="left" w:pos="465"/>
          <w:tab w:val="num" w:pos="1080"/>
          <w:tab w:val="right" w:pos="14034"/>
        </w:tabs>
        <w:bidi w:val="0"/>
        <w:spacing w:after="0" w:line="240" w:lineRule="auto"/>
        <w:ind w:right="-32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B256CC" w:rsidP="00B256CC">
      <w:pPr>
        <w:tabs>
          <w:tab w:val="left" w:pos="465"/>
          <w:tab w:val="num" w:pos="1080"/>
          <w:tab w:val="right" w:pos="14034"/>
        </w:tabs>
        <w:bidi w:val="0"/>
        <w:spacing w:after="0" w:line="240" w:lineRule="auto"/>
        <w:ind w:right="-32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="00496013">
        <w:rPr>
          <w:rFonts w:ascii="Times New Roman" w:hAnsi="Times New Roman" w:cs="Times New Roman"/>
          <w:bCs/>
          <w:sz w:val="24"/>
          <w:szCs w:val="24"/>
          <w:lang w:eastAsia="sk-SK"/>
        </w:rPr>
        <w:tab/>
        <w:tab/>
        <w:tab/>
      </w:r>
      <w:r w:rsidRPr="005B0CAE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</w:t>
      </w:r>
      <w:r w:rsidRPr="005B0CAE" w:rsidR="000140B7">
        <w:rPr>
          <w:rFonts w:ascii="Times New Roman" w:hAnsi="Times New Roman" w:cs="Times New Roman"/>
          <w:bCs/>
          <w:sz w:val="24"/>
          <w:szCs w:val="24"/>
          <w:lang w:eastAsia="sk-SK"/>
        </w:rPr>
        <w:t>4</w:t>
      </w: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0910E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0910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0910E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0910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0910E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0910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F4897" w:rsidP="000910E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F4897" w:rsidR="000910E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95D39" w:rsidP="00FC39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95D39" w:rsidR="00195D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1 332 632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95D39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="00560D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7 </w:t>
            </w:r>
            <w:r w:rsidRPr="00195D39" w:rsidR="00195D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106 065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95D39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95D39" w:rsidR="00195D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1</w:t>
            </w:r>
            <w:r w:rsidR="00560D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1</w:t>
            </w:r>
            <w:r w:rsidRPr="00195D39" w:rsidR="00195D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 w:rsidR="00560D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2</w:t>
            </w:r>
            <w:r w:rsidRPr="00195D39" w:rsidR="00195D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80 289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95D39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95D39" w:rsidR="00195D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1</w:t>
            </w:r>
            <w:r w:rsidR="00560D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5</w:t>
            </w:r>
            <w:r w:rsidRPr="00195D39" w:rsidR="00195D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 w:rsidR="00560D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6</w:t>
            </w:r>
            <w:r w:rsidRPr="00195D39" w:rsidR="00195D3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41 624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B37F4B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FC39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FC39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FC39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AA5AED" w:rsidP="00FC39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="00B37F4B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FC39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FC39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FC39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AA5AED" w:rsidP="00FC3925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="00B37F4B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Tovary a služby (630)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F3B9C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053B5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7D5748" w:rsidP="002C723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B37F4B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Bežné transfery (640)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496013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49601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1</w:t>
            </w:r>
            <w:r w:rsidR="0031617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332 632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195D39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="00560D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7</w:t>
            </w:r>
            <w:r w:rsidRPr="00195D39" w:rsidR="005F7E4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  <w:r w:rsidRPr="00195D39" w:rsidR="005B3B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106</w:t>
            </w:r>
            <w:r w:rsidRPr="00195D39" w:rsidR="005F7E4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195D39" w:rsidR="005B3BF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065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7F3B9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B9C" w:rsidR="007F3B9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1</w:t>
            </w:r>
            <w:r w:rsidR="00560DA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1</w:t>
            </w:r>
            <w:r w:rsidRPr="007F3B9C" w:rsidR="007F3B9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 </w:t>
            </w:r>
            <w:r w:rsidR="00560DA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2</w:t>
            </w:r>
            <w:r w:rsidRPr="007F3B9C" w:rsidR="007F3B9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80 289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275E7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75E7C" w:rsidR="007F3B9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1</w:t>
            </w:r>
            <w:r w:rsidR="00560DA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5</w:t>
            </w:r>
            <w:r w:rsidRPr="00275E7C" w:rsidR="007F3B9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 </w:t>
            </w:r>
            <w:r w:rsidR="00560DA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6</w:t>
            </w:r>
            <w:r w:rsidRPr="00275E7C" w:rsidR="007F3B9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41 624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C7237" w:rsidRPr="00F00084" w:rsidP="002C723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D43D4" w:rsidRPr="002C7237" w:rsidP="005F7E4D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5F7E4D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V tom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C93AD4" w:rsidRPr="005F7E4D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16173" w:rsidRPr="00195D39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16173" w:rsidRPr="007F3B9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16173" w:rsidRPr="00275E7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C93AD4" w:rsidRPr="00F00084" w:rsidP="005F7E4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F7E4D" w:rsidP="00C93AD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2C7237">
              <w:rPr>
                <w:rFonts w:ascii="Times New Roman" w:hAnsi="Times New Roman" w:cs="Times New Roman"/>
                <w:i/>
                <w:sz w:val="20"/>
                <w:szCs w:val="20"/>
              </w:rPr>
              <w:t>Transfery v rámci verejnej správy (64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2C723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za MŠVVaŠ SR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F7E4D" w:rsidRPr="00195D39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195D39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1 119 411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F7E4D" w:rsidRPr="00195D39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195D39" w:rsidR="005B3BFF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5 968 677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F7E4D" w:rsidRPr="00195D39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195D3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9 474 190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F7E4D" w:rsidRPr="00195D39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195D39" w:rsidR="007F3B9C">
              <w:rPr>
                <w:rFonts w:ascii="Times New Roman" w:hAnsi="Times New Roman" w:cs="Times New Roman"/>
                <w:color w:val="000000" w:themeColor="tx1" w:themeShade="FF"/>
                <w:sz w:val="20"/>
                <w:szCs w:val="20"/>
                <w:lang w:eastAsia="sk-SK"/>
              </w:rPr>
              <w:t>13 137 711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F7E4D" w:rsidRPr="00F00084" w:rsidP="00C93AD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F7E4D" w:rsidRPr="005F7E4D" w:rsidP="00C93AD4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7237">
              <w:rPr>
                <w:rFonts w:ascii="Times New Roman" w:hAnsi="Times New Roman" w:cs="Times New Roman"/>
                <w:i/>
                <w:sz w:val="20"/>
                <w:szCs w:val="20"/>
              </w:rPr>
              <w:t>Transfery v rámci verejnej správy (64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Pr="002C7237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za MV SR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F7E4D" w:rsidRPr="00195D39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195D39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213 221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F7E4D" w:rsidRPr="00195D39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195D39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1 137 388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F7E4D" w:rsidRPr="00195D39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195D39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1 806 099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F7E4D" w:rsidRPr="00195D39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195D39" w:rsidR="007F3B9C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2 503 913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F7E4D" w:rsidRPr="00F00084" w:rsidP="00C93AD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C7237" w:rsidRPr="007D5748" w:rsidP="002C723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B37F4B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Splácanie úrokov a ostatné platby súvisiace s</w:t>
            </w:r>
            <w:r w:rsidR="00B37F4B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8D339D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195D39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195D39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195D39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195D39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C7237" w:rsidRPr="007D5748" w:rsidP="002C723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7D5748" w:rsidP="002C723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7F3B9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7F3B9C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7F3B9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7F3B9C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7F3B9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7F3B9C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560DA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560DAC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C7237" w:rsidRPr="007D5748" w:rsidP="002C723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7D5748" w:rsidP="002C723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B37F4B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Obstarávanie kapitálových aktív (710)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7F3B9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F3B9C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7F3B9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F3B9C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7F3B9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F3B9C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560DA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60DAC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C7237" w:rsidRPr="007D5748" w:rsidP="002C723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7D5748" w:rsidP="002C723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="00B37F4B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Kapitálové transfery (720)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7F3B9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F3B9C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7F3B9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F3B9C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7F3B9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F3B9C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560DA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60DAC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C7237" w:rsidRPr="007D5748" w:rsidP="002C723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C7237" w:rsidRPr="007D5748" w:rsidP="002C723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2C7237" w:rsidRPr="007F3B9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7F3B9C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2C7237" w:rsidRPr="007F3B9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7F3B9C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2C7237" w:rsidRPr="007F3B9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7F3B9C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2C7237" w:rsidRPr="00560DA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560DAC">
              <w:rPr>
                <w:rFonts w:ascii="Times New Roman" w:hAnsi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2C7237" w:rsidRPr="007D5748" w:rsidP="002C7237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93AD4" w:rsidRPr="007D5748" w:rsidP="00C93AD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93AD4" w:rsidRPr="00496013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49601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1</w:t>
            </w:r>
            <w:r w:rsidR="0031617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332 632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93AD4" w:rsidRPr="00410846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="00560DA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7</w:t>
            </w:r>
            <w:r w:rsidRPr="00195D39" w:rsidR="005B3BFF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 106 065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93AD4" w:rsidRPr="007F3B9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7F3B9C" w:rsidR="007F3B9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1</w:t>
            </w:r>
            <w:r w:rsidR="00560DA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1</w:t>
            </w:r>
            <w:r w:rsidRPr="007F3B9C" w:rsidR="007F3B9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 </w:t>
            </w:r>
            <w:r w:rsidR="00560DA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2</w:t>
            </w:r>
            <w:r w:rsidRPr="007F3B9C" w:rsidR="007F3B9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80 289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C93AD4" w:rsidRPr="00275E7C" w:rsidP="00560DAC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75E7C" w:rsidR="007F3B9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1</w:t>
            </w:r>
            <w:r w:rsidR="00560DA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5</w:t>
            </w:r>
            <w:r w:rsidRPr="00275E7C" w:rsidR="007F3B9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 </w:t>
            </w:r>
            <w:r w:rsidR="00560DA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6</w:t>
            </w:r>
            <w:r w:rsidRPr="00275E7C" w:rsidR="007F3B9C">
              <w:rPr>
                <w:rFonts w:ascii="Times New Roman" w:hAnsi="Times New Roman" w:cs="Times New Roman"/>
                <w:b/>
                <w:sz w:val="20"/>
                <w:szCs w:val="20"/>
                <w:lang w:eastAsia="sk-SK"/>
              </w:rPr>
              <w:t>41 624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C93AD4" w:rsidRPr="007D5748" w:rsidP="00C93AD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2 –</w:t>
      </w:r>
      <w:r w:rsidR="00B37F4B">
        <w:rPr>
          <w:rFonts w:ascii="Times New Roman" w:hAnsi="Times New Roman" w:cs="Times New Roman"/>
          <w:bCs/>
          <w:sz w:val="20"/>
          <w:szCs w:val="20"/>
          <w:lang w:eastAsia="sk-SK"/>
        </w:rPr>
        <w:t xml:space="preserve"> </w:t>
      </w: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výdavky rozpísať až do položiek platnej ekonomickej klasifikácie</w:t>
      </w:r>
    </w:p>
    <w:p w:rsidR="00B256CC">
      <w:pPr>
        <w:bidi w:val="0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br w:type="page"/>
      </w:r>
    </w:p>
    <w:p w:rsidR="007D5748" w:rsidRPr="00B256CC" w:rsidP="00B256CC">
      <w:pPr>
        <w:tabs>
          <w:tab w:val="num" w:pos="1080"/>
        </w:tabs>
        <w:bidi w:val="0"/>
        <w:spacing w:after="12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5B0CAE" w:rsidR="0041084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</w:t>
      </w:r>
      <w:r w:rsidRPr="00DB03AC" w:rsidR="0041084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č. </w:t>
      </w:r>
      <w:r w:rsidRPr="00DB03AC" w:rsidR="00C51084">
        <w:rPr>
          <w:rFonts w:ascii="Times New Roman" w:hAnsi="Times New Roman" w:cs="Times New Roman"/>
          <w:bCs/>
          <w:sz w:val="24"/>
          <w:szCs w:val="24"/>
          <w:lang w:eastAsia="sk-SK"/>
        </w:rPr>
        <w:t>5</w:t>
      </w: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0910E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910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0910E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910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0910E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910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0910E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0910E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="00B37F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19F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B37F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19F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19F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19F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19F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819F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819F8" w:rsidRPr="007D5748" w:rsidP="001819F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819F8" w:rsidRPr="007D5748" w:rsidP="001819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819F8" w:rsidRPr="007D5748" w:rsidP="001819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819F8" w:rsidRPr="007D5748" w:rsidP="001819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819F8" w:rsidRPr="007D5748" w:rsidP="001819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1819F8" w:rsidRPr="007D5748" w:rsidP="001819F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19F8" w:rsidRPr="007D5748" w:rsidP="001819F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19F8" w:rsidRPr="007D5748" w:rsidP="001819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19F8" w:rsidRPr="007D5748" w:rsidP="001819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19F8" w:rsidRPr="007D5748" w:rsidP="001819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19F8" w:rsidRPr="007D5748" w:rsidP="001819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819F8" w:rsidRPr="007D5748" w:rsidP="001819F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19F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B37F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19F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19F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19F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819F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819F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19F8" w:rsidRPr="007D5748" w:rsidP="001819F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19F8" w:rsidRPr="007D5748" w:rsidP="001819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19F8" w:rsidRPr="007D5748" w:rsidP="001819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19F8" w:rsidRPr="007D5748" w:rsidP="001819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19F8" w:rsidRPr="007D5748" w:rsidP="001819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819F8" w:rsidRPr="007D5748" w:rsidP="001819F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19F8" w:rsidRPr="007D5748" w:rsidP="001819F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="00B37F4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19F8" w:rsidRPr="007D5748" w:rsidP="001819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19F8" w:rsidRPr="007D5748" w:rsidP="001819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19F8" w:rsidRPr="007D5748" w:rsidP="001819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819F8" w:rsidRPr="007D5748" w:rsidP="001819F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1819F8" w:rsidRPr="007D5748" w:rsidP="001819F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D5748" w:rsidRPr="007D5748" w:rsidP="007D5748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  <w:p w:rsidR="00384B09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384B09" w:rsidRPr="007D5748" w:rsidP="00384B09">
      <w:pPr>
        <w:bidi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  <w:sectPr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pPr w:leftFromText="141" w:rightFromText="141" w:horzAnchor="margin" w:tblpY="452"/>
        <w:tblW w:w="13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147"/>
        <w:gridCol w:w="1134"/>
        <w:gridCol w:w="1251"/>
        <w:gridCol w:w="1159"/>
        <w:gridCol w:w="1134"/>
        <w:gridCol w:w="1134"/>
      </w:tblGrid>
      <w:tr>
        <w:tblPrEx>
          <w:tblW w:w="13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1. Predpoklady o počte žiakov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2017-2018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2018-2019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2019-2020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2020-2021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2021-2022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Počet žiakov zúčastnených na duálnom vzdelávaní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2 747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5 741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10 102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14 200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16 600 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7D661D">
            <w:pPr>
              <w:bidi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sk-SK"/>
              </w:rPr>
              <w:t xml:space="preserve">Počet žiakov zapojených do </w:t>
            </w:r>
            <w:r w:rsidR="007D661D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sk-SK"/>
              </w:rPr>
              <w:t>SDV</w:t>
            </w:r>
            <w:r w:rsidRPr="003B6FD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sk-SK"/>
              </w:rPr>
              <w:t xml:space="preserve"> - 1. ročník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1 342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3 200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5 000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5 000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5 000 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7D661D">
            <w:pPr>
              <w:bidi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sk-SK"/>
              </w:rPr>
              <w:t xml:space="preserve">Počet žiakov zapojených do </w:t>
            </w:r>
            <w:r w:rsidR="007D661D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sk-SK"/>
              </w:rPr>
              <w:t>SDV</w:t>
            </w:r>
            <w:r w:rsidRPr="003B6FD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sk-SK"/>
              </w:rPr>
              <w:t xml:space="preserve"> - 2. ročník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999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1 342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3 200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5 000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5 000 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7D661D">
            <w:pPr>
              <w:bidi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sk-SK"/>
              </w:rPr>
              <w:t xml:space="preserve">Počet žiakov zapojených do </w:t>
            </w:r>
            <w:r w:rsidR="007D661D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sk-SK"/>
              </w:rPr>
              <w:t>SDV</w:t>
            </w:r>
            <w:r w:rsidRPr="003B6FD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sk-SK"/>
              </w:rPr>
              <w:t xml:space="preserve"> - 3. ročník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406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999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1 342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3 200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5 000 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7D661D">
            <w:pPr>
              <w:bidi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sk-SK"/>
              </w:rPr>
              <w:t xml:space="preserve">Počet žiakov zapojených do </w:t>
            </w:r>
            <w:r w:rsidR="007D661D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sk-SK"/>
              </w:rPr>
              <w:t>SDV</w:t>
            </w:r>
            <w:r w:rsidRPr="003B6FD1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sk-SK"/>
              </w:rPr>
              <w:t xml:space="preserve"> - 4. ročník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200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560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1 000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1 600 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13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3B6FD1" w:rsidRPr="002B033F" w:rsidP="009113A2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Predpoklady o priemernom počte žiakov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2021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97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Priemerný počet žiakov zúčastnených na duálnom vzdelávaní (vážený priemer)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2 210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4 543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8 358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12 561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15 640 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700F5" w:rsidRPr="003B6FD1" w:rsidP="009113A2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Účinnosť novely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-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1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1 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81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textDirection w:val="lrTb"/>
            <w:vAlign w:val="bottom"/>
          </w:tcPr>
          <w:p w:rsidR="001700F5" w:rsidRPr="003B6FD1" w:rsidP="009113A2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Predpoklady o priemernom počte žiakov v odbornom výcviku alebo súvislej praxi (okrem žiakov v dielni)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textDirection w:val="lrTb"/>
            <w:vAlign w:val="bottom"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textDirection w:val="lrTb"/>
            <w:vAlign w:val="bottom"/>
          </w:tcPr>
          <w:p w:rsidR="001700F5" w:rsidRPr="003B6FD1" w:rsidP="009113A2">
            <w:pPr>
              <w:bidi w:val="0"/>
              <w:spacing w:after="0" w:line="240" w:lineRule="auto"/>
              <w:ind w:right="155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textDirection w:val="lrTb"/>
            <w:vAlign w:val="bottom"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textDirection w:val="lrTb"/>
            <w:vAlign w:val="bottom"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textDirection w:val="lrTb"/>
            <w:vAlign w:val="bottom"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2021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Priemerný počet žiakov (vážený priemer)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44 230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46 563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50 377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54 581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57 660 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13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3B6FD1" w:rsidRPr="003B6FD1" w:rsidP="009113A2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68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1.1 A</w:t>
            </w:r>
          </w:p>
          <w:p w:rsidR="001700F5" w:rsidRPr="003B6FD1" w:rsidP="007D661D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 xml:space="preserve">Zrušenie krátenia normatívu školám o normatív na žiakov v </w:t>
            </w:r>
            <w:r w:rsidR="007D661D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SDV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2021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Priemerný prevádzkový normatív na žiaka SOŠ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310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310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310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310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310 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Priemerný mzdový normatív na žiaka SOŠ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2 009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2 009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2 089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2 089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 xml:space="preserve"> 2 089 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7D661D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Priemerný počet žiakov zapojených v </w:t>
            </w:r>
            <w:r w:rsidR="007D661D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SDV</w:t>
            </w:r>
            <w:r w:rsidRPr="003B6FD1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B050"/>
                <w:sz w:val="18"/>
                <w:szCs w:val="18"/>
                <w:lang w:eastAsia="sk-SK"/>
              </w:rPr>
              <w:t xml:space="preserve"> 2 210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B050"/>
                <w:sz w:val="18"/>
                <w:szCs w:val="18"/>
                <w:lang w:eastAsia="sk-SK"/>
              </w:rPr>
              <w:t xml:space="preserve"> 4 543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B050"/>
                <w:sz w:val="18"/>
                <w:szCs w:val="18"/>
                <w:lang w:eastAsia="sk-SK"/>
              </w:rPr>
              <w:t xml:space="preserve"> 8 358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B050"/>
                <w:sz w:val="18"/>
                <w:szCs w:val="18"/>
                <w:lang w:eastAsia="sk-SK"/>
              </w:rPr>
              <w:t xml:space="preserve"> 12 561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B05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B050"/>
                <w:sz w:val="18"/>
                <w:szCs w:val="18"/>
                <w:lang w:eastAsia="sk-SK"/>
              </w:rPr>
              <w:t xml:space="preserve"> 15 640 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Koeficient úspory výdavkov štátu na vzdelávanie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FF0000"/>
                <w:sz w:val="18"/>
                <w:szCs w:val="18"/>
                <w:lang w:eastAsia="sk-SK"/>
              </w:rPr>
              <w:t xml:space="preserve"> 0,29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FF0000"/>
                <w:sz w:val="18"/>
                <w:szCs w:val="18"/>
                <w:lang w:eastAsia="sk-SK"/>
              </w:rPr>
              <w:t xml:space="preserve"> 0,29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FF0000"/>
                <w:sz w:val="18"/>
                <w:szCs w:val="18"/>
                <w:lang w:eastAsia="sk-SK"/>
              </w:rPr>
              <w:t xml:space="preserve"> 0,29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FF0000"/>
                <w:sz w:val="18"/>
                <w:szCs w:val="18"/>
                <w:lang w:eastAsia="sk-SK"/>
              </w:rPr>
              <w:t xml:space="preserve"> 0,29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FF0000"/>
                <w:sz w:val="18"/>
                <w:szCs w:val="18"/>
                <w:lang w:eastAsia="sk-SK"/>
              </w:rPr>
              <w:t xml:space="preserve"> 0,29 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ED2C29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Výška krátenia normatívu (</w:t>
            </w:r>
            <w:r w:rsidR="007D661D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v </w:t>
            </w:r>
            <w:r w:rsidR="00ED2C29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eur</w:t>
            </w:r>
            <w:r w:rsidR="007D661D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ách</w:t>
            </w:r>
            <w:r w:rsidRPr="003B6FD1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sz w:val="18"/>
                <w:szCs w:val="18"/>
                <w:lang w:eastAsia="sk-SK"/>
              </w:rPr>
              <w:t xml:space="preserve"> 580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sz w:val="18"/>
                <w:szCs w:val="18"/>
                <w:lang w:eastAsia="sk-SK"/>
              </w:rPr>
              <w:t xml:space="preserve"> 580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sz w:val="18"/>
                <w:szCs w:val="18"/>
                <w:lang w:eastAsia="sk-SK"/>
              </w:rPr>
              <w:t xml:space="preserve"> 604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sz w:val="18"/>
                <w:szCs w:val="18"/>
                <w:lang w:eastAsia="sk-SK"/>
              </w:rPr>
              <w:t xml:space="preserve"> 604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sz w:val="18"/>
                <w:szCs w:val="18"/>
                <w:lang w:eastAsia="sk-SK"/>
              </w:rPr>
              <w:t xml:space="preserve"> 604 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4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A818CC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Zrušenie krátenia normatívu za žiakov v </w:t>
            </w:r>
            <w:r w:rsidR="007D661D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SDV</w:t>
            </w:r>
            <w:r w:rsidRPr="003B6FD1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 (sep</w:t>
            </w:r>
            <w:r w:rsidR="00A818CC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t.</w:t>
            </w:r>
            <w:r w:rsidRPr="003B6FD1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-</w:t>
            </w:r>
            <w:r w:rsidR="00A818CC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 d</w:t>
            </w:r>
            <w:r w:rsidRPr="003B6FD1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ec</w:t>
            </w:r>
            <w:r w:rsidR="00A818CC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.</w:t>
            </w:r>
            <w:r w:rsidRPr="003B6FD1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 roku t)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sz w:val="18"/>
                <w:szCs w:val="18"/>
                <w:lang w:eastAsia="sk-SK"/>
              </w:rPr>
              <w:t xml:space="preserve"> -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sz w:val="18"/>
                <w:szCs w:val="18"/>
                <w:lang w:eastAsia="sk-SK"/>
              </w:rPr>
              <w:t xml:space="preserve"> 1 332 632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sz w:val="18"/>
                <w:szCs w:val="18"/>
                <w:lang w:eastAsia="sk-SK"/>
              </w:rPr>
              <w:t xml:space="preserve"> 2 438 728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sz w:val="18"/>
                <w:szCs w:val="18"/>
                <w:lang w:eastAsia="sk-SK"/>
              </w:rPr>
              <w:t xml:space="preserve"> 3 428 027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sz w:val="18"/>
                <w:szCs w:val="18"/>
                <w:lang w:eastAsia="sk-SK"/>
              </w:rPr>
              <w:t xml:space="preserve"> 4 007 412 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340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7D661D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Zrušenie krátenia mzdového normatívu za žiakov v </w:t>
            </w:r>
            <w:r w:rsidR="007D661D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SDV</w:t>
            </w:r>
            <w:r w:rsidRPr="003B6FD1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 (jan</w:t>
            </w:r>
            <w:r w:rsidR="00A818CC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. </w:t>
            </w:r>
            <w:r w:rsidRPr="003B6FD1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-</w:t>
            </w:r>
            <w:r w:rsidR="00A818CC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3B6FD1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jún roku t)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sz w:val="18"/>
                <w:szCs w:val="18"/>
                <w:lang w:eastAsia="sk-SK"/>
              </w:rPr>
              <w:t xml:space="preserve"> -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sz w:val="18"/>
                <w:szCs w:val="18"/>
                <w:lang w:eastAsia="sk-SK"/>
              </w:rPr>
              <w:t xml:space="preserve"> -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sz w:val="18"/>
                <w:szCs w:val="18"/>
                <w:lang w:eastAsia="sk-SK"/>
              </w:rPr>
              <w:t xml:space="preserve"> 1 998 948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sz w:val="18"/>
                <w:szCs w:val="18"/>
                <w:lang w:eastAsia="sk-SK"/>
              </w:rPr>
              <w:t xml:space="preserve"> 3 658 092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sz w:val="18"/>
                <w:szCs w:val="18"/>
                <w:lang w:eastAsia="sk-SK"/>
              </w:rPr>
              <w:t xml:space="preserve"> 5 142 041 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2021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Náklady na zrušenie krátenia normatívu </w:t>
            </w:r>
            <w:r w:rsidR="002930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(v eurách)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-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1 332 632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4 437 675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7 086 119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9 149 454 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ind w:firstLine="360" w:firstLineChars="20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z toho MŠVVaŠ SR (84 %)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-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1 119 411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3 727 647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5 952 340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7 685 541 </w:t>
            </w:r>
          </w:p>
        </w:tc>
      </w:tr>
      <w:tr>
        <w:tblPrEx>
          <w:tblW w:w="13959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83"/>
        </w:trPr>
        <w:tc>
          <w:tcPr>
            <w:tcW w:w="8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ind w:firstLine="360" w:firstLineChars="20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z toho MV SR (16 %)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-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213 221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710 028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1 133 779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1700F5" w:rsidRPr="003B6FD1" w:rsidP="009113A2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1 463 913 </w:t>
            </w:r>
          </w:p>
        </w:tc>
      </w:tr>
    </w:tbl>
    <w:p w:rsidR="009113A2" w:rsidRPr="00B256CC" w:rsidP="00B256CC">
      <w:pPr>
        <w:bidi w:val="0"/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6CC">
        <w:rPr>
          <w:rFonts w:ascii="Times New Roman" w:hAnsi="Times New Roman" w:cs="Times New Roman"/>
          <w:sz w:val="24"/>
          <w:szCs w:val="24"/>
        </w:rPr>
        <w:t xml:space="preserve">Tabuľka č. </w:t>
      </w:r>
      <w:r w:rsidRPr="00B256CC" w:rsidR="00C51084">
        <w:rPr>
          <w:rFonts w:ascii="Times New Roman" w:hAnsi="Times New Roman" w:cs="Times New Roman"/>
          <w:sz w:val="24"/>
          <w:szCs w:val="24"/>
        </w:rPr>
        <w:t>6</w:t>
      </w:r>
    </w:p>
    <w:p w:rsidR="00B256CC" w:rsidP="00663FB4">
      <w:pPr>
        <w:bidi w:val="0"/>
        <w:spacing w:after="0"/>
        <w:ind w:left="12036" w:firstLine="708"/>
        <w:rPr>
          <w:rFonts w:ascii="Times New Roman" w:hAnsi="Times New Roman" w:cs="Times New Roman"/>
          <w:sz w:val="20"/>
          <w:szCs w:val="20"/>
        </w:rPr>
      </w:pPr>
    </w:p>
    <w:p w:rsidR="0086692D" w:rsidP="007D4FEA">
      <w:pPr>
        <w:bidi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6692D" w:rsidP="00B256CC">
      <w:pPr>
        <w:bidi w:val="0"/>
        <w:spacing w:after="120" w:line="240" w:lineRule="auto"/>
        <w:ind w:left="12037" w:firstLine="709"/>
        <w:rPr>
          <w:rFonts w:ascii="Times New Roman" w:hAnsi="Times New Roman" w:cs="Times New Roman"/>
          <w:sz w:val="24"/>
          <w:szCs w:val="24"/>
        </w:rPr>
      </w:pPr>
    </w:p>
    <w:p w:rsidR="0086692D" w:rsidP="00B256CC">
      <w:pPr>
        <w:bidi w:val="0"/>
        <w:spacing w:after="120" w:line="240" w:lineRule="auto"/>
        <w:ind w:left="12037" w:firstLine="709"/>
        <w:rPr>
          <w:rFonts w:ascii="Times New Roman" w:hAnsi="Times New Roman" w:cs="Times New Roman"/>
          <w:sz w:val="24"/>
          <w:szCs w:val="24"/>
        </w:rPr>
      </w:pPr>
    </w:p>
    <w:p w:rsidR="00B256CC" w:rsidP="00FE2D1D">
      <w:pPr>
        <w:bidi w:val="0"/>
        <w:spacing w:after="0" w:line="240" w:lineRule="auto"/>
        <w:jc w:val="both"/>
        <w:rPr>
          <w:rFonts w:ascii="Times New Roman" w:hAnsi="Times New Roman" w:cs="Verdana"/>
          <w:sz w:val="24"/>
          <w:szCs w:val="24"/>
        </w:rPr>
      </w:pPr>
    </w:p>
    <w:p w:rsidR="00B256CC" w:rsidP="00FE2D1D">
      <w:pPr>
        <w:bidi w:val="0"/>
        <w:spacing w:after="0" w:line="240" w:lineRule="auto"/>
        <w:jc w:val="both"/>
        <w:rPr>
          <w:rFonts w:ascii="Times New Roman" w:hAnsi="Times New Roman" w:cs="Verdana"/>
          <w:sz w:val="24"/>
          <w:szCs w:val="24"/>
        </w:rPr>
      </w:pPr>
    </w:p>
    <w:p w:rsidR="00B256CC" w:rsidP="00B256CC">
      <w:pPr>
        <w:bidi w:val="0"/>
        <w:spacing w:after="120" w:line="240" w:lineRule="auto"/>
        <w:jc w:val="right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 w:cs="Verdana"/>
          <w:sz w:val="24"/>
          <w:szCs w:val="24"/>
        </w:rPr>
        <w:t xml:space="preserve">Tabuľka č. </w:t>
      </w:r>
      <w:r w:rsidR="007D4FEA">
        <w:rPr>
          <w:rFonts w:ascii="Times New Roman" w:hAnsi="Times New Roman" w:cs="Verdana"/>
          <w:sz w:val="24"/>
          <w:szCs w:val="24"/>
        </w:rPr>
        <w:t>7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592"/>
        <w:gridCol w:w="1638"/>
        <w:gridCol w:w="1638"/>
        <w:gridCol w:w="1638"/>
        <w:gridCol w:w="16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bottom"/>
            <w:hideMark/>
          </w:tcPr>
          <w:p w:rsidR="00B256CC" w:rsidRPr="009A4A7B" w:rsidP="00A818CC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821A1A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821A1A"/>
                <w:lang w:eastAsia="sk-SK"/>
              </w:rPr>
              <w:t xml:space="preserve">Návrh zmien na podporu vstupu zamestnávateľov a </w:t>
            </w:r>
            <w:r w:rsidR="00A818CC">
              <w:rPr>
                <w:rFonts w:ascii="Arial" w:hAnsi="Arial" w:cs="Arial"/>
                <w:b/>
                <w:bCs/>
                <w:color w:val="821A1A"/>
                <w:lang w:eastAsia="sk-SK"/>
              </w:rPr>
              <w:t>MSP do systému duálneho vzdelávania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center"/>
            <w:hideMark/>
          </w:tcPr>
          <w:p w:rsidR="00B256CC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center"/>
            <w:hideMark/>
          </w:tcPr>
          <w:p w:rsidR="00B256CC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center"/>
            <w:hideMark/>
          </w:tcPr>
          <w:p w:rsidR="00B256CC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2020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center"/>
            <w:hideMark/>
          </w:tcPr>
          <w:p w:rsidR="00B256CC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2021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B256CC" w:rsidRPr="009A4A7B" w:rsidP="00B256CC">
            <w:pPr>
              <w:bidi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sz w:val="18"/>
                <w:szCs w:val="18"/>
                <w:lang w:eastAsia="sk-SK"/>
              </w:rPr>
              <w:t xml:space="preserve">Podiel žiakov </w:t>
            </w:r>
            <w:r>
              <w:rPr>
                <w:rFonts w:ascii="Arial" w:hAnsi="Arial" w:cs="Arial"/>
                <w:sz w:val="18"/>
                <w:szCs w:val="18"/>
                <w:lang w:eastAsia="sk-SK"/>
              </w:rPr>
              <w:t xml:space="preserve">v duálnom systéme </w:t>
            </w:r>
            <w:r w:rsidRPr="009A4A7B">
              <w:rPr>
                <w:rFonts w:ascii="Arial" w:hAnsi="Arial" w:cs="Arial"/>
                <w:sz w:val="18"/>
                <w:szCs w:val="18"/>
                <w:lang w:eastAsia="sk-SK"/>
              </w:rPr>
              <w:t>u malých a stredných podnikov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center"/>
            <w:hideMark/>
          </w:tcPr>
          <w:p w:rsidR="00B256CC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>46%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center"/>
            <w:hideMark/>
          </w:tcPr>
          <w:p w:rsidR="00B256CC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>46%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center"/>
            <w:hideMark/>
          </w:tcPr>
          <w:p w:rsidR="00B256CC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>46%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center"/>
            <w:hideMark/>
          </w:tcPr>
          <w:p w:rsidR="00B256CC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>46%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B256CC" w:rsidRPr="009A4A7B" w:rsidP="00FA2D84">
            <w:pPr>
              <w:bidi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sz w:val="18"/>
                <w:szCs w:val="18"/>
                <w:lang w:eastAsia="sk-SK"/>
              </w:rPr>
              <w:t>Výška príspevku na kompenzáciu nákladov na realizáciu duálneho vzdelávania</w:t>
            </w:r>
            <w:r w:rsidR="00045B7D">
              <w:rPr>
                <w:rFonts w:ascii="Arial" w:hAnsi="Arial" w:cs="Arial"/>
                <w:sz w:val="18"/>
                <w:szCs w:val="18"/>
                <w:lang w:eastAsia="sk-SK"/>
              </w:rPr>
              <w:t xml:space="preserve"> pre veľk</w:t>
            </w:r>
            <w:r w:rsidR="00FA2D84">
              <w:rPr>
                <w:rFonts w:ascii="Arial" w:hAnsi="Arial" w:cs="Arial"/>
                <w:sz w:val="18"/>
                <w:szCs w:val="18"/>
                <w:lang w:eastAsia="sk-SK"/>
              </w:rPr>
              <w:t>é</w:t>
            </w:r>
            <w:r w:rsidR="00045B7D">
              <w:rPr>
                <w:rFonts w:ascii="Arial" w:hAnsi="Arial" w:cs="Arial"/>
                <w:sz w:val="18"/>
                <w:szCs w:val="18"/>
                <w:lang w:eastAsia="sk-SK"/>
              </w:rPr>
              <w:t xml:space="preserve"> podnik</w:t>
            </w:r>
            <w:r w:rsidR="00FA2D84">
              <w:rPr>
                <w:rFonts w:ascii="Arial" w:hAnsi="Arial" w:cs="Arial"/>
                <w:sz w:val="18"/>
                <w:szCs w:val="18"/>
                <w:lang w:eastAsia="sk-SK"/>
              </w:rPr>
              <w:t>y</w:t>
            </w:r>
            <w:r w:rsidR="00045B7D">
              <w:rPr>
                <w:rFonts w:ascii="Arial" w:hAnsi="Arial" w:cs="Arial"/>
                <w:sz w:val="18"/>
                <w:szCs w:val="18"/>
                <w:lang w:eastAsia="sk-SK"/>
              </w:rPr>
              <w:t xml:space="preserve"> (v rozsahu 200 – 400 hodín praktického vyučovania)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center"/>
            <w:hideMark/>
          </w:tcPr>
          <w:p w:rsidR="00B256CC" w:rsidRPr="009A4A7B" w:rsidP="00045B7D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="00045B7D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>300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center"/>
            <w:hideMark/>
          </w:tcPr>
          <w:p w:rsidR="00B256CC" w:rsidRPr="009A4A7B" w:rsidP="00045B7D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="00045B7D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>300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center"/>
            <w:hideMark/>
          </w:tcPr>
          <w:p w:rsidR="00B256CC" w:rsidRPr="009A4A7B" w:rsidP="00045B7D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="00045B7D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>300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center"/>
            <w:hideMark/>
          </w:tcPr>
          <w:p w:rsidR="00B256CC" w:rsidRPr="009A4A7B" w:rsidP="00045B7D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="00045B7D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>300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</w:tcPr>
          <w:p w:rsidR="00045B7D" w:rsidRPr="009A4A7B" w:rsidP="00FA2D84">
            <w:pPr>
              <w:bidi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sz w:val="18"/>
                <w:szCs w:val="18"/>
                <w:lang w:eastAsia="sk-SK"/>
              </w:rPr>
              <w:t>Výška príspevku na kompenzáciu nákladov na realizáciu duálneho vzdelávania</w:t>
            </w:r>
            <w:r>
              <w:rPr>
                <w:rFonts w:ascii="Arial" w:hAnsi="Arial" w:cs="Arial"/>
                <w:sz w:val="18"/>
                <w:szCs w:val="18"/>
                <w:lang w:eastAsia="sk-SK"/>
              </w:rPr>
              <w:t xml:space="preserve"> pre veľk</w:t>
            </w:r>
            <w:r w:rsidR="00FA2D84">
              <w:rPr>
                <w:rFonts w:ascii="Arial" w:hAnsi="Arial" w:cs="Arial"/>
                <w:sz w:val="18"/>
                <w:szCs w:val="18"/>
                <w:lang w:eastAsia="sk-SK"/>
              </w:rPr>
              <w:t>é</w:t>
            </w:r>
            <w:r>
              <w:rPr>
                <w:rFonts w:ascii="Arial" w:hAnsi="Arial" w:cs="Arial"/>
                <w:sz w:val="18"/>
                <w:szCs w:val="18"/>
                <w:lang w:eastAsia="sk-SK"/>
              </w:rPr>
              <w:t xml:space="preserve"> podnik</w:t>
            </w:r>
            <w:r w:rsidR="00FA2D84">
              <w:rPr>
                <w:rFonts w:ascii="Arial" w:hAnsi="Arial" w:cs="Arial"/>
                <w:sz w:val="18"/>
                <w:szCs w:val="18"/>
                <w:lang w:eastAsia="sk-SK"/>
              </w:rPr>
              <w:t>y</w:t>
            </w:r>
            <w:r>
              <w:rPr>
                <w:rFonts w:ascii="Arial" w:hAnsi="Arial" w:cs="Arial"/>
                <w:sz w:val="18"/>
                <w:szCs w:val="18"/>
                <w:lang w:eastAsia="sk-SK"/>
              </w:rPr>
              <w:t xml:space="preserve"> (nad 400 hodín praktického vyučovania)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center"/>
          </w:tcPr>
          <w:p w:rsidR="00045B7D" w:rsidRPr="009A4A7B" w:rsidP="00045B7D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>700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center"/>
          </w:tcPr>
          <w:p w:rsidR="00045B7D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>700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center"/>
          </w:tcPr>
          <w:p w:rsidR="00045B7D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>700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center"/>
          </w:tcPr>
          <w:p w:rsidR="00045B7D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>700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045B7D" w:rsidRPr="009A4A7B" w:rsidP="00B256CC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 xml:space="preserve">Výška príspevku na podporu vstupu malých a stredných podnikov do systému duálneho vzdelávania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center"/>
            <w:hideMark/>
          </w:tcPr>
          <w:p w:rsidR="00045B7D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>1000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center"/>
            <w:hideMark/>
          </w:tcPr>
          <w:p w:rsidR="00045B7D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>1000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center"/>
            <w:hideMark/>
          </w:tcPr>
          <w:p w:rsidR="00045B7D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>1000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5D9"/>
            <w:noWrap/>
            <w:textDirection w:val="lrTb"/>
            <w:vAlign w:val="center"/>
            <w:hideMark/>
          </w:tcPr>
          <w:p w:rsidR="00045B7D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color w:val="0070C0"/>
                <w:sz w:val="18"/>
                <w:szCs w:val="18"/>
                <w:lang w:eastAsia="sk-SK"/>
              </w:rPr>
              <w:t>1000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045B7D" w:rsidRPr="009A4A7B" w:rsidP="00B256CC">
            <w:pPr>
              <w:bidi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center"/>
            <w:hideMark/>
          </w:tcPr>
          <w:p w:rsidR="00045B7D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center"/>
            <w:hideMark/>
          </w:tcPr>
          <w:p w:rsidR="00045B7D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center"/>
            <w:hideMark/>
          </w:tcPr>
          <w:p w:rsidR="00045B7D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2020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center"/>
            <w:hideMark/>
          </w:tcPr>
          <w:p w:rsidR="00045B7D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2021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045B7D" w:rsidRPr="009A4A7B" w:rsidP="00FA2D84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Príspevok na kompenzáciu časti nákladov na realizáciu duálneho vzdelávania</w:t>
            </w:r>
            <w:r w:rsidR="00FA2D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pre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veľk</w:t>
            </w:r>
            <w:r w:rsidR="00FA2D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é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podnik</w:t>
            </w:r>
            <w:r w:rsidR="00FA2D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y (v rozsahu 200 – 400 hodín praktického vyučovania)</w:t>
            </w:r>
            <w:r w:rsidRPr="009A4A7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045B7D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</w:tcPr>
          <w:p w:rsidR="00045B7D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="00FA2D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359 700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</w:tcPr>
          <w:p w:rsidR="00045B7D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="00FA2D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570 600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</w:tcPr>
          <w:p w:rsidR="00045B7D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="00FA2D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1 260 000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</w:tcPr>
          <w:p w:rsidR="00045B7D" w:rsidRPr="009A4A7B" w:rsidP="00FA2D84">
            <w:pPr>
              <w:bidi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Príspevok na kompenzáciu časti nákladov na realizáciu duálneho vzdelávania</w:t>
            </w:r>
            <w:r w:rsidR="00FA2D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pre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veľké </w:t>
            </w:r>
            <w:r w:rsidR="00FA2D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podniky (nad 400 hodín praktického vyučovania)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</w:tcPr>
          <w:p w:rsidR="00045B7D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="0099490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</w:tcPr>
          <w:p w:rsidR="00045B7D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="00FA2D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839 300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</w:tcPr>
          <w:p w:rsidR="00045B7D" w:rsidRPr="009A4A7B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="00FA2D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1 331 400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</w:tcPr>
          <w:p w:rsidR="00045B7D" w:rsidP="00B256CC">
            <w:pPr>
              <w:bidi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="00FA2D8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2 940 000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045B7D" w:rsidRPr="009A4A7B" w:rsidP="00EE2C33">
            <w:pPr>
              <w:bidi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center"/>
            <w:hideMark/>
          </w:tcPr>
          <w:p w:rsidR="00045B7D" w:rsidRPr="009A4A7B" w:rsidP="00EE2C33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center"/>
            <w:hideMark/>
          </w:tcPr>
          <w:p w:rsidR="00045B7D" w:rsidRPr="009A4A7B" w:rsidP="00EE2C33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center"/>
            <w:hideMark/>
          </w:tcPr>
          <w:p w:rsidR="00045B7D" w:rsidRPr="009A4A7B" w:rsidP="00EE2C33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2020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center"/>
            <w:hideMark/>
          </w:tcPr>
          <w:p w:rsidR="00045B7D" w:rsidRPr="009A4A7B" w:rsidP="00EE2C33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2021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045B7D" w:rsidRPr="009A4A7B" w:rsidP="00EE2C33">
            <w:pPr>
              <w:bidi w:val="0"/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Príspevok na podporu vstupu malých a stredných podnikov do systému duálneho vzdelávania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045B7D" w:rsidRPr="009A4A7B" w:rsidP="00EE2C33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045B7D" w:rsidRPr="009A4A7B" w:rsidP="00B256CC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1 472 000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045B7D" w:rsidRPr="009A4A7B" w:rsidP="00B256CC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2 300 000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045B7D" w:rsidRPr="009A4A7B" w:rsidP="00EE2C33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2 300 000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bottom"/>
            <w:hideMark/>
          </w:tcPr>
          <w:p w:rsidR="00045B7D" w:rsidRPr="009A4A7B" w:rsidP="00EE2C33">
            <w:pPr>
              <w:bidi w:val="0"/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center"/>
            <w:hideMark/>
          </w:tcPr>
          <w:p w:rsidR="00045B7D" w:rsidRPr="009A4A7B" w:rsidP="00EE2C33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center"/>
            <w:hideMark/>
          </w:tcPr>
          <w:p w:rsidR="00045B7D" w:rsidRPr="009A4A7B" w:rsidP="00EE2C33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2019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center"/>
            <w:hideMark/>
          </w:tcPr>
          <w:p w:rsidR="00045B7D" w:rsidRPr="009A4A7B" w:rsidP="00EE2C33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2020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4B6"/>
            <w:noWrap/>
            <w:textDirection w:val="lrTb"/>
            <w:vAlign w:val="center"/>
            <w:hideMark/>
          </w:tcPr>
          <w:p w:rsidR="00045B7D" w:rsidRPr="009A4A7B" w:rsidP="00EE2C33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821A1A"/>
                <w:sz w:val="18"/>
                <w:szCs w:val="18"/>
                <w:lang w:eastAsia="sk-SK"/>
              </w:rPr>
              <w:t>2021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  <w:hideMark/>
          </w:tcPr>
          <w:p w:rsidR="00045B7D" w:rsidRPr="009A4A7B" w:rsidP="00EE2C33">
            <w:pPr>
              <w:bidi w:val="0"/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Finančné stimuly spolu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045B7D" w:rsidRPr="009A4A7B" w:rsidP="00EE2C33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045B7D" w:rsidRPr="009A4A7B" w:rsidP="00B256CC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2 671 000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045B7D" w:rsidRPr="009A4A7B" w:rsidP="00B256CC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A4A7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4 202 000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  <w:hideMark/>
          </w:tcPr>
          <w:p w:rsidR="00045B7D" w:rsidRPr="009A4A7B" w:rsidP="00EE2C33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6 500 000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</w:tcPr>
          <w:p w:rsidR="00045B7D" w:rsidRPr="003B6FD1" w:rsidP="00973223">
            <w:pPr>
              <w:bidi w:val="0"/>
              <w:spacing w:after="0" w:line="240" w:lineRule="auto"/>
              <w:ind w:firstLine="360" w:firstLineChars="20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z toho MŠVVaŠ SR (84 %)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</w:tcPr>
          <w:p w:rsidR="00045B7D" w:rsidP="00973223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</w:tcPr>
          <w:p w:rsidR="00045B7D" w:rsidRPr="009A4A7B" w:rsidP="00973223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2 243 640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</w:tcPr>
          <w:p w:rsidR="00045B7D" w:rsidRPr="009A4A7B" w:rsidP="00973223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3 529 680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</w:tcPr>
          <w:p w:rsidR="00045B7D" w:rsidP="00973223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5 460 000</w:t>
            </w:r>
          </w:p>
        </w:tc>
      </w:tr>
      <w:tr>
        <w:tblPrEx>
          <w:tblW w:w="5000" w:type="pct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40"/>
        </w:trPr>
        <w:tc>
          <w:tcPr>
            <w:tcW w:w="2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bottom"/>
          </w:tcPr>
          <w:p w:rsidR="00045B7D" w:rsidRPr="003B6FD1" w:rsidP="00973223">
            <w:pPr>
              <w:bidi w:val="0"/>
              <w:spacing w:after="0" w:line="240" w:lineRule="auto"/>
              <w:ind w:firstLine="360" w:firstLineChars="20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B6F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z toho MV SR (16 %)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</w:tcPr>
          <w:p w:rsidR="00045B7D" w:rsidP="00973223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</w:tcPr>
          <w:p w:rsidR="00045B7D" w:rsidRPr="009A4A7B" w:rsidP="00973223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427 360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</w:tcPr>
          <w:p w:rsidR="00045B7D" w:rsidRPr="009A4A7B" w:rsidP="00973223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672 320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6DF"/>
            <w:noWrap/>
            <w:textDirection w:val="lrTb"/>
            <w:vAlign w:val="center"/>
          </w:tcPr>
          <w:p w:rsidR="00045B7D" w:rsidP="00973223">
            <w:pPr>
              <w:bidi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1 040 000</w:t>
            </w:r>
          </w:p>
        </w:tc>
      </w:tr>
    </w:tbl>
    <w:p w:rsidR="00B256CC" w:rsidRPr="007D5748" w:rsidP="00FE2D1D">
      <w:pPr>
        <w:bidi w:val="0"/>
        <w:spacing w:after="0" w:line="240" w:lineRule="auto"/>
        <w:jc w:val="both"/>
        <w:rPr>
          <w:rFonts w:ascii="Times New Roman" w:hAnsi="Times New Roman" w:cs="Verdana"/>
          <w:sz w:val="24"/>
          <w:szCs w:val="24"/>
        </w:rPr>
      </w:pPr>
    </w:p>
    <w:sectPr w:rsidSect="009113A2">
      <w:pgSz w:w="16838" w:h="11906" w:orient="landscape"/>
      <w:pgMar w:top="1418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7D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045B7D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7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23A02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045B7D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7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045B7D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475">
      <w:pPr>
        <w:bidi w:val="0"/>
        <w:spacing w:after="0" w:line="240" w:lineRule="auto"/>
      </w:pPr>
      <w:r>
        <w:separator/>
      </w:r>
    </w:p>
  </w:footnote>
  <w:footnote w:type="continuationSeparator" w:id="1">
    <w:p w:rsidR="00BF4475">
      <w:pPr>
        <w:bidi w:val="0"/>
        <w:spacing w:after="0" w:line="240" w:lineRule="auto"/>
      </w:pPr>
      <w:r>
        <w:continuationSeparator/>
      </w:r>
    </w:p>
  </w:footnote>
  <w:footnote w:id="2">
    <w:p w:rsidP="00E33D30">
      <w:pPr>
        <w:pStyle w:val="FootnoteText"/>
        <w:bidi w:val="0"/>
        <w:jc w:val="both"/>
      </w:pPr>
      <w:r w:rsidRPr="0018197E" w:rsidR="00045B7D">
        <w:rPr>
          <w:rStyle w:val="FootnoteReference"/>
          <w:rFonts w:cstheme="minorBidi"/>
        </w:rPr>
        <w:footnoteRef/>
      </w:r>
      <w:r w:rsidRPr="0018197E" w:rsidR="00045B7D">
        <w:t xml:space="preserve"> Nariadenie Komisie (EÚ) č. 651/2014 zo 17. júna 2014 o vyhlásení určitých k</w:t>
      </w:r>
      <w:r w:rsidR="00045B7D">
        <w:t>ategórií pomoci za zlučiteľné s </w:t>
      </w:r>
      <w:r w:rsidRPr="0018197E" w:rsidR="00045B7D">
        <w:t>vnútorným trhom podľa článkov 107 a 108 zmluvy</w:t>
      </w:r>
    </w:p>
  </w:footnote>
  <w:footnote w:id="3">
    <w:p w:rsidP="004B7072">
      <w:pPr>
        <w:pStyle w:val="FootnoteText"/>
        <w:bidi w:val="0"/>
        <w:jc w:val="both"/>
      </w:pPr>
      <w:r w:rsidRPr="0018197E" w:rsidR="00045B7D">
        <w:rPr>
          <w:rStyle w:val="FootnoteReference"/>
          <w:rFonts w:cstheme="minorBidi"/>
        </w:rPr>
        <w:footnoteRef/>
      </w:r>
      <w:r w:rsidRPr="0018197E" w:rsidR="00045B7D">
        <w:t xml:space="preserve"> Podiel žiakov s uzavretou učebnou zmluvou k 1.9.2017 u malých a stredných podnikov bol 45,67 %. Podobný p</w:t>
      </w:r>
      <w:r w:rsidR="00045B7D">
        <w:t>odiel</w:t>
      </w:r>
      <w:r w:rsidRPr="0018197E" w:rsidR="00045B7D">
        <w:t xml:space="preserve"> (45,54 %) vychádza aj ak do úvahy berieme aktuálnu ponuku učebných miest u malých a stredných podnikov v systéme duálneho vzdelávania pre školský rok 2018/2019 (Zdroj údaje MF SR).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7D" w:rsidP="006E51B7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045B7D" w:rsidRPr="00EB59C8" w:rsidP="006E51B7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7D" w:rsidRPr="0024067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24067A">
      <w:rPr>
        <w:rFonts w:ascii="Times New Roman" w:hAnsi="Times New Roman"/>
        <w:sz w:val="24"/>
        <w:szCs w:val="24"/>
      </w:rPr>
      <w:t>Príloha č.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B7D" w:rsidRPr="000A15AE" w:rsidP="006E51B7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B746D"/>
    <w:multiLevelType w:val="multilevel"/>
    <w:tmpl w:val="B55E7BA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rtl w:val="0"/>
        <w: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1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7831FA"/>
    <w:multiLevelType w:val="hybridMultilevel"/>
    <w:tmpl w:val="E8CECF6C"/>
    <w:lvl w:ilvl="0">
      <w:start w:val="1"/>
      <w:numFmt w:val="lowerLetter"/>
      <w:lvlText w:val="%1)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3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2A06A5"/>
    <w:multiLevelType w:val="multilevel"/>
    <w:tmpl w:val="B55E7B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5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C172DE"/>
    <w:multiLevelType w:val="hybridMultilevel"/>
    <w:tmpl w:val="01AA53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E726B6E"/>
    <w:multiLevelType w:val="hybridMultilevel"/>
    <w:tmpl w:val="53FC69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53C15F8"/>
    <w:multiLevelType w:val="hybridMultilevel"/>
    <w:tmpl w:val="D6F86FE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716CE"/>
    <w:multiLevelType w:val="hybridMultilevel"/>
    <w:tmpl w:val="8ED4DA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36958D5"/>
    <w:multiLevelType w:val="hybridMultilevel"/>
    <w:tmpl w:val="171CD2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10"/>
  </w:num>
  <w:num w:numId="6">
    <w:abstractNumId w:val="9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5005EC"/>
    <w:rsid w:val="0000696E"/>
    <w:rsid w:val="00010743"/>
    <w:rsid w:val="000111A4"/>
    <w:rsid w:val="000140B7"/>
    <w:rsid w:val="00016CC6"/>
    <w:rsid w:val="00031CE9"/>
    <w:rsid w:val="00035EB6"/>
    <w:rsid w:val="00045B7D"/>
    <w:rsid w:val="000474CF"/>
    <w:rsid w:val="0005276E"/>
    <w:rsid w:val="0005374B"/>
    <w:rsid w:val="00056268"/>
    <w:rsid w:val="00057135"/>
    <w:rsid w:val="00066D99"/>
    <w:rsid w:val="00066FBE"/>
    <w:rsid w:val="00071101"/>
    <w:rsid w:val="00072AA9"/>
    <w:rsid w:val="00086DEF"/>
    <w:rsid w:val="000910E3"/>
    <w:rsid w:val="00094738"/>
    <w:rsid w:val="00095881"/>
    <w:rsid w:val="00097632"/>
    <w:rsid w:val="000A15AE"/>
    <w:rsid w:val="000A4843"/>
    <w:rsid w:val="000A4E18"/>
    <w:rsid w:val="000B58B9"/>
    <w:rsid w:val="000B5BA6"/>
    <w:rsid w:val="000B7319"/>
    <w:rsid w:val="000C2864"/>
    <w:rsid w:val="000E785A"/>
    <w:rsid w:val="00102963"/>
    <w:rsid w:val="001053B5"/>
    <w:rsid w:val="00107872"/>
    <w:rsid w:val="0011022A"/>
    <w:rsid w:val="001110EC"/>
    <w:rsid w:val="00112063"/>
    <w:rsid w:val="001127A8"/>
    <w:rsid w:val="001146BF"/>
    <w:rsid w:val="00125CAA"/>
    <w:rsid w:val="001317D5"/>
    <w:rsid w:val="00133045"/>
    <w:rsid w:val="00135C5B"/>
    <w:rsid w:val="00143070"/>
    <w:rsid w:val="00157F8F"/>
    <w:rsid w:val="00160434"/>
    <w:rsid w:val="00162ABD"/>
    <w:rsid w:val="001700F5"/>
    <w:rsid w:val="00170267"/>
    <w:rsid w:val="00170D2B"/>
    <w:rsid w:val="00180771"/>
    <w:rsid w:val="0018197E"/>
    <w:rsid w:val="001819F8"/>
    <w:rsid w:val="00186387"/>
    <w:rsid w:val="00191AF2"/>
    <w:rsid w:val="00195D39"/>
    <w:rsid w:val="001A4464"/>
    <w:rsid w:val="001A72FA"/>
    <w:rsid w:val="001C7D8B"/>
    <w:rsid w:val="001D0931"/>
    <w:rsid w:val="001E3FEF"/>
    <w:rsid w:val="001E78E8"/>
    <w:rsid w:val="001F1002"/>
    <w:rsid w:val="00200898"/>
    <w:rsid w:val="002027F9"/>
    <w:rsid w:val="00212894"/>
    <w:rsid w:val="00223080"/>
    <w:rsid w:val="00223A9B"/>
    <w:rsid w:val="0024067A"/>
    <w:rsid w:val="00253517"/>
    <w:rsid w:val="00257186"/>
    <w:rsid w:val="00267234"/>
    <w:rsid w:val="00272E62"/>
    <w:rsid w:val="00273298"/>
    <w:rsid w:val="00275E7C"/>
    <w:rsid w:val="00282835"/>
    <w:rsid w:val="00282F96"/>
    <w:rsid w:val="002854B9"/>
    <w:rsid w:val="0029305D"/>
    <w:rsid w:val="002A0534"/>
    <w:rsid w:val="002A3612"/>
    <w:rsid w:val="002A6324"/>
    <w:rsid w:val="002B033F"/>
    <w:rsid w:val="002C7237"/>
    <w:rsid w:val="002D1B9E"/>
    <w:rsid w:val="002D5B89"/>
    <w:rsid w:val="002E20D6"/>
    <w:rsid w:val="002F152D"/>
    <w:rsid w:val="00312B0D"/>
    <w:rsid w:val="00313E3D"/>
    <w:rsid w:val="00314A5C"/>
    <w:rsid w:val="00316173"/>
    <w:rsid w:val="00317B90"/>
    <w:rsid w:val="00326250"/>
    <w:rsid w:val="00327515"/>
    <w:rsid w:val="00333B8A"/>
    <w:rsid w:val="00333C0F"/>
    <w:rsid w:val="00336AAF"/>
    <w:rsid w:val="003422FB"/>
    <w:rsid w:val="003508D1"/>
    <w:rsid w:val="00354C57"/>
    <w:rsid w:val="00362522"/>
    <w:rsid w:val="00362DA2"/>
    <w:rsid w:val="003636FB"/>
    <w:rsid w:val="0036693C"/>
    <w:rsid w:val="00371142"/>
    <w:rsid w:val="00384B09"/>
    <w:rsid w:val="00387503"/>
    <w:rsid w:val="00393447"/>
    <w:rsid w:val="003A132E"/>
    <w:rsid w:val="003A53FC"/>
    <w:rsid w:val="003A7667"/>
    <w:rsid w:val="003B6FD1"/>
    <w:rsid w:val="003B7002"/>
    <w:rsid w:val="003C038F"/>
    <w:rsid w:val="003D58FA"/>
    <w:rsid w:val="003E2004"/>
    <w:rsid w:val="003F10BB"/>
    <w:rsid w:val="003F664C"/>
    <w:rsid w:val="003F6F2D"/>
    <w:rsid w:val="00405E50"/>
    <w:rsid w:val="00410846"/>
    <w:rsid w:val="004231F2"/>
    <w:rsid w:val="00423A02"/>
    <w:rsid w:val="00427314"/>
    <w:rsid w:val="00433C8E"/>
    <w:rsid w:val="004414AA"/>
    <w:rsid w:val="00444C89"/>
    <w:rsid w:val="00452B0F"/>
    <w:rsid w:val="00452E92"/>
    <w:rsid w:val="004553C6"/>
    <w:rsid w:val="0046141A"/>
    <w:rsid w:val="00475137"/>
    <w:rsid w:val="0048449A"/>
    <w:rsid w:val="00495F70"/>
    <w:rsid w:val="00496013"/>
    <w:rsid w:val="004A0459"/>
    <w:rsid w:val="004A4585"/>
    <w:rsid w:val="004A5585"/>
    <w:rsid w:val="004A786C"/>
    <w:rsid w:val="004B4679"/>
    <w:rsid w:val="004B5FE0"/>
    <w:rsid w:val="004B7072"/>
    <w:rsid w:val="004D78F6"/>
    <w:rsid w:val="004E36AD"/>
    <w:rsid w:val="004F62A6"/>
    <w:rsid w:val="005005EC"/>
    <w:rsid w:val="00505FA1"/>
    <w:rsid w:val="00512489"/>
    <w:rsid w:val="00521FED"/>
    <w:rsid w:val="00533CEF"/>
    <w:rsid w:val="005362E8"/>
    <w:rsid w:val="005430E7"/>
    <w:rsid w:val="00560DAC"/>
    <w:rsid w:val="00570A73"/>
    <w:rsid w:val="005719F1"/>
    <w:rsid w:val="00580CEE"/>
    <w:rsid w:val="00590C7C"/>
    <w:rsid w:val="00593D84"/>
    <w:rsid w:val="005965C9"/>
    <w:rsid w:val="005A38BD"/>
    <w:rsid w:val="005B0CAE"/>
    <w:rsid w:val="005B1083"/>
    <w:rsid w:val="005B3BFF"/>
    <w:rsid w:val="005C27DD"/>
    <w:rsid w:val="005C378A"/>
    <w:rsid w:val="005D1030"/>
    <w:rsid w:val="005E02D4"/>
    <w:rsid w:val="005E41F4"/>
    <w:rsid w:val="005E5956"/>
    <w:rsid w:val="005F4897"/>
    <w:rsid w:val="005F7E4D"/>
    <w:rsid w:val="00602B16"/>
    <w:rsid w:val="006045C0"/>
    <w:rsid w:val="006061D7"/>
    <w:rsid w:val="006071DD"/>
    <w:rsid w:val="00643348"/>
    <w:rsid w:val="00647170"/>
    <w:rsid w:val="00656320"/>
    <w:rsid w:val="00663FB4"/>
    <w:rsid w:val="0066436D"/>
    <w:rsid w:val="00681CF7"/>
    <w:rsid w:val="00695DC8"/>
    <w:rsid w:val="00697E11"/>
    <w:rsid w:val="006B0348"/>
    <w:rsid w:val="006B0A0D"/>
    <w:rsid w:val="006B0B30"/>
    <w:rsid w:val="006B2E94"/>
    <w:rsid w:val="006C4C53"/>
    <w:rsid w:val="006E2204"/>
    <w:rsid w:val="006E500A"/>
    <w:rsid w:val="006E51B7"/>
    <w:rsid w:val="006E67F1"/>
    <w:rsid w:val="006F1129"/>
    <w:rsid w:val="006F3734"/>
    <w:rsid w:val="006F5A06"/>
    <w:rsid w:val="007067C8"/>
    <w:rsid w:val="007074CB"/>
    <w:rsid w:val="007101B3"/>
    <w:rsid w:val="0071049B"/>
    <w:rsid w:val="00711B58"/>
    <w:rsid w:val="00712EB5"/>
    <w:rsid w:val="007246BD"/>
    <w:rsid w:val="00726B9A"/>
    <w:rsid w:val="0074228F"/>
    <w:rsid w:val="00752D41"/>
    <w:rsid w:val="007630C1"/>
    <w:rsid w:val="0078506E"/>
    <w:rsid w:val="007A0225"/>
    <w:rsid w:val="007C112E"/>
    <w:rsid w:val="007D09FF"/>
    <w:rsid w:val="007D4FEA"/>
    <w:rsid w:val="007D5748"/>
    <w:rsid w:val="007D661D"/>
    <w:rsid w:val="007E4980"/>
    <w:rsid w:val="007E5DD3"/>
    <w:rsid w:val="007E7AC2"/>
    <w:rsid w:val="007F3B9C"/>
    <w:rsid w:val="00801BDA"/>
    <w:rsid w:val="008033EF"/>
    <w:rsid w:val="00813D36"/>
    <w:rsid w:val="00815EEE"/>
    <w:rsid w:val="008205CF"/>
    <w:rsid w:val="008211A8"/>
    <w:rsid w:val="008300C4"/>
    <w:rsid w:val="00832F65"/>
    <w:rsid w:val="00834D22"/>
    <w:rsid w:val="00836772"/>
    <w:rsid w:val="00840684"/>
    <w:rsid w:val="00840AAD"/>
    <w:rsid w:val="008434A7"/>
    <w:rsid w:val="00857D0F"/>
    <w:rsid w:val="0086692D"/>
    <w:rsid w:val="0087029B"/>
    <w:rsid w:val="0087435A"/>
    <w:rsid w:val="00875228"/>
    <w:rsid w:val="008753F4"/>
    <w:rsid w:val="00886601"/>
    <w:rsid w:val="008A4F61"/>
    <w:rsid w:val="008B0D93"/>
    <w:rsid w:val="008B1854"/>
    <w:rsid w:val="008B6A74"/>
    <w:rsid w:val="008D339D"/>
    <w:rsid w:val="008D3AC7"/>
    <w:rsid w:val="008D74C5"/>
    <w:rsid w:val="008E2736"/>
    <w:rsid w:val="008E48CA"/>
    <w:rsid w:val="008E5B7D"/>
    <w:rsid w:val="0090069B"/>
    <w:rsid w:val="00900CB8"/>
    <w:rsid w:val="00901DA1"/>
    <w:rsid w:val="00907B05"/>
    <w:rsid w:val="009113A2"/>
    <w:rsid w:val="00920020"/>
    <w:rsid w:val="00925E4D"/>
    <w:rsid w:val="00934657"/>
    <w:rsid w:val="00952C38"/>
    <w:rsid w:val="009624F4"/>
    <w:rsid w:val="0096414A"/>
    <w:rsid w:val="009706B7"/>
    <w:rsid w:val="00973223"/>
    <w:rsid w:val="00975382"/>
    <w:rsid w:val="0099385A"/>
    <w:rsid w:val="00994909"/>
    <w:rsid w:val="009A1A7F"/>
    <w:rsid w:val="009A2252"/>
    <w:rsid w:val="009A4432"/>
    <w:rsid w:val="009A4A7B"/>
    <w:rsid w:val="009B0CE7"/>
    <w:rsid w:val="009B2244"/>
    <w:rsid w:val="009B4115"/>
    <w:rsid w:val="009B67B7"/>
    <w:rsid w:val="009C6220"/>
    <w:rsid w:val="009D43E5"/>
    <w:rsid w:val="009F4640"/>
    <w:rsid w:val="00A25563"/>
    <w:rsid w:val="00A25958"/>
    <w:rsid w:val="00A30A6C"/>
    <w:rsid w:val="00A32B9D"/>
    <w:rsid w:val="00A33028"/>
    <w:rsid w:val="00A4145F"/>
    <w:rsid w:val="00A50251"/>
    <w:rsid w:val="00A61FEF"/>
    <w:rsid w:val="00A6688D"/>
    <w:rsid w:val="00A70ABB"/>
    <w:rsid w:val="00A75E63"/>
    <w:rsid w:val="00A818CC"/>
    <w:rsid w:val="00A81D1F"/>
    <w:rsid w:val="00A853F4"/>
    <w:rsid w:val="00A90D23"/>
    <w:rsid w:val="00A91E31"/>
    <w:rsid w:val="00AA2F19"/>
    <w:rsid w:val="00AA5AED"/>
    <w:rsid w:val="00AA790C"/>
    <w:rsid w:val="00AC0B73"/>
    <w:rsid w:val="00AC0EF0"/>
    <w:rsid w:val="00AC374E"/>
    <w:rsid w:val="00AC3C68"/>
    <w:rsid w:val="00AC5D5C"/>
    <w:rsid w:val="00AD6B74"/>
    <w:rsid w:val="00AE0FFA"/>
    <w:rsid w:val="00AE5773"/>
    <w:rsid w:val="00AE61BF"/>
    <w:rsid w:val="00B00245"/>
    <w:rsid w:val="00B02B6F"/>
    <w:rsid w:val="00B03F86"/>
    <w:rsid w:val="00B10398"/>
    <w:rsid w:val="00B256CC"/>
    <w:rsid w:val="00B349B9"/>
    <w:rsid w:val="00B37F4B"/>
    <w:rsid w:val="00B46440"/>
    <w:rsid w:val="00B60785"/>
    <w:rsid w:val="00B6300A"/>
    <w:rsid w:val="00B71005"/>
    <w:rsid w:val="00B71A24"/>
    <w:rsid w:val="00B73846"/>
    <w:rsid w:val="00B76F51"/>
    <w:rsid w:val="00B82FEE"/>
    <w:rsid w:val="00B90B57"/>
    <w:rsid w:val="00B95B3A"/>
    <w:rsid w:val="00B96949"/>
    <w:rsid w:val="00B96D1C"/>
    <w:rsid w:val="00BA322B"/>
    <w:rsid w:val="00BA396E"/>
    <w:rsid w:val="00BD2DCF"/>
    <w:rsid w:val="00BD43D4"/>
    <w:rsid w:val="00BE1FA6"/>
    <w:rsid w:val="00BF4475"/>
    <w:rsid w:val="00BF6F62"/>
    <w:rsid w:val="00C00E92"/>
    <w:rsid w:val="00C15212"/>
    <w:rsid w:val="00C16B1F"/>
    <w:rsid w:val="00C179AA"/>
    <w:rsid w:val="00C2115D"/>
    <w:rsid w:val="00C23445"/>
    <w:rsid w:val="00C264A7"/>
    <w:rsid w:val="00C31598"/>
    <w:rsid w:val="00C355CD"/>
    <w:rsid w:val="00C370C3"/>
    <w:rsid w:val="00C46022"/>
    <w:rsid w:val="00C47280"/>
    <w:rsid w:val="00C4758E"/>
    <w:rsid w:val="00C51084"/>
    <w:rsid w:val="00C51FD4"/>
    <w:rsid w:val="00C530C7"/>
    <w:rsid w:val="00C532B3"/>
    <w:rsid w:val="00C652CA"/>
    <w:rsid w:val="00C70D08"/>
    <w:rsid w:val="00C72746"/>
    <w:rsid w:val="00C7725B"/>
    <w:rsid w:val="00C93AD4"/>
    <w:rsid w:val="00C97CFE"/>
    <w:rsid w:val="00CA08D5"/>
    <w:rsid w:val="00CA3B29"/>
    <w:rsid w:val="00CA4323"/>
    <w:rsid w:val="00CA7216"/>
    <w:rsid w:val="00CB1D30"/>
    <w:rsid w:val="00CB3623"/>
    <w:rsid w:val="00CB4012"/>
    <w:rsid w:val="00CB499C"/>
    <w:rsid w:val="00CB5B17"/>
    <w:rsid w:val="00CB794E"/>
    <w:rsid w:val="00CE1032"/>
    <w:rsid w:val="00CE4B02"/>
    <w:rsid w:val="00CE74D3"/>
    <w:rsid w:val="00CF02F7"/>
    <w:rsid w:val="00D170B7"/>
    <w:rsid w:val="00D219EB"/>
    <w:rsid w:val="00D31491"/>
    <w:rsid w:val="00D32D65"/>
    <w:rsid w:val="00D42C6B"/>
    <w:rsid w:val="00D45574"/>
    <w:rsid w:val="00D4611D"/>
    <w:rsid w:val="00D465D3"/>
    <w:rsid w:val="00D52548"/>
    <w:rsid w:val="00D62DF6"/>
    <w:rsid w:val="00D655B8"/>
    <w:rsid w:val="00D65C46"/>
    <w:rsid w:val="00D7407D"/>
    <w:rsid w:val="00D7422E"/>
    <w:rsid w:val="00D855AA"/>
    <w:rsid w:val="00D870E0"/>
    <w:rsid w:val="00D92CC4"/>
    <w:rsid w:val="00D95525"/>
    <w:rsid w:val="00DB03AC"/>
    <w:rsid w:val="00DB0C0F"/>
    <w:rsid w:val="00DB0E93"/>
    <w:rsid w:val="00DB2233"/>
    <w:rsid w:val="00DB2446"/>
    <w:rsid w:val="00DB6D77"/>
    <w:rsid w:val="00DC0260"/>
    <w:rsid w:val="00DC6D94"/>
    <w:rsid w:val="00DC76BB"/>
    <w:rsid w:val="00DD0DBB"/>
    <w:rsid w:val="00DE5BF1"/>
    <w:rsid w:val="00DE6A7D"/>
    <w:rsid w:val="00DF15B5"/>
    <w:rsid w:val="00E01579"/>
    <w:rsid w:val="00E07882"/>
    <w:rsid w:val="00E07CE9"/>
    <w:rsid w:val="00E10E56"/>
    <w:rsid w:val="00E13BE6"/>
    <w:rsid w:val="00E33D30"/>
    <w:rsid w:val="00E45CFB"/>
    <w:rsid w:val="00E46499"/>
    <w:rsid w:val="00E6685F"/>
    <w:rsid w:val="00E711E2"/>
    <w:rsid w:val="00E8286E"/>
    <w:rsid w:val="00E8492F"/>
    <w:rsid w:val="00E963A3"/>
    <w:rsid w:val="00E96862"/>
    <w:rsid w:val="00EA1E90"/>
    <w:rsid w:val="00EB23A1"/>
    <w:rsid w:val="00EB3205"/>
    <w:rsid w:val="00EB474B"/>
    <w:rsid w:val="00EB59C8"/>
    <w:rsid w:val="00EB6D1D"/>
    <w:rsid w:val="00ED2C29"/>
    <w:rsid w:val="00EE1D84"/>
    <w:rsid w:val="00EE2C33"/>
    <w:rsid w:val="00EE77C6"/>
    <w:rsid w:val="00EF06A5"/>
    <w:rsid w:val="00EF4552"/>
    <w:rsid w:val="00F00084"/>
    <w:rsid w:val="00F11181"/>
    <w:rsid w:val="00F12AB3"/>
    <w:rsid w:val="00F14E8F"/>
    <w:rsid w:val="00F2480F"/>
    <w:rsid w:val="00F25DE3"/>
    <w:rsid w:val="00F35D95"/>
    <w:rsid w:val="00F40136"/>
    <w:rsid w:val="00F40427"/>
    <w:rsid w:val="00F423A6"/>
    <w:rsid w:val="00F4443F"/>
    <w:rsid w:val="00F57BF7"/>
    <w:rsid w:val="00F67B2D"/>
    <w:rsid w:val="00F83186"/>
    <w:rsid w:val="00F941F6"/>
    <w:rsid w:val="00FA202C"/>
    <w:rsid w:val="00FA21F0"/>
    <w:rsid w:val="00FA2D84"/>
    <w:rsid w:val="00FA5B1F"/>
    <w:rsid w:val="00FA5CF7"/>
    <w:rsid w:val="00FA708E"/>
    <w:rsid w:val="00FB6748"/>
    <w:rsid w:val="00FC25C6"/>
    <w:rsid w:val="00FC3925"/>
    <w:rsid w:val="00FD06B8"/>
    <w:rsid w:val="00FE2D1D"/>
    <w:rsid w:val="00FF66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B96D1C"/>
    <w:pPr>
      <w:ind w:left="720"/>
      <w:contextualSpacing/>
      <w:jc w:val="left"/>
    </w:pPr>
  </w:style>
  <w:style w:type="paragraph" w:styleId="FootnoteText">
    <w:name w:val="footnote text"/>
    <w:aliases w:val="Footnote Text Char1 Char,Footnote Text Char1 Char Char Char Char Char Char,Footnote Text Char2,Footnote Text Char2 Char Char,Schriftart: 10 pt,Schriftart: 8 pt,Schriftart: 9 pt,Text poznámky pod čiarou 007,_Poznámka pod čiarou"/>
    <w:basedOn w:val="Normal"/>
    <w:link w:val="TextpoznmkypodiarouChar"/>
    <w:uiPriority w:val="99"/>
    <w:unhideWhenUsed/>
    <w:rsid w:val="003F6F2D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aliases w:val="Footnote Text Char1 Char Char,Footnote Text Char2 Char,Footnote Text Char2 Char Char Char,Schriftart: 10 pt Char,Schriftart: 8 pt Char,Schriftart: 9 pt Char,Text poznámky pod čiarou 007 Char,_Poznámka pod čiarou Char"/>
    <w:basedOn w:val="DefaultParagraphFont"/>
    <w:link w:val="FootnoteText"/>
    <w:uiPriority w:val="99"/>
    <w:locked/>
    <w:rsid w:val="003F6F2D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EN Footnote Refe,EN Footnote text,Exposant 3 Point,FRef ISO,Footnote,Footnote reference number,Footnote symbol,Footnotes refss,PGI Fußnote Ziffer,Ref,SUPERS,Stinking Styles1,Times 10 Point,de nota al pie,note TESI"/>
    <w:basedOn w:val="DefaultParagraphFont"/>
    <w:uiPriority w:val="99"/>
    <w:unhideWhenUsed/>
    <w:rsid w:val="003F6F2D"/>
    <w:rPr>
      <w:rFonts w:cs="Times New Roman"/>
      <w:vertAlign w:val="superscript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1D0931"/>
    <w:rPr>
      <w:rFonts w:ascii="Times New Roman" w:hAnsi="Times New Roman" w:cs="Times New Roman"/>
      <w:color w:val="808080"/>
      <w:rtl w:val="0"/>
      <w:cs w:val="0"/>
    </w:rPr>
  </w:style>
  <w:style w:type="character" w:customStyle="1" w:styleId="h1a2">
    <w:name w:val="h1a2"/>
    <w:basedOn w:val="DefaultParagraphFont"/>
    <w:rsid w:val="0048449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D773899F4ECE4898114C1A4F157EFF" ma:contentTypeVersion="10" ma:contentTypeDescription="Umožňuje vytvoriť nový dokument." ma:contentTypeScope="" ma:versionID="88dcd89d3399a0f48450d3bc27caf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B299AE-51BF-46DD-9A29-430A73CC70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D708B7-6ABD-4C7A-8C38-1BA9DBB16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2766</Words>
  <Characters>15772</Characters>
  <Application>Microsoft Office Word</Application>
  <DocSecurity>0</DocSecurity>
  <Lines>0</Lines>
  <Paragraphs>0</Paragraphs>
  <ScaleCrop>false</ScaleCrop>
  <Company>MH SR</Company>
  <LinksUpToDate>false</LinksUpToDate>
  <CharactersWithSpaces>18501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Krausová Katarína</cp:lastModifiedBy>
  <cp:revision>2</cp:revision>
  <cp:lastPrinted>2018-02-05T17:34:00Z</cp:lastPrinted>
  <dcterms:created xsi:type="dcterms:W3CDTF">2018-04-12T09:33:00Z</dcterms:created>
  <dcterms:modified xsi:type="dcterms:W3CDTF">2018-04-12T09:33:00Z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</Properties>
</file>