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A179AE" w:rsidP="003501A1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3501A1" w:rsidRPr="00BF3078" w:rsidP="003501A1">
      <w:pPr>
        <w:pStyle w:val="ListParagraph"/>
        <w:bidi w:val="0"/>
        <w:ind w:left="426"/>
        <w:rPr>
          <w:b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7C4B31">
              <w:rPr>
                <w:rFonts w:ascii="Times New Roman" w:hAnsi="Times New Roman"/>
              </w:rPr>
              <w:t xml:space="preserve">Návrh </w:t>
            </w:r>
            <w:r w:rsidR="0042151B">
              <w:rPr>
                <w:rFonts w:ascii="Times New Roman" w:hAnsi="Times New Roman"/>
              </w:rPr>
              <w:t>zákona z ..</w:t>
            </w:r>
            <w:r w:rsidR="002D1F79">
              <w:rPr>
                <w:rFonts w:ascii="Times New Roman" w:hAnsi="Times New Roman"/>
              </w:rPr>
              <w:t xml:space="preserve">... 2018, ktorým sa mení a dopĺňa zákon č. </w:t>
            </w:r>
            <w:r w:rsidR="007C4B31">
              <w:rPr>
                <w:rFonts w:ascii="Times New Roman" w:hAnsi="Times New Roman"/>
              </w:rPr>
              <w:t>61/2015 Z. z. o odbornom vzdelávaní a príprave a o zmene a doplnení niektorých zákonov</w:t>
            </w:r>
            <w:r w:rsidR="004E22CF">
              <w:rPr>
                <w:rFonts w:ascii="Times New Roman" w:hAnsi="Times New Roman"/>
              </w:rPr>
              <w:t xml:space="preserve"> a ktorým sa menia a dopĺňajú niektoré zákony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="007C4B31">
              <w:rPr>
                <w:rFonts w:ascii="Times New Roman" w:hAnsi="Times New Roman"/>
              </w:rPr>
              <w:t>Ministerstvo školstva, vedy, výskumu a športu Slovenskej republiky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C4B31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C4B31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ind w:left="175" w:hanging="175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Pr="00A179AE">
              <w:rPr>
                <w:rFonts w:ascii="Times New Roman" w:hAnsi="Times New Roman"/>
                <w:i/>
              </w:rPr>
              <w:t>V prípade transpozície uveďte zoznam transponovaných predpisov: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2D1F79">
              <w:rPr>
                <w:rFonts w:ascii="Times New Roman" w:hAnsi="Times New Roman"/>
                <w:i/>
              </w:rPr>
              <w:t>január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2D1F79">
              <w:rPr>
                <w:rFonts w:ascii="Times New Roman" w:hAnsi="Times New Roman"/>
                <w:i/>
              </w:rPr>
              <w:t>február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2D1F79">
              <w:rPr>
                <w:rFonts w:ascii="Times New Roman" w:hAnsi="Times New Roman"/>
                <w:i/>
              </w:rPr>
              <w:t>apríl 2018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D4691" w:rsidP="00D85330">
            <w:pPr>
              <w:bidi w:val="0"/>
              <w:jc w:val="both"/>
              <w:rPr>
                <w:rFonts w:ascii="Times New Roman" w:hAnsi="Times New Roman"/>
              </w:rPr>
            </w:pPr>
            <w:r w:rsidRPr="001D4691" w:rsidR="00D85330">
              <w:rPr>
                <w:rFonts w:ascii="Times New Roman" w:hAnsi="Times New Roman"/>
              </w:rPr>
              <w:t>Znižovanie administratívnej záťaže pri overovaní spôsobilosti zamestnávateľov poskytovať praktické vyučovanie v študijnom odbore alebo v učebnom odbore v systéme duálneho vzdelávania.</w:t>
            </w:r>
          </w:p>
          <w:p w:rsidR="00D85330" w:rsidRPr="00A179AE" w:rsidP="002D1F79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1D4691" w:rsidR="002D1F79">
              <w:rPr>
                <w:rFonts w:ascii="Times New Roman" w:hAnsi="Times New Roman"/>
              </w:rPr>
              <w:t>Zabezpečiť možnosť zvýšenia podielu praktického vyučovania mimo svojho pracoviska p</w:t>
            </w:r>
            <w:r w:rsidRPr="001D4691">
              <w:rPr>
                <w:rFonts w:ascii="Times New Roman" w:hAnsi="Times New Roman"/>
              </w:rPr>
              <w:t>re živnostníkov a malé podniky.</w:t>
            </w:r>
            <w:r w:rsidRPr="001D4691" w:rsidR="002D1F79">
              <w:rPr>
                <w:rFonts w:ascii="Times New Roman" w:hAnsi="Times New Roman"/>
              </w:rPr>
              <w:t xml:space="preserve"> Zvýšenie motivácie stredných odborných škôl vstúpiť do systému duálneho vzdelávania.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D4691" w:rsidP="00D85330">
            <w:pPr>
              <w:bidi w:val="0"/>
              <w:jc w:val="both"/>
              <w:rPr>
                <w:rFonts w:ascii="Times New Roman" w:hAnsi="Times New Roman"/>
              </w:rPr>
            </w:pPr>
            <w:r w:rsidRPr="001D4691" w:rsidR="00D85330">
              <w:rPr>
                <w:rFonts w:ascii="Times New Roman" w:hAnsi="Times New Roman"/>
              </w:rPr>
              <w:t xml:space="preserve">Cieľom je zefektívniť vstup zamestnávateľov a predovšetkým malých a stredných podnikov, vrátane živnostníkov do systému duálneho vzdelávania. </w:t>
            </w:r>
            <w:r w:rsidRPr="001D4691" w:rsidR="002D1F79">
              <w:rPr>
                <w:rFonts w:ascii="Times New Roman" w:hAnsi="Times New Roman"/>
              </w:rPr>
              <w:t>Zvýšenie motivácie stre</w:t>
            </w:r>
            <w:r w:rsidR="008D1AF5">
              <w:rPr>
                <w:rFonts w:ascii="Times New Roman" w:hAnsi="Times New Roman"/>
              </w:rPr>
              <w:t>dných odborných škôl vstúpiť do </w:t>
            </w:r>
            <w:r w:rsidRPr="001D4691" w:rsidR="002D1F79">
              <w:rPr>
                <w:rFonts w:ascii="Times New Roman" w:hAnsi="Times New Roman"/>
              </w:rPr>
              <w:t>systému duálneho vzdelávania.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1728A0" w:rsidP="00661C06">
            <w:pPr>
              <w:bidi w:val="0"/>
              <w:jc w:val="both"/>
              <w:rPr>
                <w:rFonts w:ascii="Times New Roman" w:hAnsi="Times New Roman"/>
              </w:rPr>
            </w:pPr>
            <w:r w:rsidRPr="001D4691" w:rsidR="00B25170">
              <w:rPr>
                <w:rFonts w:ascii="Times New Roman" w:hAnsi="Times New Roman"/>
              </w:rPr>
              <w:t xml:space="preserve">Ministerstvo </w:t>
            </w:r>
            <w:r w:rsidRPr="001D4691" w:rsidR="002D1F79">
              <w:rPr>
                <w:rFonts w:ascii="Times New Roman" w:hAnsi="Times New Roman"/>
              </w:rPr>
              <w:t xml:space="preserve">školstva, vedy, výskumu a športu </w:t>
            </w:r>
            <w:r w:rsidRPr="001D4691" w:rsidR="00B25170">
              <w:rPr>
                <w:rFonts w:ascii="Times New Roman" w:hAnsi="Times New Roman"/>
              </w:rPr>
              <w:t xml:space="preserve">SR, </w:t>
            </w:r>
            <w:r w:rsidR="005B3DD2">
              <w:rPr>
                <w:rFonts w:ascii="Times New Roman" w:hAnsi="Times New Roman"/>
              </w:rPr>
              <w:t xml:space="preserve">Ministerstvo práce, sociálnych vecí a rodiny SR, </w:t>
            </w:r>
            <w:r w:rsidRPr="001D4691" w:rsidR="0042151B">
              <w:rPr>
                <w:rFonts w:ascii="Times New Roman" w:hAnsi="Times New Roman"/>
              </w:rPr>
              <w:t>samosprávne kraj</w:t>
            </w:r>
            <w:r w:rsidR="001728A0">
              <w:rPr>
                <w:rFonts w:ascii="Times New Roman" w:hAnsi="Times New Roman"/>
              </w:rPr>
              <w:t>e</w:t>
            </w:r>
            <w:r w:rsidRPr="001D4691" w:rsidR="0042151B">
              <w:rPr>
                <w:rFonts w:ascii="Times New Roman" w:hAnsi="Times New Roman"/>
              </w:rPr>
              <w:t xml:space="preserve">, zriaďovatelia stredných škôl, </w:t>
            </w:r>
            <w:r w:rsidRPr="001D4691" w:rsidR="002D1F79">
              <w:rPr>
                <w:rFonts w:ascii="Times New Roman" w:hAnsi="Times New Roman"/>
              </w:rPr>
              <w:t>stavovské organizácie, profesijné organizácie</w:t>
            </w:r>
            <w:r w:rsidRPr="001D4691" w:rsidR="00B25170">
              <w:rPr>
                <w:rFonts w:ascii="Times New Roman" w:hAnsi="Times New Roman"/>
              </w:rPr>
              <w:t xml:space="preserve">, </w:t>
            </w:r>
            <w:r w:rsidRPr="001D4691" w:rsidR="0042151B">
              <w:rPr>
                <w:rFonts w:ascii="Times New Roman" w:hAnsi="Times New Roman"/>
              </w:rPr>
              <w:t>podnikateľská sféra</w:t>
            </w:r>
            <w:r w:rsidRPr="001D4691" w:rsidR="0019246C">
              <w:rPr>
                <w:rFonts w:ascii="Times New Roman" w:hAnsi="Times New Roman"/>
              </w:rPr>
              <w:t>,</w:t>
            </w:r>
            <w:r w:rsidRPr="001D4691" w:rsidR="0042151B">
              <w:rPr>
                <w:rFonts w:ascii="Times New Roman" w:hAnsi="Times New Roman"/>
              </w:rPr>
              <w:t xml:space="preserve"> stredné školy, žiaci, zákonní zástupcovia žiakov.</w:t>
            </w:r>
            <w:r w:rsidRPr="001D4691" w:rsidR="0019246C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4A02AF" w:rsidP="002A4473">
            <w:pPr>
              <w:bidi w:val="0"/>
              <w:jc w:val="both"/>
              <w:rPr>
                <w:rFonts w:ascii="Times New Roman" w:hAnsi="Times New Roman"/>
              </w:rPr>
            </w:pPr>
            <w:r w:rsidR="002A4473">
              <w:rPr>
                <w:rFonts w:ascii="Times New Roman" w:hAnsi="Times New Roman"/>
              </w:rPr>
              <w:t xml:space="preserve">Alternatívnym riešením pre vstup zamestnávateľov do systému duálneho vzdelávania bol návrh priamej </w:t>
            </w:r>
            <w:r w:rsidR="00581A65">
              <w:rPr>
                <w:rFonts w:ascii="Times New Roman" w:hAnsi="Times New Roman"/>
              </w:rPr>
              <w:t xml:space="preserve">platby </w:t>
            </w:r>
            <w:r w:rsidR="002A4473">
              <w:rPr>
                <w:rFonts w:ascii="Times New Roman" w:hAnsi="Times New Roman"/>
              </w:rPr>
              <w:t>zamestnávateľom</w:t>
            </w:r>
            <w:r w:rsidR="00581A65">
              <w:rPr>
                <w:rFonts w:ascii="Times New Roman" w:hAnsi="Times New Roman"/>
              </w:rPr>
              <w:t xml:space="preserve"> v</w:t>
            </w:r>
            <w:r w:rsidR="00375D05">
              <w:rPr>
                <w:rFonts w:ascii="Times New Roman" w:hAnsi="Times New Roman"/>
              </w:rPr>
              <w:t> </w:t>
            </w:r>
            <w:r w:rsidR="00581A65">
              <w:rPr>
                <w:rFonts w:ascii="Times New Roman" w:hAnsi="Times New Roman"/>
              </w:rPr>
              <w:t>SDV</w:t>
            </w:r>
            <w:r w:rsidR="00375D05">
              <w:rPr>
                <w:rFonts w:ascii="Times New Roman" w:hAnsi="Times New Roman"/>
              </w:rPr>
              <w:t xml:space="preserve"> vo forme </w:t>
            </w:r>
            <w:r w:rsidR="00581A65">
              <w:rPr>
                <w:rFonts w:ascii="Times New Roman" w:hAnsi="Times New Roman"/>
              </w:rPr>
              <w:t xml:space="preserve"> </w:t>
            </w:r>
          </w:p>
          <w:p w:rsidR="00581A65" w:rsidP="002A4473">
            <w:pPr>
              <w:bidi w:val="0"/>
              <w:jc w:val="both"/>
              <w:rPr>
                <w:rFonts w:ascii="Times New Roman" w:hAnsi="Times New Roman"/>
              </w:rPr>
            </w:pPr>
            <w:r w:rsidR="00375D05">
              <w:rPr>
                <w:rFonts w:ascii="Times New Roman" w:hAnsi="Times New Roman"/>
              </w:rPr>
              <w:t>p</w:t>
            </w:r>
            <w:r w:rsidR="00FC2B6D">
              <w:rPr>
                <w:rFonts w:ascii="Times New Roman" w:hAnsi="Times New Roman"/>
              </w:rPr>
              <w:t>ríspevk</w:t>
            </w:r>
            <w:r w:rsidR="00375D05">
              <w:rPr>
                <w:rFonts w:ascii="Times New Roman" w:hAnsi="Times New Roman"/>
              </w:rPr>
              <w:t>u</w:t>
            </w:r>
            <w:r w:rsidR="00213DB3">
              <w:rPr>
                <w:rFonts w:ascii="Times New Roman" w:hAnsi="Times New Roman"/>
              </w:rPr>
              <w:t xml:space="preserve"> </w:t>
            </w:r>
            <w:r w:rsidR="00375D05">
              <w:rPr>
                <w:rFonts w:ascii="Times New Roman" w:hAnsi="Times New Roman"/>
              </w:rPr>
              <w:t xml:space="preserve">z úradu práce vo výške 3000 eur </w:t>
            </w:r>
            <w:r w:rsidR="00213DB3">
              <w:rPr>
                <w:rFonts w:ascii="Times New Roman" w:hAnsi="Times New Roman"/>
              </w:rPr>
              <w:t>pre zamestnávateľa za každého ú</w:t>
            </w:r>
            <w:r>
              <w:rPr>
                <w:rFonts w:ascii="Times New Roman" w:hAnsi="Times New Roman"/>
              </w:rPr>
              <w:t>spešného absolventa zo SDV prijatého do pracovného pome</w:t>
            </w:r>
            <w:r w:rsidR="00213DB3">
              <w:rPr>
                <w:rFonts w:ascii="Times New Roman" w:hAnsi="Times New Roman"/>
              </w:rPr>
              <w:t>ru v príslušnom odbore vzdelávania</w:t>
            </w:r>
            <w:r w:rsidR="00375D0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. Predkladaný návrh je</w:t>
            </w:r>
            <w:r w:rsidR="00FC2B6D">
              <w:rPr>
                <w:rFonts w:ascii="Times New Roman" w:hAnsi="Times New Roman"/>
              </w:rPr>
              <w:t xml:space="preserve"> predmetom</w:t>
            </w:r>
            <w:r>
              <w:rPr>
                <w:rFonts w:ascii="Times New Roman" w:hAnsi="Times New Roman"/>
              </w:rPr>
              <w:t xml:space="preserve"> osobitného rokovania na MPSVR SR keďže sa jedná o aktivačné opatrenie politík </w:t>
            </w:r>
            <w:r w:rsidR="00FC2B6D">
              <w:rPr>
                <w:rFonts w:ascii="Times New Roman" w:hAnsi="Times New Roman"/>
              </w:rPr>
              <w:t xml:space="preserve">na </w:t>
            </w:r>
            <w:r>
              <w:rPr>
                <w:rFonts w:ascii="Times New Roman" w:hAnsi="Times New Roman"/>
              </w:rPr>
              <w:t>trhu práce a nemá priamy dosah na školské legislatívu.</w:t>
            </w:r>
          </w:p>
          <w:p w:rsidR="00213DB3" w:rsidP="00375D05">
            <w:pPr>
              <w:bidi w:val="0"/>
              <w:jc w:val="both"/>
              <w:rPr>
                <w:rFonts w:ascii="Times New Roman" w:hAnsi="Times New Roman"/>
              </w:rPr>
            </w:pPr>
            <w:r w:rsidR="00581A65">
              <w:rPr>
                <w:rFonts w:ascii="Times New Roman" w:hAnsi="Times New Roman"/>
              </w:rPr>
              <w:t xml:space="preserve">Návrh dotácie pre strednú odbornú školu za uplatnenie absolventa na trhu práce vo výške 1000 </w:t>
            </w:r>
            <w:r w:rsidR="00375D05">
              <w:rPr>
                <w:rFonts w:ascii="Times New Roman" w:hAnsi="Times New Roman"/>
              </w:rPr>
              <w:t>e</w:t>
            </w:r>
            <w:r w:rsidR="00581A65">
              <w:rPr>
                <w:rFonts w:ascii="Times New Roman" w:hAnsi="Times New Roman"/>
              </w:rPr>
              <w:t xml:space="preserve">ur. MŠVVaŠ SR v súčasnosti nedisponuje metodikou, ktorá by upravovala spôsob ani postup vyplácania predmetného bonusu a bolo by potrebné tento postup definovať v zákone o financovaní ZŠ, SŠ a ŠZ. Vzhľadom na náročnosť úpravy takéhoto postupu pre vyplácanie bonusu pre SOŠ nie je vzhľadom na stanovený harmonogram prác na novele zákona o OVP tento možné realizovať. </w:t>
            </w:r>
          </w:p>
          <w:p w:rsidR="00F04E9D" w:rsidP="00F04E9D">
            <w:pPr>
              <w:bidi w:val="0"/>
              <w:jc w:val="both"/>
              <w:rPr>
                <w:rFonts w:ascii="Times New Roman" w:hAnsi="Times New Roman"/>
              </w:rPr>
            </w:pPr>
            <w:r w:rsidR="00375D05">
              <w:rPr>
                <w:rFonts w:ascii="Times New Roman" w:hAnsi="Times New Roman"/>
              </w:rPr>
              <w:t>Nie zanedbateľnými stimulmi pre zamestnávateľov bo</w:t>
            </w:r>
            <w:r>
              <w:rPr>
                <w:rFonts w:ascii="Times New Roman" w:hAnsi="Times New Roman"/>
              </w:rPr>
              <w:t>li</w:t>
            </w:r>
            <w:r w:rsidR="00375D05">
              <w:rPr>
                <w:rFonts w:ascii="Times New Roman" w:hAnsi="Times New Roman"/>
              </w:rPr>
              <w:t xml:space="preserve"> navrhované</w:t>
            </w:r>
            <w:r>
              <w:rPr>
                <w:rFonts w:ascii="Times New Roman" w:hAnsi="Times New Roman"/>
              </w:rPr>
              <w:t>:</w:t>
            </w:r>
          </w:p>
          <w:p w:rsidR="00F04E9D" w:rsidRPr="00661C06" w:rsidP="00661C06">
            <w:pPr>
              <w:pStyle w:val="ListParagraph"/>
              <w:numPr>
                <w:numId w:val="2"/>
              </w:numPr>
              <w:bidi w:val="0"/>
              <w:jc w:val="both"/>
            </w:pPr>
            <w:r w:rsidRPr="00661C06" w:rsidR="009D6092">
              <w:rPr>
                <w:rFonts w:ascii="Times New Roman" w:hAnsi="Times New Roman" w:cs="Times New Roman"/>
                <w:sz w:val="20"/>
                <w:szCs w:val="20"/>
              </w:rPr>
              <w:t xml:space="preserve">100 percentné </w:t>
            </w:r>
            <w:r w:rsidRPr="00661C06" w:rsidR="00375D05">
              <w:rPr>
                <w:rFonts w:ascii="Times New Roman" w:hAnsi="Times New Roman" w:cs="Times New Roman"/>
                <w:sz w:val="20"/>
                <w:szCs w:val="20"/>
              </w:rPr>
              <w:t xml:space="preserve"> zvýšenie </w:t>
            </w:r>
            <w:r w:rsidRPr="00661C06" w:rsidR="009D6092">
              <w:rPr>
                <w:rFonts w:ascii="Times New Roman" w:hAnsi="Times New Roman" w:cs="Times New Roman"/>
                <w:sz w:val="20"/>
                <w:szCs w:val="20"/>
              </w:rPr>
              <w:t xml:space="preserve">doterajšej </w:t>
            </w:r>
            <w:r w:rsidRPr="00661C06" w:rsidR="00375D05">
              <w:rPr>
                <w:rFonts w:ascii="Times New Roman" w:hAnsi="Times New Roman" w:cs="Times New Roman"/>
                <w:sz w:val="20"/>
                <w:szCs w:val="20"/>
              </w:rPr>
              <w:t xml:space="preserve">paušálnej </w:t>
            </w:r>
            <w:r w:rsidRPr="00661C06" w:rsidR="009D6092">
              <w:rPr>
                <w:rFonts w:ascii="Times New Roman" w:hAnsi="Times New Roman" w:cs="Times New Roman"/>
                <w:sz w:val="20"/>
                <w:szCs w:val="20"/>
              </w:rPr>
              <w:t xml:space="preserve">daňovej úľavy na žiaka, ktorý sa vzdeláva u zamestnávateľa; </w:t>
            </w:r>
          </w:p>
          <w:p w:rsidR="00F04E9D" w:rsidRPr="00661C06" w:rsidP="00661C06">
            <w:pPr>
              <w:pStyle w:val="ListParagraph"/>
              <w:numPr>
                <w:numId w:val="2"/>
              </w:numPr>
              <w:bidi w:val="0"/>
              <w:jc w:val="both"/>
            </w:pPr>
            <w:r w:rsidRPr="00661C06" w:rsidR="009D6092">
              <w:rPr>
                <w:rFonts w:ascii="Times New Roman" w:hAnsi="Times New Roman" w:cs="Times New Roman"/>
                <w:sz w:val="20"/>
                <w:szCs w:val="20"/>
              </w:rPr>
              <w:t xml:space="preserve">uplatnenie výdavkov na financovanie praktického vyučovania a na prevádzku strednej odbornej školy nad rámec poskytnutých normatívnych finančných prostriedkov </w:t>
            </w:r>
            <w:r w:rsidRPr="00661C0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75D05" w:rsidRPr="004A02AF" w:rsidP="00661C06">
            <w:pPr>
              <w:pStyle w:val="ListParagraph"/>
              <w:numPr>
                <w:numId w:val="2"/>
              </w:numPr>
              <w:bidi w:val="0"/>
              <w:jc w:val="both"/>
            </w:pPr>
            <w:r w:rsidRPr="00661C06" w:rsidR="009D6092">
              <w:rPr>
                <w:rFonts w:ascii="Times New Roman" w:hAnsi="Times New Roman" w:cs="Times New Roman"/>
                <w:sz w:val="20"/>
                <w:szCs w:val="20"/>
              </w:rPr>
              <w:t>zníženie základe dane zamestnávateľa o 150 % výdavkov, okrem výdavkov na obstaranie dlhodobého majetku, preukázateľne  poskytnutých na praktické vyučovanie v príslušnom zdaňovacom období</w:t>
            </w:r>
            <w:r w:rsidRPr="00661C06" w:rsidR="00F04E9D">
              <w:rPr>
                <w:rFonts w:ascii="Times New Roman" w:hAnsi="Times New Roman" w:cs="Times New Roman"/>
                <w:sz w:val="20"/>
                <w:szCs w:val="20"/>
              </w:rPr>
              <w:t>, ak daňovník poskytne v zdaňovacom období viac ako 400 hodín praktického vyučovania a o 75 % výdavkov, okrem výdavkov na obstaranie dlhodobého majetku, preukázateľne poskytnutých na praktické vyučovanie v príslušnom zdaňovacom období, ak daňovník poskytne v zdaňovacom období viac ako 200 hodín praktického vyučovania.</w:t>
            </w:r>
            <w:r w:rsidR="00F04E9D"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7C4B31">
              <w:rPr>
                <w:rFonts w:ascii="MS Gothic" w:eastAsia="MS Gothic" w:hAnsi="MS Gothic" w:hint="eastAsia"/>
              </w:rPr>
              <w:t>☒</w:t>
            </w:r>
            <w:r w:rsidRPr="00A179AE">
              <w:rPr>
                <w:rFonts w:ascii="Times New Roman" w:hAnsi="Times New Roman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D13B6F">
              <w:rPr>
                <w:rFonts w:ascii="MS Gothic" w:eastAsia="MS Gothic" w:hAnsi="MS Gothic" w:hint="eastAsia"/>
              </w:rPr>
              <w:t>☐</w:t>
            </w:r>
            <w:r w:rsidRPr="00A179AE">
              <w:rPr>
                <w:rFonts w:ascii="Times New Roman" w:hAnsi="Times New Roman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1D4691" w:rsidRPr="001D4691" w:rsidP="007B71A4">
            <w:pPr>
              <w:bidi w:val="0"/>
              <w:rPr>
                <w:rFonts w:ascii="Times New Roman" w:hAnsi="Times New Roman"/>
              </w:rPr>
            </w:pPr>
            <w:r w:rsidRPr="001D4691" w:rsidR="0042151B">
              <w:rPr>
                <w:rFonts w:ascii="Times New Roman" w:hAnsi="Times New Roman"/>
              </w:rPr>
              <w:t xml:space="preserve">vyhláška MŠVVaŠ SR č. 65/2015 Z. z. o stredných </w:t>
            </w:r>
            <w:r w:rsidRPr="001D4691">
              <w:rPr>
                <w:rFonts w:ascii="Times New Roman" w:hAnsi="Times New Roman"/>
              </w:rPr>
              <w:t>školách;</w:t>
            </w:r>
          </w:p>
          <w:p w:rsidR="003501A1" w:rsidRPr="00A179AE" w:rsidP="00EC7D54">
            <w:pPr>
              <w:bidi w:val="0"/>
              <w:rPr>
                <w:rFonts w:ascii="Times New Roman" w:hAnsi="Times New Roman"/>
              </w:rPr>
            </w:pPr>
            <w:r w:rsidRPr="001D4691" w:rsidR="0042151B">
              <w:rPr>
                <w:rFonts w:ascii="Times New Roman" w:hAnsi="Times New Roman"/>
              </w:rPr>
              <w:t>vyhláška MŠVVaŠ SR z ..... 2018 Z. z. o určovan</w:t>
            </w:r>
            <w:r w:rsidR="00EC7D54">
              <w:rPr>
                <w:rFonts w:ascii="Times New Roman" w:hAnsi="Times New Roman"/>
              </w:rPr>
              <w:t>í</w:t>
            </w:r>
            <w:r w:rsidRPr="001D4691" w:rsidR="0042151B">
              <w:rPr>
                <w:rFonts w:ascii="Times New Roman" w:hAnsi="Times New Roman"/>
              </w:rPr>
              <w:t xml:space="preserve"> </w:t>
            </w:r>
            <w:r w:rsidRPr="001D4691" w:rsidR="001D4691">
              <w:rPr>
                <w:rFonts w:ascii="Times New Roman" w:hAnsi="Times New Roman"/>
              </w:rPr>
              <w:t>najvyššieho počtu žiakov prvého ročníka stredných škôl.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i/>
              </w:rPr>
            </w:pPr>
            <w:r w:rsidR="00EC7D54">
              <w:rPr>
                <w:rFonts w:ascii="Times New Roman" w:hAnsi="Times New Roman"/>
                <w:i/>
              </w:rPr>
              <w:t>Nie.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A179AE" w:rsidP="001728A0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A179AE" w:rsidP="001C0D3F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D13B6F" w:rsidP="00661C06">
            <w:pPr>
              <w:bidi w:val="0"/>
              <w:rPr>
                <w:rFonts w:ascii="Times New Roman" w:hAnsi="Times New Roman"/>
              </w:rPr>
            </w:pPr>
          </w:p>
          <w:p w:rsidR="00F62771" w:rsidP="004C60B8">
            <w:pPr>
              <w:bidi w:val="0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C60B8">
              <w:rPr>
                <w:rFonts w:ascii="Times New Roman" w:hAnsi="Times New Roman"/>
              </w:rPr>
              <w:t xml:space="preserve">vyplniť iba v prípade, </w:t>
            </w:r>
            <w:r w:rsidRPr="004C60B8" w:rsidR="004C60B8">
              <w:rPr>
                <w:rFonts w:ascii="Times New Roman" w:hAnsi="Times New Roman"/>
              </w:rPr>
              <w:t>ak</w:t>
            </w:r>
            <w:r w:rsidRPr="004C60B8">
              <w:rPr>
                <w:rFonts w:ascii="Times New Roman" w:hAnsi="Times New Roman"/>
              </w:rPr>
              <w:t xml:space="preserve"> </w:t>
            </w:r>
            <w:r w:rsidRPr="004C60B8" w:rsidR="004C60B8">
              <w:rPr>
                <w:rFonts w:ascii="Times New Roman" w:hAnsi="Times New Roman"/>
              </w:rPr>
              <w:t xml:space="preserve">materiál </w:t>
            </w:r>
            <w:r w:rsidRPr="004C60B8">
              <w:rPr>
                <w:rFonts w:ascii="Times New Roman" w:hAnsi="Times New Roman"/>
              </w:rPr>
              <w:t xml:space="preserve">nie je </w:t>
            </w:r>
            <w:r w:rsidRPr="004C60B8" w:rsidR="004C60B8">
              <w:rPr>
                <w:rFonts w:ascii="Times New Roman" w:hAnsi="Times New Roman"/>
              </w:rPr>
              <w:t>zahrnutý do Plánu práce vlády Slovenskej republiky alebo Plán</w:t>
            </w:r>
            <w:r w:rsidR="004C60B8">
              <w:rPr>
                <w:rFonts w:ascii="Times New Roman" w:hAnsi="Times New Roman"/>
              </w:rPr>
              <w:t>u</w:t>
            </w:r>
            <w:r w:rsidRPr="004C60B8" w:rsidR="004C60B8">
              <w:rPr>
                <w:rFonts w:ascii="Times New Roman" w:hAnsi="Times New Roman"/>
              </w:rPr>
              <w:t xml:space="preserve"> </w:t>
            </w:r>
            <w:r w:rsidR="004C60B8">
              <w:rPr>
                <w:rFonts w:ascii="Times New Roman" w:hAnsi="Times New Roman"/>
              </w:rPr>
              <w:t xml:space="preserve">       </w:t>
            </w:r>
            <w:r w:rsidRPr="004C60B8" w:rsidR="004C60B8">
              <w:rPr>
                <w:rFonts w:ascii="Times New Roman" w:hAnsi="Times New Roman"/>
              </w:rPr>
              <w:t>legislatívnych úloh vlády Slovenskej republiky.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501A1" w:rsidRPr="00A179AE" w:rsidP="00F22831">
            <w:pPr>
              <w:bidi w:val="0"/>
              <w:rPr>
                <w:rFonts w:ascii="Times New Roman" w:hAnsi="Times New Roman"/>
              </w:rPr>
            </w:pPr>
            <w:r w:rsidR="00F62771">
              <w:rPr>
                <w:rFonts w:ascii="Times New Roman" w:hAnsi="Times New Roman"/>
              </w:rPr>
              <w:t>*</w:t>
            </w:r>
            <w:r w:rsidR="00F22831">
              <w:rPr>
                <w:rFonts w:ascii="Times New Roman" w:hAnsi="Times New Roman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A179AE" w:rsidP="003501A1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</w:rPr>
            </w:pPr>
            <w:r w:rsidR="0032563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1C0D3F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</w:rPr>
            </w:pPr>
            <w:r w:rsidR="001C0D3F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3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32563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="0032563B">
              <w:rPr>
                <w:rFonts w:ascii="MS Gothic" w:eastAsia="MS Gothic" w:hAnsi="MS Gothic" w:hint="eastAsia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</w:rPr>
            </w:pPr>
            <w:r w:rsidRPr="00A179AE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</w:rPr>
            </w:pPr>
            <w:r w:rsidRPr="00A179AE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6093E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6093E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32563B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4C794A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6093E"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E6093E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A179AE" w:rsidP="007B71A4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A179AE" w:rsidP="007B71A4">
            <w:pPr>
              <w:bidi w:val="0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V</w:t>
            </w:r>
            <w:r w:rsidRPr="00127DAC">
              <w:rPr>
                <w:rFonts w:ascii="Times New Roman" w:eastAsia="Calibri" w:hAnsi="Times New Roman"/>
                <w:b/>
                <w:lang w:eastAsia="en-US"/>
              </w:rPr>
              <w:t>plyv</w:t>
            </w:r>
            <w:r>
              <w:rPr>
                <w:rFonts w:ascii="Times New Roman" w:eastAsia="Calibri" w:hAnsi="Times New Roman"/>
                <w:b/>
                <w:lang w:eastAsia="en-US"/>
              </w:rPr>
              <w:t>y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 xml:space="preserve"> na služ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by verejnej sprá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vy pre obč</w:t>
            </w:r>
            <w:r w:rsidRPr="00127DAC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  <w:r>
              <w:rPr>
                <w:rFonts w:ascii="Times New Roman" w:eastAsia="Calibri" w:hAnsi="Times New Roman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653ADA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lang w:eastAsia="en-US"/>
              </w:rPr>
            </w:pP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 xml:space="preserve">    vplyvy 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vy na obč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0303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9634B3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 xml:space="preserve">    </w:t>
            </w:r>
            <w:r w:rsidRPr="009634B3">
              <w:rPr>
                <w:rFonts w:ascii="Times New Roman" w:eastAsia="Calibri" w:hAnsi="Times New Roman"/>
                <w:b/>
                <w:lang w:eastAsia="en-US"/>
              </w:rPr>
              <w:t xml:space="preserve">vplyvy na procesy 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služ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ieb vo verejnej sprá</w:t>
            </w:r>
            <w:r w:rsidRPr="009634B3">
              <w:rPr>
                <w:rFonts w:ascii="Times New Roman" w:eastAsia="Calibri" w:hAnsi="Times New Roman" w:hint="default"/>
                <w:b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="0003039D">
              <w:rPr>
                <w:rFonts w:ascii="MS Gothic" w:eastAsia="MS Gothic" w:hAnsi="MS Gothic" w:hint="eastAsia"/>
                <w:b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179AE">
              <w:rPr>
                <w:rFonts w:ascii="MS Mincho" w:eastAsia="MS Mincho" w:hAnsi="MS Mincho" w:cs="MS Mincho" w:hint="eastAsia"/>
                <w:b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A179AE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</w:rPr>
            </w:pPr>
            <w:r w:rsidRPr="00A179AE">
              <w:rPr>
                <w:rFonts w:ascii="Times New Roman" w:hAnsi="Times New Roman"/>
                <w:b/>
              </w:rPr>
              <w:t>Negatívne</w:t>
            </w:r>
          </w:p>
        </w:tc>
      </w:tr>
    </w:tbl>
    <w:p w:rsidR="003501A1" w:rsidRPr="00A179AE" w:rsidP="003501A1">
      <w:pPr>
        <w:bidi w:val="0"/>
        <w:ind w:right="141"/>
        <w:rPr>
          <w:rFonts w:ascii="Times New Roman" w:hAnsi="Times New Roman"/>
          <w:b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RPr="00A179AE" w:rsidP="001C0D3F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0954B7" w:rsidRPr="00693464" w:rsidP="001C0D3F">
            <w:pPr>
              <w:bidi w:val="0"/>
              <w:rPr>
                <w:rFonts w:ascii="Times New Roman" w:hAnsi="Times New Roman"/>
              </w:rPr>
            </w:pPr>
            <w:r w:rsidR="001C0D3F">
              <w:rPr>
                <w:rFonts w:ascii="Times New Roman" w:hAnsi="Times New Roman"/>
              </w:rPr>
              <w:t xml:space="preserve">Mgr. Katarína Krausová e-mail: </w:t>
            </w:r>
            <w:hyperlink r:id="rId8" w:history="1">
              <w:r w:rsidRPr="00EA446F" w:rsidR="001C0D3F">
                <w:rPr>
                  <w:rStyle w:val="Hyperlink"/>
                  <w:rFonts w:ascii="Times New Roman" w:hAnsi="Times New Roman"/>
                </w:rPr>
                <w:t>katarina.krausova@minedu.sk</w:t>
              </w:r>
            </w:hyperlink>
            <w:r w:rsidR="001C0D3F">
              <w:rPr>
                <w:rFonts w:ascii="Times New Roman" w:hAnsi="Times New Roman"/>
              </w:rPr>
              <w:t xml:space="preserve">; </w:t>
            </w:r>
            <w:r w:rsidRPr="00693464">
              <w:rPr>
                <w:rFonts w:ascii="Times New Roman" w:hAnsi="Times New Roman"/>
              </w:rPr>
              <w:t>Mgr. Karol Jakubík</w:t>
            </w:r>
            <w:r w:rsidR="001C0D3F">
              <w:rPr>
                <w:rFonts w:ascii="Times New Roman" w:hAnsi="Times New Roman"/>
              </w:rPr>
              <w:t xml:space="preserve"> e-mail: </w:t>
            </w:r>
            <w:hyperlink r:id="rId9" w:history="1">
              <w:r w:rsidRPr="00EA446F" w:rsidR="001C0D3F">
                <w:rPr>
                  <w:rStyle w:val="Hyperlink"/>
                  <w:rFonts w:ascii="Times New Roman" w:hAnsi="Times New Roman"/>
                </w:rPr>
                <w:t>karol.jakubik@minedu.sk</w:t>
              </w:r>
            </w:hyperlink>
            <w:r w:rsidR="001C0D3F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693464">
            <w:pPr>
              <w:bidi w:val="0"/>
              <w:jc w:val="both"/>
              <w:rPr>
                <w:rFonts w:ascii="Times New Roman" w:hAnsi="Times New Roman"/>
              </w:rPr>
            </w:pPr>
            <w:r w:rsidR="00693464">
              <w:rPr>
                <w:rFonts w:ascii="Times New Roman" w:hAnsi="Times New Roman"/>
              </w:rPr>
              <w:t xml:space="preserve">Pre údaje o počte žiakov bola použitá štatistika a odhady počtu žiakov pre nasledujúce obdobie. Nosnou zložkou </w:t>
            </w:r>
            <w:r w:rsidR="00D47BA2">
              <w:rPr>
                <w:rFonts w:ascii="Times New Roman" w:hAnsi="Times New Roman"/>
              </w:rPr>
              <w:t xml:space="preserve"> pre </w:t>
            </w:r>
            <w:r w:rsidR="00693464">
              <w:rPr>
                <w:rFonts w:ascii="Times New Roman" w:hAnsi="Times New Roman"/>
              </w:rPr>
              <w:t>výpočt</w:t>
            </w:r>
            <w:r w:rsidR="00D47BA2">
              <w:rPr>
                <w:rFonts w:ascii="Times New Roman" w:hAnsi="Times New Roman"/>
              </w:rPr>
              <w:t>y predpokladaných výdavkov štátn</w:t>
            </w:r>
            <w:r w:rsidR="00252947">
              <w:rPr>
                <w:rFonts w:ascii="Times New Roman" w:hAnsi="Times New Roman"/>
              </w:rPr>
              <w:t>eho</w:t>
            </w:r>
            <w:r w:rsidR="00D47BA2">
              <w:rPr>
                <w:rFonts w:ascii="Times New Roman" w:hAnsi="Times New Roman"/>
              </w:rPr>
              <w:t xml:space="preserve"> rozpoč</w:t>
            </w:r>
            <w:r w:rsidR="00252947">
              <w:rPr>
                <w:rFonts w:ascii="Times New Roman" w:hAnsi="Times New Roman"/>
              </w:rPr>
              <w:t>tu</w:t>
            </w:r>
            <w:r w:rsidR="00D47BA2">
              <w:rPr>
                <w:rFonts w:ascii="Times New Roman" w:hAnsi="Times New Roman"/>
              </w:rPr>
              <w:t xml:space="preserve"> </w:t>
            </w:r>
            <w:r w:rsidR="00693464">
              <w:rPr>
                <w:rFonts w:ascii="Times New Roman" w:hAnsi="Times New Roman"/>
              </w:rPr>
              <w:t xml:space="preserve">bol </w:t>
            </w:r>
            <w:r w:rsidR="005F0610">
              <w:rPr>
                <w:rFonts w:ascii="Times New Roman" w:hAnsi="Times New Roman"/>
              </w:rPr>
              <w:t xml:space="preserve">aktuálny priemerný </w:t>
            </w:r>
            <w:r w:rsidR="00693464">
              <w:rPr>
                <w:rFonts w:ascii="Times New Roman" w:hAnsi="Times New Roman"/>
              </w:rPr>
              <w:t xml:space="preserve">normatív na žiaka v systéme duálneho vzdelávania v členení na prevádzkový a mzdový normatív.   </w:t>
            </w:r>
          </w:p>
          <w:p w:rsidR="003501A1" w:rsidRPr="00661C06" w:rsidP="00661C06">
            <w:pPr>
              <w:bidi w:val="0"/>
              <w:jc w:val="both"/>
              <w:rPr>
                <w:rFonts w:ascii="Times New Roman" w:hAnsi="Times New Roman"/>
              </w:rPr>
            </w:pPr>
            <w:r w:rsidR="00F21867">
              <w:rPr>
                <w:rFonts w:ascii="Times New Roman" w:hAnsi="Times New Roman"/>
              </w:rPr>
              <w:t>Jednotlivé návrhy vplyvov vychádzajú z vyhodnotenia skúseností so zavádzania systému duálneho vzdelávania v odbornom vzdelávaní a príprave v stredných odborných školách a ďalších pracovných stretnutí so zástupcami profesijných a stavovských organizácií, rezortov, samosprávnych krajov, odborovej organizácie a Štátneho inštitútu odborného vzdelávania.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A179AE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E3390C" w:rsidRPr="00E3390C" w:rsidP="00E3390C">
            <w:pPr>
              <w:tabs>
                <w:tab w:val="center" w:pos="6379"/>
              </w:tabs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/>
                <w:bCs/>
              </w:rPr>
              <w:t>P</w:t>
            </w:r>
            <w:r w:rsidRPr="00E3390C">
              <w:rPr>
                <w:rFonts w:ascii="Times New Roman" w:hAnsi="Times New Roman"/>
                <w:b/>
              </w:rPr>
              <w:t>r</w:t>
            </w:r>
            <w:r w:rsidRPr="00E3390C">
              <w:rPr>
                <w:rFonts w:ascii="Times New Roman" w:hAnsi="Times New Roman"/>
                <w:b/>
                <w:bCs/>
              </w:rPr>
              <w:t>ipomienky a návrhy zm</w:t>
            </w:r>
            <w:r w:rsidRPr="00E3390C">
              <w:rPr>
                <w:rFonts w:ascii="Times New Roman" w:hAnsi="Times New Roman"/>
                <w:b/>
              </w:rPr>
              <w:t>ie</w:t>
            </w:r>
            <w:r w:rsidRPr="00E3390C">
              <w:rPr>
                <w:rFonts w:ascii="Times New Roman" w:hAnsi="Times New Roman"/>
                <w:b/>
                <w:bCs/>
              </w:rPr>
              <w:t xml:space="preserve">n: </w:t>
            </w:r>
            <w:r w:rsidRPr="00E3390C">
              <w:rPr>
                <w:rFonts w:ascii="Times New Roman" w:hAnsi="Times New Roman"/>
                <w:bCs/>
              </w:rPr>
              <w:t>Komisia uplatňuje k materiálu nasledovné pripomienky a odporúčania: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E3390C">
              <w:rPr>
                <w:rFonts w:ascii="Times New Roman" w:hAnsi="Times New Roman"/>
                <w:b/>
                <w:bCs/>
              </w:rPr>
              <w:t>K analýze vplyvov na podnikateľské prostredie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>Komisia odporúča predkladateľovi materiálu doplniť do analýzy vplyvov na pod</w:t>
            </w:r>
            <w:r w:rsidR="00661C06">
              <w:rPr>
                <w:rFonts w:ascii="Times New Roman" w:hAnsi="Times New Roman"/>
                <w:bCs/>
              </w:rPr>
              <w:t>nikateľské prostredie doplniť v </w:t>
            </w:r>
            <w:r w:rsidRPr="00E3390C">
              <w:rPr>
                <w:rFonts w:ascii="Times New Roman" w:hAnsi="Times New Roman"/>
                <w:bCs/>
              </w:rPr>
              <w:t xml:space="preserve">časti </w:t>
            </w:r>
            <w:r w:rsidRPr="00E3390C">
              <w:rPr>
                <w:rFonts w:ascii="Times New Roman" w:hAnsi="Times New Roman"/>
                <w:bCs/>
                <w:i/>
              </w:rPr>
              <w:t>3.3. Náklady regulácie</w:t>
            </w:r>
            <w:r w:rsidRPr="00E3390C">
              <w:rPr>
                <w:rFonts w:ascii="Times New Roman" w:hAnsi="Times New Roman"/>
                <w:bCs/>
              </w:rPr>
              <w:t xml:space="preserve"> aj údaj – počet zamestnávateľov (podnikateľs</w:t>
            </w:r>
            <w:r w:rsidR="00661C06">
              <w:rPr>
                <w:rFonts w:ascii="Times New Roman" w:hAnsi="Times New Roman"/>
                <w:bCs/>
              </w:rPr>
              <w:t>kých subjektov) zúčastnených na </w:t>
            </w:r>
            <w:r w:rsidRPr="00E3390C">
              <w:rPr>
                <w:rFonts w:ascii="Times New Roman" w:hAnsi="Times New Roman"/>
                <w:bCs/>
              </w:rPr>
              <w:t xml:space="preserve">duálnom vzdelávaní, </w:t>
            </w:r>
          </w:p>
          <w:p w:rsid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>ktorý v predmetnej analýze vplyvov chýba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  <w:u w:val="single"/>
              </w:rPr>
              <w:t>Odôvodnenie:</w:t>
            </w:r>
            <w:r w:rsidRPr="00E3390C">
              <w:rPr>
                <w:rFonts w:ascii="Times New Roman" w:hAnsi="Times New Roman"/>
                <w:bCs/>
              </w:rPr>
              <w:t xml:space="preserve"> Pri priamych finančných nákladoch gestor materiálu uvádza náklady na 1 podnikateľa a náklady na celé podnikateľské prostredie. Je potrebné uviesť, o aký súhrnný počet podnikateľov pri duálnom vzdelávaní ide, z ktorého gestor materiálu vychádza.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>Komisia odporúča predkladateľovi v analýze vplyvov na podnikateľské prostredie doplniť aj kvantifikáciu úspor na strane podnikateľov a to nie len priamych finančných, ale tiež administratívnych, ktoré sú spomínané v</w:t>
            </w:r>
            <w:r>
              <w:rPr>
                <w:rFonts w:ascii="Times New Roman" w:hAnsi="Times New Roman"/>
                <w:bCs/>
              </w:rPr>
              <w:t> </w:t>
            </w:r>
            <w:r w:rsidRPr="00E3390C">
              <w:rPr>
                <w:rFonts w:ascii="Times New Roman" w:hAnsi="Times New Roman"/>
                <w:bCs/>
              </w:rPr>
              <w:t>dôvodovej</w:t>
            </w:r>
            <w:r>
              <w:rPr>
                <w:rFonts w:ascii="Times New Roman" w:hAnsi="Times New Roman"/>
                <w:bCs/>
              </w:rPr>
              <w:t> </w:t>
            </w:r>
            <w:r w:rsidRPr="00E3390C">
              <w:rPr>
                <w:rFonts w:ascii="Times New Roman" w:hAnsi="Times New Roman"/>
                <w:bCs/>
              </w:rPr>
              <w:t>správe k návrhu.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  <w:r w:rsidRPr="00E3390C">
              <w:rPr>
                <w:rFonts w:ascii="Times New Roman" w:hAnsi="Times New Roman"/>
                <w:b/>
                <w:bCs/>
              </w:rPr>
              <w:t>K analýze vplyvov na rozpočet verejnej správy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V predloženej analýze vplyvov na rozpočet verejnej správy je kvantifikovaný rozpočtovo nekrytý vplyv v roku 2018 v sume 3,2 mil. eur, v roku 2019 v sume 14,9 mil. eur, v roku 2020 v sume 21,1 mil. eur a v roku 2021 v sume 28,8 mil. eur, ktorý súvisí s poklesom daňových príjmov a zvýšením výdavkov kapitol MŠVVŠ SR, MV SR a MPSVR SR.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V analýze vplyvov sa neuvádzajú vplyvy na príjmy obcí a samosprávnych krajov, pričom finančné stimuly vyplývajúce z návrhu budú mať negatívny vplyv nielen na výšku výnosu dane z príjmov právnických osôb, ale aj na výšku dane z príjmov fyzických osôb a tým aj vplyv na príjmy obcí a samosprávnych krajov z tejto dane.    V tabuľke č. 1 sa v príjmovej časti uvádza kvantifikácia poklesu príjmov kapitoly MF SR. Keďže ide o pokles daňových príjmov, je potrebné ich rozčleniť podľa vplyvu na štátny rozpočet, obce a VÚC a neuvádzať MF SR.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>Výpadok príjmov vyplývajúci z predloženého návrhu nie je zabezpečený v schválenom rozpočte na roky 2018 až 2020 a nie je zohľadnený ani v aktuálnej daňovej prognóze MF SR.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V nadväznosti na vyššie uvedené a v zmysle § 33 zákona č. 523/2004 Z. z. </w:t>
              <w:br/>
              <w:t xml:space="preserve">o rozpočtových pravidlách verejnej správy Komisia žiada uviesť vplyvy vyplývajúce </w:t>
              <w:br/>
              <w:t xml:space="preserve">z predloženého materiálu na daňové príjmy štátneho rozpočtu, obcí a VÚC spolu </w:t>
              <w:br/>
              <w:t xml:space="preserve">s návrhmi na úhradu úbytku príjmov nielen na bežný rok, ale aj na tri nasledujúce rozpočtové roky.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>V tabuľke č. 1 sa v príjmovej časti uvádzajú aj kapitoly MŠVVŠ SR, MV SR a MPSVR SR, a to s nulovými hodnotami. Nakoľko sa ich pokles príjmov netýka, Komisia žiada tieto riadky z tabuľky odstrániť.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V tabuľke č. 1 vo výdavkovej časti a v časti financovanie zabezpečené v rozpočte je uvedená aj kapitola MF SR s nulovými hodnotami, nakoľko sa vplyv ministerstva financií netýka, Komisia ho žiada z tabuľky vypustiť.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Kvantifikácie uvádzané v tabuľke č. 1 nie sú v súlade s tabuľkou č. 4 a časťou 2.2.4., čo Komisia žiada zosúladiť. 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 xml:space="preserve">V časti 2.2.4. sa uvádzajú vplyvy na výdavkovej strane rozpočtu, pričom jedným </w:t>
              <w:br/>
              <w:t>z nich je aj „Príspevok zamestnávateľom na kompenzáciu časti nákladov na real</w:t>
            </w:r>
            <w:r w:rsidR="00661C06">
              <w:rPr>
                <w:rFonts w:ascii="Times New Roman" w:hAnsi="Times New Roman"/>
                <w:bCs/>
              </w:rPr>
              <w:t>izáciu duálneho vzdelávania“, a </w:t>
            </w:r>
            <w:r w:rsidRPr="00E3390C">
              <w:rPr>
                <w:rFonts w:ascii="Times New Roman" w:hAnsi="Times New Roman"/>
                <w:bCs/>
              </w:rPr>
              <w:t>to v hodnote 1 000 eur pre veľkého zamestnávateľa, aj na podporu vstupu</w:t>
            </w:r>
            <w:r w:rsidR="00661C06">
              <w:rPr>
                <w:rFonts w:ascii="Times New Roman" w:hAnsi="Times New Roman"/>
                <w:bCs/>
              </w:rPr>
              <w:t xml:space="preserve"> malých a stredných podnikov do </w:t>
            </w:r>
            <w:r w:rsidRPr="00E3390C">
              <w:rPr>
                <w:rFonts w:ascii="Times New Roman" w:hAnsi="Times New Roman"/>
                <w:bCs/>
              </w:rPr>
              <w:t>systému odborného vzdelávania. Celkový vplyv z týchto opatrení je kvantifikovaný v roku 2019 v sume 2,7 mil. eur, v roku 2020 v sume 4,2 mil. eur a v roku 2021 v sume 6,5 mil. eur. Vplyv tohto opatrenia nie je zabezpečený v schválenom rozpočte verejnej správy na roky 2018 až 2020, preto Komisia zásadne žiada uviesť návrhy na úhradu zvýšených výdavkov.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Cs/>
              </w:rPr>
            </w:pPr>
            <w:r w:rsidRPr="00E3390C">
              <w:rPr>
                <w:rFonts w:ascii="Times New Roman" w:hAnsi="Times New Roman"/>
                <w:bCs/>
              </w:rPr>
              <w:t>Zároveň sa v tejto časti uvádzajú aj náklady spojené s výkonom kompetencie MPSVR SR ako subjektu koordinácie odborného vzdelávania a prípravy v roku 2019 v sume 2 mil. eur, v roku 2020 v sume 1,1 mil. eur a v roku 2021 v sume 1,5 mil. eur, ktoré súvisia s finančnou náročnosťou štatistických rezortných zisťovaní, predpokladaných nákladov na organizačno-technické zabezpečenie, personálne zabezpečenie a na vývoj systému štatistického zisťovania, pričom z analýzy nie je jasné, akým spôsobom boli vyčíslené predmetné finančné dopady. Kvantifikáciu Komisia zásadne žiada rozčleniť podľa vyšš</w:t>
            </w:r>
            <w:r w:rsidR="00661C06">
              <w:rPr>
                <w:rFonts w:ascii="Times New Roman" w:hAnsi="Times New Roman"/>
                <w:bCs/>
              </w:rPr>
              <w:t>ie uvedeného účelu výdavkov, na </w:t>
            </w:r>
            <w:r w:rsidRPr="00E3390C">
              <w:rPr>
                <w:rFonts w:ascii="Times New Roman" w:hAnsi="Times New Roman"/>
                <w:bCs/>
              </w:rPr>
              <w:t>ktorý majú byť vynaložené. Ďalej Komisia žiada, aby bol uvedený aspo</w:t>
            </w:r>
            <w:r w:rsidR="00661C06">
              <w:rPr>
                <w:rFonts w:ascii="Times New Roman" w:hAnsi="Times New Roman"/>
                <w:bCs/>
              </w:rPr>
              <w:t>ň približný počet stavovských a </w:t>
            </w:r>
            <w:r w:rsidRPr="00E3390C">
              <w:rPr>
                <w:rFonts w:ascii="Times New Roman" w:hAnsi="Times New Roman"/>
                <w:bCs/>
              </w:rPr>
              <w:t>profesijných organizácií, s ktorými bude MPSVR SR spolupracovať pri vytváraní dát o dodatočnej potrebe zamestnancov na trhu práce. Zároveň Komisia zásadne žiada, aby vplyv tohto opatrenia bol v jednotlivých rokoch zabezpečený v rámci limitov kapitoly MPSVR SR, bez dodatočných požiadaviek na rozpočet verejnej správy.</w:t>
            </w: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hAnsi="Times New Roman"/>
                <w:b/>
                <w:bCs/>
              </w:rPr>
            </w:pPr>
          </w:p>
          <w:p w:rsidR="00E3390C" w:rsidRPr="00E3390C" w:rsidP="00E3390C">
            <w:pPr>
              <w:bidi w:val="0"/>
              <w:ind w:right="-2"/>
              <w:jc w:val="both"/>
              <w:rPr>
                <w:rFonts w:ascii="Times New Roman" w:eastAsia="Calibri" w:hAnsi="Times New Roman"/>
                <w:bCs/>
                <w:lang w:eastAsia="en-US"/>
              </w:rPr>
            </w:pPr>
            <w:r w:rsidRPr="00E3390C">
              <w:rPr>
                <w:rFonts w:ascii="Times New Roman" w:hAnsi="Times New Roman"/>
                <w:b/>
                <w:bCs/>
              </w:rPr>
              <w:t xml:space="preserve">III. Záver: </w:t>
            </w:r>
            <w:r w:rsidRPr="00E3390C">
              <w:rPr>
                <w:rFonts w:ascii="Times New Roman" w:hAnsi="Times New Roman"/>
                <w:bCs/>
              </w:rPr>
              <w:t xml:space="preserve">Stála pracovná komisia na posudzovanie vybraných vplyvov vyjadruje </w:t>
            </w:r>
            <w:r w:rsidRPr="00E3390C">
              <w:rPr>
                <w:rFonts w:ascii="Times New Roman" w:eastAsia="Calibri" w:hAnsi="Times New Roman" w:hint="default"/>
                <w:b/>
                <w:bCs/>
                <w:lang w:eastAsia="en-US"/>
              </w:rPr>
              <w:t>nesú</w:t>
            </w:r>
            <w:r w:rsidRPr="00E3390C">
              <w:rPr>
                <w:rFonts w:ascii="Times New Roman" w:eastAsia="Calibri" w:hAnsi="Times New Roman" w:hint="default"/>
                <w:b/>
                <w:bCs/>
                <w:lang w:eastAsia="en-US"/>
              </w:rPr>
              <w:t>hlasné</w:t>
            </w:r>
            <w:r w:rsidRPr="00E3390C">
              <w:rPr>
                <w:rFonts w:ascii="Times New Roman" w:eastAsia="Calibri" w:hAnsi="Times New Roman" w:hint="default"/>
                <w:b/>
                <w:bCs/>
                <w:lang w:eastAsia="en-US"/>
              </w:rPr>
              <w:t xml:space="preserve"> stanovisko</w:t>
            </w:r>
            <w:r>
              <w:rPr>
                <w:rFonts w:ascii="Times New Roman" w:eastAsia="Calibri" w:hAnsi="Times New Roman"/>
                <w:b/>
                <w:bCs/>
                <w:lang w:eastAsia="en-US"/>
              </w:rPr>
              <w:t xml:space="preserve"> </w:t>
            </w:r>
            <w:r w:rsidRPr="00E3390C">
              <w:rPr>
                <w:rFonts w:ascii="Times New Roman" w:hAnsi="Times New Roman"/>
                <w:bCs/>
              </w:rPr>
              <w:t xml:space="preserve">s materiálom predloženým na predbežné pripomienkové konanie s odporúčaním na jeho dopracovanie podľa pripomienok v bode II. </w:t>
            </w:r>
            <w:r w:rsidRPr="00E3390C">
              <w:rPr>
                <w:rFonts w:ascii="Times New Roman" w:eastAsia="Calibri" w:hAnsi="Times New Roman"/>
                <w:bCs/>
                <w:lang w:eastAsia="en-US"/>
              </w:rPr>
              <w:t xml:space="preserve"> 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  <w:r w:rsidR="00E3390C">
              <w:rPr>
                <w:rFonts w:ascii="Times New Roman" w:hAnsi="Times New Roman"/>
                <w:b/>
              </w:rPr>
              <w:t xml:space="preserve">Predkladateľ zapracoval všetky pripomienky </w:t>
            </w:r>
            <w:r w:rsidRPr="00E3390C" w:rsidR="00E3390C">
              <w:rPr>
                <w:rFonts w:ascii="Times New Roman" w:hAnsi="Times New Roman"/>
                <w:b/>
              </w:rPr>
              <w:t>Komisie pre posudzovanie vybraných vplyvov z</w:t>
            </w:r>
            <w:r w:rsidR="00E3390C">
              <w:rPr>
                <w:rFonts w:ascii="Times New Roman" w:hAnsi="Times New Roman"/>
                <w:b/>
              </w:rPr>
              <w:t> </w:t>
            </w:r>
            <w:r w:rsidRPr="00E3390C" w:rsidR="00E3390C">
              <w:rPr>
                <w:rFonts w:ascii="Times New Roman" w:hAnsi="Times New Roman"/>
                <w:b/>
              </w:rPr>
              <w:t>PPK</w:t>
            </w:r>
            <w:r w:rsidR="00E3390C">
              <w:rPr>
                <w:rFonts w:ascii="Times New Roman" w:hAnsi="Times New Roman"/>
                <w:b/>
              </w:rPr>
              <w:t>.</w:t>
            </w:r>
          </w:p>
          <w:p w:rsidR="003501A1" w:rsidRPr="00A179AE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</w:tbl>
    <w:p w:rsidR="003501A1" w:rsidP="00E810C1">
      <w:pPr>
        <w:bidi w:val="0"/>
        <w:rPr>
          <w:rFonts w:ascii="Times New Roman" w:hAnsi="Times New Roman"/>
          <w:b/>
        </w:rPr>
      </w:pPr>
    </w:p>
    <w:sectPr w:rsidSect="004C60B8">
      <w:headerReference w:type="default" r:id="rId10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31773"/>
    <w:multiLevelType w:val="hybridMultilevel"/>
    <w:tmpl w:val="8924B680"/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65A86"/>
    <w:rsid w:val="0003039D"/>
    <w:rsid w:val="00036A60"/>
    <w:rsid w:val="000725CE"/>
    <w:rsid w:val="000954B7"/>
    <w:rsid w:val="000A15AE"/>
    <w:rsid w:val="000D40AB"/>
    <w:rsid w:val="000E0917"/>
    <w:rsid w:val="0011693A"/>
    <w:rsid w:val="00127DAC"/>
    <w:rsid w:val="001728A0"/>
    <w:rsid w:val="00175FD8"/>
    <w:rsid w:val="0019246C"/>
    <w:rsid w:val="001A1559"/>
    <w:rsid w:val="001C0D3F"/>
    <w:rsid w:val="001D104A"/>
    <w:rsid w:val="001D4691"/>
    <w:rsid w:val="00213DB3"/>
    <w:rsid w:val="00233A89"/>
    <w:rsid w:val="00252947"/>
    <w:rsid w:val="002A4473"/>
    <w:rsid w:val="002D1F79"/>
    <w:rsid w:val="0032563B"/>
    <w:rsid w:val="003501A1"/>
    <w:rsid w:val="00375D05"/>
    <w:rsid w:val="00395098"/>
    <w:rsid w:val="0042151B"/>
    <w:rsid w:val="0044160C"/>
    <w:rsid w:val="0045465B"/>
    <w:rsid w:val="00493CA2"/>
    <w:rsid w:val="004A02AF"/>
    <w:rsid w:val="004C60B8"/>
    <w:rsid w:val="004C794A"/>
    <w:rsid w:val="004E22CF"/>
    <w:rsid w:val="004F6F1F"/>
    <w:rsid w:val="004F7D6F"/>
    <w:rsid w:val="00570B48"/>
    <w:rsid w:val="00581A65"/>
    <w:rsid w:val="005B3DD2"/>
    <w:rsid w:val="005B7A8D"/>
    <w:rsid w:val="005F0610"/>
    <w:rsid w:val="00653ADA"/>
    <w:rsid w:val="00661C06"/>
    <w:rsid w:val="006856F3"/>
    <w:rsid w:val="006901EC"/>
    <w:rsid w:val="00693464"/>
    <w:rsid w:val="006C3B7D"/>
    <w:rsid w:val="006E100C"/>
    <w:rsid w:val="006E177F"/>
    <w:rsid w:val="0076747F"/>
    <w:rsid w:val="007B33DE"/>
    <w:rsid w:val="007B71A4"/>
    <w:rsid w:val="007C4B31"/>
    <w:rsid w:val="00821D93"/>
    <w:rsid w:val="008D1AF5"/>
    <w:rsid w:val="008D5CC4"/>
    <w:rsid w:val="0090083A"/>
    <w:rsid w:val="009634B3"/>
    <w:rsid w:val="00965604"/>
    <w:rsid w:val="009D6092"/>
    <w:rsid w:val="00A179AE"/>
    <w:rsid w:val="00AC2477"/>
    <w:rsid w:val="00B10199"/>
    <w:rsid w:val="00B25170"/>
    <w:rsid w:val="00B65A86"/>
    <w:rsid w:val="00B83402"/>
    <w:rsid w:val="00B9221D"/>
    <w:rsid w:val="00BF3078"/>
    <w:rsid w:val="00C11B5B"/>
    <w:rsid w:val="00C8120C"/>
    <w:rsid w:val="00CB3623"/>
    <w:rsid w:val="00D13B6F"/>
    <w:rsid w:val="00D27C0E"/>
    <w:rsid w:val="00D47BA2"/>
    <w:rsid w:val="00D71D7A"/>
    <w:rsid w:val="00D75D35"/>
    <w:rsid w:val="00D85330"/>
    <w:rsid w:val="00D91792"/>
    <w:rsid w:val="00DD39D9"/>
    <w:rsid w:val="00DE2A12"/>
    <w:rsid w:val="00DF3C8F"/>
    <w:rsid w:val="00E3390C"/>
    <w:rsid w:val="00E6093E"/>
    <w:rsid w:val="00E72353"/>
    <w:rsid w:val="00E810C1"/>
    <w:rsid w:val="00E864C4"/>
    <w:rsid w:val="00EA446F"/>
    <w:rsid w:val="00EB1608"/>
    <w:rsid w:val="00EB16CD"/>
    <w:rsid w:val="00EB59E3"/>
    <w:rsid w:val="00EC7D54"/>
    <w:rsid w:val="00EF466C"/>
    <w:rsid w:val="00F04E9D"/>
    <w:rsid w:val="00F21867"/>
    <w:rsid w:val="00F22831"/>
    <w:rsid w:val="00F62771"/>
    <w:rsid w:val="00FC2B6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character" w:styleId="Hyperlink">
    <w:name w:val="Hyperlink"/>
    <w:basedOn w:val="DefaultParagraphFont"/>
    <w:uiPriority w:val="99"/>
    <w:unhideWhenUsed/>
    <w:rsid w:val="001C0D3F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katarina.krausova@minedu.sk" TargetMode="External" /><Relationship Id="rId9" Type="http://schemas.openxmlformats.org/officeDocument/2006/relationships/hyperlink" Target="mailto:karol.jakubik@minedu.sk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D773899F4ECE4898114C1A4F157EFF" ma:contentTypeVersion="10" ma:contentTypeDescription="Umožňuje vytvoriť nový dokument." ma:contentTypeScope="" ma:versionID="88dcd89d3399a0f48450d3bc27caf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F77D-CE9D-47DC-8E6F-B44CAB1B5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6B3101-12F7-4743-BD0C-DEEB353E3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96A29-5834-4C16-AC8A-8291FFC5E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F64BFB-71A2-4FA2-A747-3C99C994E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1558</Words>
  <Characters>8885</Characters>
  <Application>Microsoft Office Word</Application>
  <DocSecurity>0</DocSecurity>
  <Lines>0</Lines>
  <Paragraphs>0</Paragraphs>
  <ScaleCrop>false</ScaleCrop>
  <Company>MSVVaSSR</Company>
  <LinksUpToDate>false</LinksUpToDate>
  <CharactersWithSpaces>10423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Krausová Katarína</cp:lastModifiedBy>
  <cp:revision>2</cp:revision>
  <cp:lastPrinted>2018-04-10T07:19:00Z</cp:lastPrinted>
  <dcterms:created xsi:type="dcterms:W3CDTF">2018-04-12T09:32:00Z</dcterms:created>
  <dcterms:modified xsi:type="dcterms:W3CDTF">2018-04-12T09:32:00Z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0x010100B4D773899F4ECE4898114C1A4F157EFF</vt:lpwstr>
  </property>
</Properties>
</file>