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7787" w:rsidRPr="009C0176">
      <w:pPr>
        <w:bidi w:val="0"/>
        <w:spacing w:before="120" w:line="276" w:lineRule="auto"/>
        <w:jc w:val="center"/>
        <w:rPr>
          <w:rFonts w:ascii="Book Antiqua" w:hAnsi="Book Antiqua"/>
          <w:sz w:val="22"/>
          <w:szCs w:val="22"/>
        </w:rPr>
      </w:pPr>
      <w:r w:rsidRPr="009C0176">
        <w:rPr>
          <w:rFonts w:ascii="Book Antiqua" w:hAnsi="Book Antiqua"/>
          <w:b/>
          <w:sz w:val="22"/>
          <w:szCs w:val="22"/>
        </w:rPr>
        <w:t>DÔVODOVÁ SPRÁVA</w:t>
      </w:r>
    </w:p>
    <w:p w:rsidR="008A7787" w:rsidRPr="009C0176" w:rsidP="00E16397">
      <w:pPr>
        <w:keepNext/>
        <w:tabs>
          <w:tab w:val="left" w:pos="432"/>
          <w:tab w:val="left" w:pos="864"/>
        </w:tabs>
        <w:bidi w:val="0"/>
        <w:spacing w:line="276" w:lineRule="auto"/>
        <w:rPr>
          <w:rFonts w:ascii="Book Antiqua" w:hAnsi="Book Antiqua"/>
          <w:sz w:val="22"/>
          <w:szCs w:val="22"/>
        </w:rPr>
      </w:pPr>
    </w:p>
    <w:p w:rsidR="008A7787" w:rsidRPr="009C0176" w:rsidP="00E16397">
      <w:pPr>
        <w:keepNext/>
        <w:tabs>
          <w:tab w:val="left" w:pos="432"/>
          <w:tab w:val="left" w:pos="864"/>
        </w:tabs>
        <w:bidi w:val="0"/>
        <w:spacing w:line="276" w:lineRule="auto"/>
        <w:rPr>
          <w:rFonts w:ascii="Book Antiqua" w:hAnsi="Book Antiqua"/>
          <w:sz w:val="22"/>
          <w:szCs w:val="22"/>
        </w:rPr>
      </w:pPr>
      <w:r w:rsidRPr="009C0176">
        <w:rPr>
          <w:rFonts w:ascii="Book Antiqua" w:hAnsi="Book Antiqua"/>
          <w:b/>
          <w:sz w:val="22"/>
          <w:szCs w:val="22"/>
        </w:rPr>
        <w:t>A. Všeobecná časť</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Návrh zákona, ktorým sa mení a dopĺňa zákon č. 504/2003 Z. z. o nájme poľnohospodárskych pozemkov, poľnohospodárskeho podniku a lesných pozemkov a o zmene niektorých zákonov v znení neskorších predpisov a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(ďalej len „návrh zákona“) predkladá skupina poslancov Národnej rady Slovenskej republiky.</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Cieľom návrhu zákona je jednoznačne upraviť výmenu údajov a informácií medzi žiadateľom a Pôdohospodárskou platobnou agentúrou pri poskytovaní podpory v oblasti pôdohospodárstva a rozvoja vidieka tak, aby sa vylúčila voľná úvaha tejto agentúry pri rozhodovaní týkajúcom sa preukázania vlastníckeho vzťahu, nájomného vzťahu alebo užívateľského vzťahu k pôde a preukázania plnenia záväzkov vyplývajúcich z takéhoto vzťahu (napr. úhrada nájomného) ako podmienok na získanie podpory poskytovanej touto agentúrou.</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 xml:space="preserve">V Slovenskej republike je značná časť poľnohospodárskej pôdy obrábaná nájomcami a nie ich vlastníkmi. Dôvodom tejto skutočnosti je fakt, že po roku 1948 v procese kolektivizácie poľnohospodárstva boli vlastníci pôdy zbavení alebo boli nútení vstúpiť do jednotných roľníckych družstiev. Po roku 1989 získali pôdu späť, ale keďže nemajú potrebné stroje, zariadenia a ani finančné prostriedky, nie sú schopní ju obrábať a jedinou možnosťou ako udržať pôdu využívanú a obrábanú zostáva prenajať ju. </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 xml:space="preserve">V prípade nájmu pozemku na poľnohospodárske účely pri prevádzkovaní podniku, je vzťah medzi vlastníkom a nájomcom, resp. užívateľom, vnímaný osobitne citlivo, keďže doteraz neboli usporiadané všetky existujúce vzťahy medzi vlastníkmi týchto pozemkov a ich nájomcami, ktorí môžu žiadať o poskytnutie takejto podpory. </w:t>
      </w:r>
      <w:r w:rsidRPr="009C0176" w:rsidR="000E24D0">
        <w:rPr>
          <w:rFonts w:ascii="Book Antiqua" w:hAnsi="Book Antiqua"/>
          <w:sz w:val="22"/>
          <w:szCs w:val="22"/>
        </w:rPr>
        <w:t xml:space="preserve">Hoci novely zákona      č. 504/2003 Z. z. o nájme poľnohospodárskych pozemkov, poľnohospodárskeho podniku a lesných pozemkov a o zmene niektorých zákonov v znení neskorších predpisov prijaté v rokoch 2017 a 2018 pozitívne prispeli k riešeniu tejto otázky, aj naďalej zostalo zachované, že užívatelia pozemkov nemusia obligatórne preukazovať svoj vzťah k pozemku, ale </w:t>
      </w:r>
      <w:r w:rsidRPr="009C0176">
        <w:rPr>
          <w:rFonts w:ascii="Book Antiqua" w:hAnsi="Book Antiqua"/>
          <w:sz w:val="22"/>
          <w:szCs w:val="22"/>
        </w:rPr>
        <w:t>len na základe výzvy príslušného orgánu v zmysle § 16 ods. 7 nariadenia vlády Slovenskej republiky č. 342/2014 Z. z., ktorým sa ustanovujú pravidlá poskytovania podpory v poľnohospodárstve v súvislosti so schémami oddelených priamych platieb,</w:t>
      </w:r>
      <w:r w:rsidRPr="009C0176">
        <w:rPr>
          <w:rFonts w:ascii="Book Antiqua" w:hAnsi="Book Antiqua"/>
          <w:color w:val="FF0000"/>
          <w:sz w:val="22"/>
          <w:szCs w:val="22"/>
        </w:rPr>
        <w:t xml:space="preserve"> </w:t>
      </w:r>
      <w:r w:rsidRPr="009C0176">
        <w:rPr>
          <w:rFonts w:ascii="Book Antiqua" w:hAnsi="Book Antiqua"/>
          <w:sz w:val="22"/>
          <w:szCs w:val="22"/>
        </w:rPr>
        <w:t>resp. v zmysle § 6 ods. 5 nariadenia vlády SR č. 152/2013 Z. z. o podmienkach poskytovania podpory v poľnohospodárstve formou prechodných vnútroštátnych platieb alebo v zmysle § 60 ods. 5 nariadenia vlády Slovenskej republiky č. 75/2015 Z. z., ktorým sa ustanovujú pravidlá poskytovania podpory v súvislosti s opatreniami programu rozvoja vidieka.</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 xml:space="preserve">Platný právny stav tak </w:t>
      </w:r>
      <w:r w:rsidRPr="009C0176" w:rsidR="000E24D0">
        <w:rPr>
          <w:rFonts w:ascii="Book Antiqua" w:hAnsi="Book Antiqua"/>
          <w:sz w:val="22"/>
          <w:szCs w:val="22"/>
        </w:rPr>
        <w:t>stále úplne nezabraňuje tomu, aby osoba, ktorá fakticky užíva</w:t>
      </w:r>
      <w:r w:rsidRPr="009C0176">
        <w:rPr>
          <w:rFonts w:ascii="Book Antiqua" w:hAnsi="Book Antiqua"/>
          <w:sz w:val="22"/>
          <w:szCs w:val="22"/>
        </w:rPr>
        <w:t xml:space="preserve"> poľnohospodársku pôdu bez nájomného vzťahu a neraz aj </w:t>
      </w:r>
      <w:r w:rsidRPr="009C0176" w:rsidR="000E24D0">
        <w:rPr>
          <w:rFonts w:ascii="Book Antiqua" w:hAnsi="Book Antiqua"/>
          <w:sz w:val="22"/>
          <w:szCs w:val="22"/>
        </w:rPr>
        <w:t>bez vedomia jej vlastníka získala</w:t>
      </w:r>
      <w:r w:rsidRPr="009C0176">
        <w:rPr>
          <w:rFonts w:ascii="Book Antiqua" w:hAnsi="Book Antiqua"/>
          <w:sz w:val="22"/>
          <w:szCs w:val="22"/>
        </w:rPr>
        <w:t xml:space="preserve"> podporu prostredníctvom Pôdohospodárskej platobnej agentúry, čo možno považovať za poškodzovanie vlastníka pozemku a porušovanie vlastníckeho práva garantovaného článkom 20 Ústavy Slovenskej republiky. </w:t>
      </w:r>
    </w:p>
    <w:p w:rsidR="008A7787" w:rsidRPr="009C0176" w:rsidP="00785943">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V poslednom období bolo medializovaných viacero prípadov, najmä z oblasti výhodného Slovenska, ktoré potvrdzujú, že sa tak deje aj v praxi. Ukázalo sa, že niektorým obchodným spoločnostiam je skutočne poskytovaná podpora v oblasti poľnohospodárstva a rozvoja vidieka Pôdohospodárskou platobnou agentúrou, a to všetko napriek tomu, že si ju uplatňujú v súvislosti s podnikaním na pôde, ku ktorej nemajú nájomný ani iný vzťah. Naproti tomu vlastníkom danej pôdy je bránené v uplatňovaní si svojich vlastníckych práv. Takýto stav je v právnom štáte neak</w:t>
      </w:r>
      <w:r w:rsidRPr="009C0176" w:rsidR="007B40C2">
        <w:rPr>
          <w:rFonts w:ascii="Book Antiqua" w:hAnsi="Book Antiqua"/>
          <w:sz w:val="22"/>
          <w:szCs w:val="22"/>
        </w:rPr>
        <w:t>ceptovateľný. N</w:t>
      </w:r>
      <w:r w:rsidRPr="009C0176">
        <w:rPr>
          <w:rFonts w:ascii="Book Antiqua" w:hAnsi="Book Antiqua"/>
          <w:sz w:val="22"/>
          <w:szCs w:val="22"/>
        </w:rPr>
        <w:t xml:space="preserve">ávrh zákona predstavuje riešenie tejto </w:t>
      </w:r>
      <w:r w:rsidRPr="009C0176" w:rsidR="007B40C2">
        <w:rPr>
          <w:rFonts w:ascii="Book Antiqua" w:hAnsi="Book Antiqua"/>
          <w:sz w:val="22"/>
          <w:szCs w:val="22"/>
        </w:rPr>
        <w:t>nežiaducej</w:t>
      </w:r>
      <w:r w:rsidRPr="009C0176" w:rsidR="00785943">
        <w:rPr>
          <w:rFonts w:ascii="Book Antiqua" w:hAnsi="Book Antiqua"/>
          <w:sz w:val="22"/>
          <w:szCs w:val="22"/>
        </w:rPr>
        <w:t xml:space="preserve"> situácie </w:t>
      </w:r>
      <w:r w:rsidRPr="009C0176">
        <w:rPr>
          <w:rFonts w:ascii="Book Antiqua" w:hAnsi="Book Antiqua"/>
          <w:sz w:val="22"/>
          <w:szCs w:val="22"/>
        </w:rPr>
        <w:t>s tým, že súčasne bude potrebné novelizovať aj súvisiace ustanovenia nariadení vlády SR, čo je dôvodom, pre ktorý sa odkladá dátum nadobudnutia účinnosti časti návrhu zákona, aby vláda mala dostatočný čas na prijatie takýchto súvisiacich úprav.</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Predkladaný návrh zákona vyvolá</w:t>
      </w:r>
      <w:r w:rsidR="000C11EF">
        <w:rPr>
          <w:rFonts w:ascii="Book Antiqua" w:hAnsi="Book Antiqua"/>
          <w:sz w:val="22"/>
          <w:szCs w:val="22"/>
        </w:rPr>
        <w:t xml:space="preserve">va pozitívne sociálne vplyvy, </w:t>
      </w:r>
      <w:r w:rsidRPr="009C0176">
        <w:rPr>
          <w:rFonts w:ascii="Book Antiqua" w:hAnsi="Book Antiqua"/>
          <w:sz w:val="22"/>
          <w:szCs w:val="22"/>
        </w:rPr>
        <w:t>zaklad</w:t>
      </w:r>
      <w:r w:rsidR="000C11EF">
        <w:rPr>
          <w:rFonts w:ascii="Book Antiqua" w:hAnsi="Book Antiqua"/>
          <w:sz w:val="22"/>
          <w:szCs w:val="22"/>
        </w:rPr>
        <w:t>á pozitívne</w:t>
      </w:r>
      <w:r w:rsidRPr="009C0176">
        <w:rPr>
          <w:rFonts w:ascii="Book Antiqua" w:hAnsi="Book Antiqua"/>
          <w:sz w:val="22"/>
          <w:szCs w:val="22"/>
        </w:rPr>
        <w:t xml:space="preserve"> vplyv</w:t>
      </w:r>
      <w:r w:rsidR="000C11EF">
        <w:rPr>
          <w:rFonts w:ascii="Book Antiqua" w:hAnsi="Book Antiqua"/>
          <w:sz w:val="22"/>
          <w:szCs w:val="22"/>
        </w:rPr>
        <w:t xml:space="preserve">y na rozpočet verejnej správy. Návrh zákona nezakladá vplyvy </w:t>
      </w:r>
      <w:r w:rsidRPr="009C0176">
        <w:rPr>
          <w:rFonts w:ascii="Book Antiqua" w:hAnsi="Book Antiqua"/>
          <w:sz w:val="22"/>
          <w:szCs w:val="22"/>
        </w:rPr>
        <w:t>na podnikateľské prostredie, nevyvoláva vplyvy na životné prostredie a ani na informatizáciu spoločnosti.</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A7787" w:rsidRPr="009C0176" w:rsidP="007B40C2">
      <w:pPr>
        <w:bidi w:val="0"/>
        <w:spacing w:before="120" w:line="276" w:lineRule="auto"/>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jc w:val="center"/>
        <w:rPr>
          <w:rFonts w:ascii="Book Antiqua" w:hAnsi="Book Antiqua"/>
          <w:sz w:val="22"/>
          <w:szCs w:val="22"/>
        </w:rPr>
      </w:pPr>
    </w:p>
    <w:p w:rsidR="008A7787" w:rsidRPr="009C0176">
      <w:pPr>
        <w:pageBreakBefore/>
        <w:bidi w:val="0"/>
        <w:spacing w:before="120" w:line="276" w:lineRule="auto"/>
        <w:jc w:val="both"/>
        <w:rPr>
          <w:rFonts w:ascii="Book Antiqua" w:hAnsi="Book Antiqua"/>
          <w:sz w:val="22"/>
          <w:szCs w:val="22"/>
        </w:rPr>
      </w:pPr>
      <w:r w:rsidRPr="009C0176">
        <w:rPr>
          <w:rFonts w:ascii="Book Antiqua" w:hAnsi="Book Antiqua"/>
          <w:b/>
          <w:sz w:val="22"/>
          <w:szCs w:val="22"/>
        </w:rPr>
        <w:t>B. Osobitná časť</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rPr>
        <w:t> </w:t>
      </w: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K Čl. I</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u w:val="single"/>
        </w:rPr>
        <w:t xml:space="preserve">K bodu 1 </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Terajšie znenie § 14 ods. 2 zákona</w:t>
      </w:r>
      <w:r w:rsidRPr="009C0176">
        <w:rPr>
          <w:rFonts w:ascii="Book Antiqua" w:hAnsi="Book Antiqua"/>
          <w:sz w:val="22"/>
          <w:szCs w:val="22"/>
        </w:rPr>
        <w:t xml:space="preserve"> č. 504/2003 Z. z. o nájme poľnohospodárskych pozemkov, poľnohospodárskeho podniku a lesných pozemkov a o zmene niektorých zákonov v znení neskorších predpisov (ďalej len „zákon o nájme poľnohospodárskych pozemkov“) </w:t>
      </w:r>
      <w:r w:rsidRPr="009C0176">
        <w:rPr>
          <w:rFonts w:ascii="Book Antiqua" w:hAnsi="Book Antiqua"/>
          <w:b/>
          <w:sz w:val="22"/>
          <w:szCs w:val="22"/>
        </w:rPr>
        <w:t xml:space="preserve">ukladá nájomcovi povinnosť viesť evidenciu </w:t>
      </w:r>
      <w:r w:rsidRPr="009C0176">
        <w:rPr>
          <w:rFonts w:ascii="Book Antiqua" w:hAnsi="Book Antiqua"/>
          <w:sz w:val="22"/>
          <w:szCs w:val="22"/>
        </w:rPr>
        <w:t xml:space="preserve">pozemkov, ktoré má prenajaté, a ktoré sám vlastní a obhospodaruje podľa prenajímateľov a druhov pozemkov – podrobnosti v tomto smere upravuje vyhláška Ministerstva pôdohospodárstva SR </w:t>
      </w:r>
      <w:r w:rsidRPr="009C0176" w:rsidR="007B40C2">
        <w:rPr>
          <w:rFonts w:ascii="Book Antiqua" w:hAnsi="Book Antiqua"/>
          <w:sz w:val="22"/>
          <w:szCs w:val="22"/>
        </w:rPr>
        <w:t xml:space="preserve">           </w:t>
      </w:r>
      <w:r w:rsidRPr="009C0176">
        <w:rPr>
          <w:rFonts w:ascii="Book Antiqua" w:hAnsi="Book Antiqua"/>
          <w:sz w:val="22"/>
          <w:szCs w:val="22"/>
        </w:rPr>
        <w:t>č. 249/2008 Z. z., ktorou sa ustanovujú podrobnosti o spôsobe vedenia evidencie pozemkov v znení vyhlášky 333/2009 Z. z.</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 xml:space="preserve">Údaje a informácie z danej evidencie je nájomca </w:t>
      </w:r>
      <w:r w:rsidRPr="009C0176">
        <w:rPr>
          <w:rFonts w:ascii="Book Antiqua" w:hAnsi="Book Antiqua"/>
          <w:sz w:val="22"/>
          <w:szCs w:val="22"/>
        </w:rPr>
        <w:t xml:space="preserve">v zmysle § 14 ods. 2 zákona o nájme poľnohospodárskych pozemkov, </w:t>
      </w:r>
      <w:r w:rsidRPr="009C0176">
        <w:rPr>
          <w:rFonts w:ascii="Book Antiqua" w:hAnsi="Book Antiqua"/>
          <w:b/>
          <w:sz w:val="22"/>
          <w:szCs w:val="22"/>
        </w:rPr>
        <w:t xml:space="preserve">povinný poskytnúť okresnému úradu a Pôdohospodárskej platobnej agentúre </w:t>
      </w:r>
      <w:r w:rsidRPr="009C0176">
        <w:rPr>
          <w:rFonts w:ascii="Book Antiqua" w:hAnsi="Book Antiqua"/>
          <w:sz w:val="22"/>
          <w:szCs w:val="22"/>
        </w:rPr>
        <w:t xml:space="preserve">na ich požiadanie, pričom zákon ani v poznámke pod čiarou </w:t>
      </w:r>
      <w:r w:rsidRPr="009C0176">
        <w:rPr>
          <w:rFonts w:ascii="Book Antiqua" w:hAnsi="Book Antiqua"/>
          <w:b/>
          <w:sz w:val="22"/>
          <w:szCs w:val="22"/>
        </w:rPr>
        <w:t>nespresňuje prípady, keď sa tak deje</w:t>
      </w:r>
      <w:r w:rsidRPr="009C0176">
        <w:rPr>
          <w:rFonts w:ascii="Book Antiqua" w:hAnsi="Book Antiqua"/>
          <w:sz w:val="22"/>
          <w:szCs w:val="22"/>
        </w:rPr>
        <w:t xml:space="preserve">. Zákon v § 14 ods. 4 predpokladá iba spresnenie </w:t>
      </w:r>
      <w:r w:rsidRPr="009C0176">
        <w:rPr>
          <w:rFonts w:ascii="Book Antiqua" w:hAnsi="Book Antiqua"/>
          <w:b/>
          <w:sz w:val="22"/>
          <w:szCs w:val="22"/>
        </w:rPr>
        <w:t>spôsobu</w:t>
      </w:r>
      <w:r w:rsidRPr="009C0176">
        <w:rPr>
          <w:rFonts w:ascii="Book Antiqua" w:hAnsi="Book Antiqua"/>
          <w:sz w:val="22"/>
          <w:szCs w:val="22"/>
        </w:rPr>
        <w:t xml:space="preserve"> a </w:t>
      </w:r>
      <w:r w:rsidRPr="009C0176">
        <w:rPr>
          <w:rFonts w:ascii="Book Antiqua" w:hAnsi="Book Antiqua"/>
          <w:b/>
          <w:sz w:val="22"/>
          <w:szCs w:val="22"/>
        </w:rPr>
        <w:t>rozsahu</w:t>
      </w:r>
      <w:r w:rsidRPr="009C0176">
        <w:rPr>
          <w:rFonts w:ascii="Book Antiqua" w:hAnsi="Book Antiqua"/>
          <w:sz w:val="22"/>
          <w:szCs w:val="22"/>
        </w:rPr>
        <w:t xml:space="preserve"> vedenia a poskytovania evidencií. </w:t>
      </w:r>
    </w:p>
    <w:p w:rsidR="008A7787" w:rsidRPr="009C0176">
      <w:pPr>
        <w:bidi w:val="0"/>
        <w:spacing w:before="120" w:line="276" w:lineRule="auto"/>
        <w:ind w:firstLine="708"/>
        <w:jc w:val="both"/>
        <w:rPr>
          <w:rFonts w:ascii="Book Antiqua" w:hAnsi="Book Antiqua"/>
          <w:sz w:val="22"/>
          <w:szCs w:val="22"/>
        </w:rPr>
      </w:pPr>
      <w:r w:rsidRPr="009C0176" w:rsidR="009C0176">
        <w:rPr>
          <w:rFonts w:ascii="Book Antiqua" w:hAnsi="Book Antiqua"/>
          <w:sz w:val="22"/>
          <w:szCs w:val="22"/>
        </w:rPr>
        <w:t xml:space="preserve">Podľa </w:t>
      </w:r>
      <w:r w:rsidRPr="009C0176">
        <w:rPr>
          <w:rFonts w:ascii="Book Antiqua" w:hAnsi="Book Antiqua"/>
          <w:sz w:val="22"/>
          <w:szCs w:val="22"/>
        </w:rPr>
        <w:t>§ 16 ods. 7 nariadenia vlády Slovenskej republiky č. 342/2014 Z. z., ktorým sa ustanovujú pravidlá poskytovania podpory v poľnohospodárstve v súvislosti so schémami oddelených priamych platieb (ďalej len „nariadenie vlády SR č. 342/20</w:t>
      </w:r>
      <w:r w:rsidRPr="009C0176" w:rsidR="009C0176">
        <w:rPr>
          <w:rFonts w:ascii="Book Antiqua" w:hAnsi="Book Antiqua"/>
          <w:sz w:val="22"/>
          <w:szCs w:val="22"/>
        </w:rPr>
        <w:t>14 Z. z.“), sa</w:t>
      </w:r>
      <w:r w:rsidRPr="009C0176">
        <w:rPr>
          <w:rFonts w:ascii="Book Antiqua" w:hAnsi="Book Antiqua"/>
          <w:sz w:val="22"/>
          <w:szCs w:val="22"/>
        </w:rPr>
        <w:t>: „</w:t>
      </w:r>
      <w:r w:rsidRPr="009C0176">
        <w:rPr>
          <w:rFonts w:ascii="Book Antiqua" w:hAnsi="Book Antiqua"/>
          <w:i/>
          <w:sz w:val="22"/>
          <w:szCs w:val="22"/>
          <w:shd w:val="clear" w:color="auto" w:fill="FFFFFF"/>
        </w:rPr>
        <w:t>Priame platby sa poskytnú žiadateľovi, ktorý na výzvu príslušného orgánu riadne preukáže vlastnícke právo k poľnohospodárskej ploche alebo právo užívať poľnohospodársku plochu.“.</w:t>
      </w:r>
      <w:r w:rsidRPr="009C0176" w:rsidR="009C0176">
        <w:rPr>
          <w:rFonts w:ascii="Book Antiqua" w:hAnsi="Book Antiqua"/>
          <w:b/>
          <w:sz w:val="22"/>
          <w:szCs w:val="22"/>
        </w:rPr>
        <w:t xml:space="preserve"> T</w:t>
      </w:r>
      <w:r w:rsidRPr="009C0176">
        <w:rPr>
          <w:rFonts w:ascii="Book Antiqua" w:hAnsi="Book Antiqua"/>
          <w:b/>
          <w:sz w:val="22"/>
          <w:szCs w:val="22"/>
        </w:rPr>
        <w:t xml:space="preserve">oto ustanovenie z dôvodu ponechania rozhodnutia týkajúceho sa preukázania užívateľského vzťahu (ktorým je aj nájomný vzťah) k pôde na voľnej úvahe príslušného orgánu (Pôdohospodárskej platobnej agentúry) vytvára priestor na vznik situácií (čo sa v praxi aj deje), keď žiadateľ o podporu o ňu požiada a dostane ju aj bez toho, aby uzavrel zmluvu o nájme s vlastníkom poľnohospodárskej pôdy, ktorej sa podpora vyčlenená zo štátnych prostriedkov, resp. fondov Európskej únie, týka. </w:t>
      </w:r>
    </w:p>
    <w:p w:rsidR="008A7787" w:rsidRPr="009C0176">
      <w:pPr>
        <w:bidi w:val="0"/>
        <w:spacing w:before="120" w:line="276" w:lineRule="auto"/>
        <w:ind w:firstLine="708"/>
        <w:jc w:val="both"/>
        <w:rPr>
          <w:rFonts w:ascii="Book Antiqua" w:hAnsi="Book Antiqua"/>
          <w:color w:val="auto"/>
          <w:sz w:val="22"/>
          <w:szCs w:val="22"/>
        </w:rPr>
      </w:pPr>
      <w:r w:rsidRPr="009C0176">
        <w:rPr>
          <w:rFonts w:ascii="Book Antiqua" w:hAnsi="Book Antiqua"/>
          <w:sz w:val="22"/>
          <w:szCs w:val="22"/>
        </w:rPr>
        <w:t>Obdobné ustanovenie obsahuje nariadenie vlády SR č. 152/2013 Z. z. o podmienkach poskytovania podpory v poľnohospodárstve formou prechodných vnútroštátnych platieb v znení neskorších predpisov (ďalej len „nariadenie vlády SR č. 152/2013 Z. z.“)</w:t>
      </w:r>
      <w:r w:rsidRPr="009C0176">
        <w:rPr>
          <w:rFonts w:ascii="Book Antiqua" w:hAnsi="Book Antiqua"/>
          <w:b/>
          <w:sz w:val="22"/>
          <w:szCs w:val="22"/>
        </w:rPr>
        <w:t>.</w:t>
      </w:r>
      <w:r w:rsidRPr="009C0176">
        <w:rPr>
          <w:rFonts w:ascii="Book Antiqua" w:hAnsi="Book Antiqua"/>
          <w:sz w:val="22"/>
          <w:szCs w:val="22"/>
        </w:rPr>
        <w:t xml:space="preserve"> Podľa § 6 ods. 5 tohto nariadenia vlády SR č. 152/2013 Z. z.: „</w:t>
      </w:r>
      <w:r w:rsidRPr="009C0176">
        <w:rPr>
          <w:rFonts w:ascii="Book Antiqua" w:hAnsi="Book Antiqua"/>
          <w:i/>
          <w:sz w:val="22"/>
          <w:szCs w:val="22"/>
        </w:rPr>
        <w:t xml:space="preserve">Žiadateľ o platbu podľa § 2 alebo 3 </w:t>
      </w:r>
      <w:r w:rsidRPr="009C0176">
        <w:rPr>
          <w:rFonts w:ascii="Book Antiqua" w:hAnsi="Book Antiqua"/>
          <w:sz w:val="22"/>
          <w:szCs w:val="22"/>
        </w:rPr>
        <w:t xml:space="preserve">(t. j. o doplnkovú platbu na plochu a platbu na chmeľ) </w:t>
      </w:r>
      <w:r w:rsidRPr="009C0176">
        <w:rPr>
          <w:rFonts w:ascii="Book Antiqua" w:hAnsi="Book Antiqua"/>
          <w:i/>
          <w:sz w:val="22"/>
          <w:szCs w:val="22"/>
        </w:rPr>
        <w:t>je povinný na požiadanie platobnej agentúry preukázať k pôde deklarovanej v žiadosti vlastnícky, nájomný alebo iný vzťah, ktorý ho oprávňuje túto pôdu užívať.</w:t>
      </w:r>
      <w:r w:rsidRPr="009C0176">
        <w:rPr>
          <w:rFonts w:ascii="Book Antiqua" w:hAnsi="Book Antiqua"/>
          <w:sz w:val="22"/>
          <w:szCs w:val="22"/>
        </w:rPr>
        <w:t>“. Rovnako aj nariadenie vlády SR č. 75/2015 Z. z., ktorým sa ustanovujú pravidlá poskytovania podpory v súvislosti s opatreniami programu rozvoja vidieka v znení nariadenia vlády SR č. 163/2015 Z. z. (ďalej len „nariadenie vlády SR č. 75/2015 Z. z.</w:t>
      </w:r>
      <w:r w:rsidR="009C0176">
        <w:rPr>
          <w:rFonts w:ascii="Book Antiqua" w:hAnsi="Book Antiqua"/>
          <w:sz w:val="22"/>
          <w:szCs w:val="22"/>
        </w:rPr>
        <w:t>“</w:t>
      </w:r>
      <w:r w:rsidRPr="009C0176">
        <w:rPr>
          <w:rFonts w:ascii="Book Antiqua" w:hAnsi="Book Antiqua"/>
          <w:sz w:val="22"/>
          <w:szCs w:val="22"/>
        </w:rPr>
        <w:t xml:space="preserve">), ktoré v § 60 ods. 5 ustanovuje, že: </w:t>
      </w:r>
      <w:r w:rsidRPr="009C0176">
        <w:rPr>
          <w:rFonts w:ascii="Book Antiqua" w:hAnsi="Book Antiqua"/>
          <w:color w:val="auto"/>
          <w:sz w:val="22"/>
          <w:szCs w:val="22"/>
        </w:rPr>
        <w:t>„</w:t>
      </w:r>
      <w:r w:rsidRPr="009C0176">
        <w:rPr>
          <w:rFonts w:ascii="Book Antiqua" w:hAnsi="Book Antiqua"/>
          <w:i/>
          <w:color w:val="auto"/>
          <w:sz w:val="22"/>
          <w:szCs w:val="22"/>
          <w:shd w:val="clear" w:color="auto" w:fill="FFFFFF"/>
        </w:rPr>
        <w:t>Platby podľa </w:t>
      </w:r>
      <w:hyperlink r:id="rId4" w:history="1">
        <w:r w:rsidRPr="009C0176">
          <w:rPr>
            <w:rFonts w:ascii="Book Antiqua" w:hAnsi="Book Antiqua"/>
            <w:i/>
            <w:color w:val="auto"/>
            <w:sz w:val="22"/>
            <w:szCs w:val="22"/>
            <w:shd w:val="clear" w:color="auto" w:fill="FFFFFF"/>
          </w:rPr>
          <w:t xml:space="preserve">§ 1 </w:t>
        </w:r>
      </w:hyperlink>
      <w:hyperlink r:id="rId4" w:history="1">
        <w:r w:rsidRPr="009C0176">
          <w:rPr>
            <w:rFonts w:ascii="Book Antiqua" w:hAnsi="Book Antiqua"/>
            <w:i/>
            <w:color w:val="auto"/>
            <w:sz w:val="22"/>
            <w:szCs w:val="22"/>
            <w:shd w:val="clear" w:color="auto" w:fill="FFFFFF"/>
          </w:rPr>
          <w:t>ods</w:t>
        </w:r>
      </w:hyperlink>
      <w:hyperlink r:id="rId4" w:history="1">
        <w:r w:rsidRPr="009C0176">
          <w:rPr>
            <w:rFonts w:ascii="Book Antiqua" w:hAnsi="Book Antiqua"/>
            <w:i/>
            <w:color w:val="auto"/>
            <w:sz w:val="22"/>
            <w:szCs w:val="22"/>
            <w:shd w:val="clear" w:color="auto" w:fill="FFFFFF"/>
          </w:rPr>
          <w:t xml:space="preserve">. 1 </w:t>
        </w:r>
      </w:hyperlink>
      <w:hyperlink r:id="rId4" w:history="1">
        <w:r w:rsidRPr="009C0176">
          <w:rPr>
            <w:rFonts w:ascii="Book Antiqua" w:hAnsi="Book Antiqua"/>
            <w:i/>
            <w:color w:val="auto"/>
            <w:sz w:val="22"/>
            <w:szCs w:val="22"/>
            <w:shd w:val="clear" w:color="auto" w:fill="FFFFFF"/>
          </w:rPr>
          <w:t>písm</w:t>
        </w:r>
      </w:hyperlink>
      <w:hyperlink r:id="rId4" w:history="1">
        <w:r w:rsidRPr="009C0176">
          <w:rPr>
            <w:rFonts w:ascii="Book Antiqua" w:hAnsi="Book Antiqua"/>
            <w:i/>
            <w:color w:val="auto"/>
            <w:sz w:val="22"/>
            <w:szCs w:val="22"/>
            <w:shd w:val="clear" w:color="auto" w:fill="FFFFFF"/>
          </w:rPr>
          <w:t xml:space="preserve">. </w:t>
        </w:r>
      </w:hyperlink>
      <w:hyperlink r:id="rId4" w:history="1">
        <w:r w:rsidRPr="009C0176">
          <w:rPr>
            <w:rFonts w:ascii="Book Antiqua" w:hAnsi="Book Antiqua"/>
            <w:i/>
            <w:color w:val="auto"/>
            <w:sz w:val="22"/>
            <w:szCs w:val="22"/>
            <w:shd w:val="clear" w:color="auto" w:fill="FFFFFF"/>
          </w:rPr>
          <w:t>a</w:t>
        </w:r>
      </w:hyperlink>
      <w:hyperlink r:id="rId4" w:history="1">
        <w:r w:rsidRPr="009C0176">
          <w:rPr>
            <w:rFonts w:ascii="Book Antiqua" w:hAnsi="Book Antiqua"/>
            <w:i/>
            <w:color w:val="auto"/>
            <w:sz w:val="22"/>
            <w:szCs w:val="22"/>
            <w:shd w:val="clear" w:color="auto" w:fill="FFFFFF"/>
          </w:rPr>
          <w:t xml:space="preserve">) </w:t>
        </w:r>
      </w:hyperlink>
      <w:hyperlink r:id="rId4" w:history="1">
        <w:r w:rsidRPr="009C0176">
          <w:rPr>
            <w:rFonts w:ascii="Book Antiqua" w:hAnsi="Book Antiqua"/>
            <w:i/>
            <w:color w:val="auto"/>
            <w:sz w:val="22"/>
            <w:szCs w:val="22"/>
            <w:shd w:val="clear" w:color="auto" w:fill="FFFFFF"/>
          </w:rPr>
          <w:t>až</w:t>
        </w:r>
      </w:hyperlink>
      <w:hyperlink r:id="rId4" w:history="1">
        <w:r w:rsidRPr="009C0176">
          <w:rPr>
            <w:rFonts w:ascii="Book Antiqua" w:hAnsi="Book Antiqua"/>
            <w:i/>
            <w:color w:val="auto"/>
            <w:sz w:val="22"/>
            <w:szCs w:val="22"/>
            <w:shd w:val="clear" w:color="auto" w:fill="FFFFFF"/>
          </w:rPr>
          <w:t xml:space="preserve"> </w:t>
        </w:r>
      </w:hyperlink>
      <w:hyperlink r:id="rId4" w:history="1">
        <w:r w:rsidRPr="009C0176">
          <w:rPr>
            <w:rFonts w:ascii="Book Antiqua" w:hAnsi="Book Antiqua"/>
            <w:i/>
            <w:color w:val="auto"/>
            <w:sz w:val="22"/>
            <w:szCs w:val="22"/>
            <w:shd w:val="clear" w:color="auto" w:fill="FFFFFF"/>
          </w:rPr>
          <w:t>d</w:t>
        </w:r>
      </w:hyperlink>
      <w:hyperlink r:id="rId4" w:history="1">
        <w:r w:rsidRPr="009C0176">
          <w:rPr>
            <w:rFonts w:ascii="Book Antiqua" w:hAnsi="Book Antiqua"/>
            <w:i/>
            <w:color w:val="auto"/>
            <w:sz w:val="22"/>
            <w:szCs w:val="22"/>
            <w:shd w:val="clear" w:color="auto" w:fill="FFFFFF"/>
          </w:rPr>
          <w:t>)</w:t>
        </w:r>
      </w:hyperlink>
      <w:r w:rsidRPr="009C0176">
        <w:rPr>
          <w:rFonts w:ascii="Book Antiqua" w:hAnsi="Book Antiqua"/>
          <w:i/>
          <w:color w:val="auto"/>
          <w:sz w:val="22"/>
          <w:szCs w:val="22"/>
          <w:shd w:val="clear" w:color="auto" w:fill="FFFFFF"/>
        </w:rPr>
        <w:t> a </w:t>
      </w:r>
      <w:hyperlink r:id="rId5" w:history="1">
        <w:r w:rsidRPr="009C0176">
          <w:rPr>
            <w:rFonts w:ascii="Book Antiqua" w:hAnsi="Book Antiqua"/>
            <w:i/>
            <w:color w:val="auto"/>
            <w:sz w:val="22"/>
            <w:szCs w:val="22"/>
            <w:shd w:val="clear" w:color="auto" w:fill="FFFFFF"/>
          </w:rPr>
          <w:t>f</w:t>
        </w:r>
      </w:hyperlink>
      <w:hyperlink r:id="rId5" w:history="1">
        <w:r w:rsidRPr="009C0176">
          <w:rPr>
            <w:rFonts w:ascii="Book Antiqua" w:hAnsi="Book Antiqua"/>
            <w:i/>
            <w:color w:val="auto"/>
            <w:sz w:val="22"/>
            <w:szCs w:val="22"/>
            <w:shd w:val="clear" w:color="auto" w:fill="FFFFFF"/>
          </w:rPr>
          <w:t>)</w:t>
        </w:r>
      </w:hyperlink>
      <w:r w:rsidRPr="009C0176">
        <w:rPr>
          <w:rFonts w:ascii="Book Antiqua" w:hAnsi="Book Antiqua"/>
          <w:i/>
          <w:color w:val="auto"/>
          <w:sz w:val="22"/>
          <w:szCs w:val="22"/>
          <w:shd w:val="clear" w:color="auto" w:fill="FFFFFF"/>
        </w:rPr>
        <w:t> sa poskytnú žiadateľovi, ktorý na výzvu podľa osobitného predpisu</w:t>
      </w:r>
      <w:hyperlink r:id="rId6" w:history="1">
        <w:r w:rsidRPr="009C0176">
          <w:rPr>
            <w:rFonts w:ascii="Book Antiqua" w:hAnsi="Book Antiqua"/>
            <w:i/>
            <w:color w:val="auto"/>
            <w:sz w:val="22"/>
            <w:szCs w:val="22"/>
            <w:shd w:val="clear" w:color="auto" w:fill="FFFFFF"/>
            <w:vertAlign w:val="superscript"/>
          </w:rPr>
          <w:t>73</w:t>
        </w:r>
      </w:hyperlink>
      <w:hyperlink r:id="rId6" w:history="1">
        <w:r w:rsidRPr="009C0176">
          <w:rPr>
            <w:rFonts w:ascii="Book Antiqua" w:hAnsi="Book Antiqua"/>
            <w:i/>
            <w:color w:val="auto"/>
            <w:sz w:val="22"/>
            <w:szCs w:val="22"/>
            <w:shd w:val="clear" w:color="auto" w:fill="FFFFFF"/>
          </w:rPr>
          <w:t>)</w:t>
        </w:r>
      </w:hyperlink>
      <w:r w:rsidRPr="009C0176">
        <w:rPr>
          <w:rFonts w:ascii="Book Antiqua" w:hAnsi="Book Antiqua"/>
          <w:i/>
          <w:color w:val="auto"/>
          <w:sz w:val="22"/>
          <w:szCs w:val="22"/>
          <w:shd w:val="clear" w:color="auto" w:fill="FFFFFF"/>
        </w:rPr>
        <w:t> preukáže vlastnícke právo k poľnohospodárskej ploche alebo právo užívať poľnohospodársku pôdu.</w:t>
      </w:r>
      <w:r w:rsidRPr="009C0176">
        <w:rPr>
          <w:rFonts w:ascii="Book Antiqua" w:hAnsi="Book Antiqua"/>
          <w:color w:val="auto"/>
          <w:sz w:val="22"/>
          <w:szCs w:val="22"/>
          <w:shd w:val="clear" w:color="auto" w:fill="FFFFFF"/>
        </w:rPr>
        <w:t>“.</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Takýto stav spôsobený nedokonalosťou platnej legislatívy poškodzuje vlastníka pozemku</w:t>
      </w:r>
      <w:r w:rsidRPr="009C0176">
        <w:rPr>
          <w:rFonts w:ascii="Book Antiqua" w:hAnsi="Book Antiqua"/>
          <w:sz w:val="22"/>
          <w:szCs w:val="22"/>
        </w:rPr>
        <w:t>, a to aj z pohľadu ochrany vlastníckeho práva garantovaného článkom 20 Ústavy Slovenskej republiky. V praxi bolo tiež zaznamenaných viacero prípadov, keď nájomcovia po určitom čase po uzavretí zmluvy prestali platiť nájomné, napr. potom, ako dostali spomínanú podporu.</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Nápravu v tomto smere možno dosiahnuť preformulovaním príslušných ustanovení právnych predpisov, pričom niektoré z nich sú vo výlučnej kompetencii vlády SR (nariadenia vlády SR č. 342/2014 Z. z., č. 152/2013 Z. z. a č. 75/2015).</w:t>
      </w:r>
      <w:r w:rsidRPr="009C0176">
        <w:rPr>
          <w:rFonts w:ascii="Book Antiqua" w:hAnsi="Book Antiqua"/>
          <w:b/>
          <w:sz w:val="22"/>
          <w:szCs w:val="22"/>
        </w:rPr>
        <w:t xml:space="preserve"> Návrh zákona mení terajšiu formuláciu zákona o nájme poľnohospodárskych pozemkov tak, že povinnosť poskytovať údaje a informácie z evidencie v zmysle § 14 ods. 2 </w:t>
      </w:r>
      <w:r w:rsidR="009C0176">
        <w:rPr>
          <w:rFonts w:ascii="Book Antiqua" w:hAnsi="Book Antiqua"/>
          <w:b/>
          <w:sz w:val="22"/>
          <w:szCs w:val="22"/>
        </w:rPr>
        <w:t xml:space="preserve">aspoň vo vzťahu k </w:t>
      </w:r>
      <w:r w:rsidRPr="009C0176">
        <w:rPr>
          <w:rFonts w:ascii="Book Antiqua" w:hAnsi="Book Antiqua"/>
          <w:b/>
          <w:sz w:val="22"/>
          <w:szCs w:val="22"/>
        </w:rPr>
        <w:t xml:space="preserve">Pôdohospodárskej platobnej agentúre bude mať nájomca vždy. </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Návrh zákona tak napomôže tomu, aby informácie a údaje v integrovanom administratívnom a kontrolnom systéme</w:t>
      </w:r>
      <w:r w:rsidRPr="009C0176">
        <w:rPr>
          <w:rFonts w:ascii="Book Antiqua" w:hAnsi="Book Antiqua"/>
          <w:sz w:val="22"/>
          <w:szCs w:val="22"/>
        </w:rPr>
        <w:t xml:space="preserve">, ktorý spravuje Pôdohospodárska platobná agentúra v zmysle § 10 zákona o podpore, najmä pokiaľ ide o prvky ako sú vlastník a  nájomca, </w:t>
      </w:r>
      <w:r w:rsidRPr="009C0176">
        <w:rPr>
          <w:rFonts w:ascii="Book Antiqua" w:hAnsi="Book Antiqua"/>
          <w:b/>
          <w:sz w:val="22"/>
          <w:szCs w:val="22"/>
        </w:rPr>
        <w:t>boli aktuálne, presné a pravdivé, ako to požaduje delegované nariadenie Komisie</w:t>
      </w:r>
      <w:r w:rsidRPr="009C0176">
        <w:rPr>
          <w:rFonts w:ascii="Book Antiqua" w:hAnsi="Book Antiqua"/>
          <w:sz w:val="22"/>
          <w:szCs w:val="22"/>
        </w:rPr>
        <w:t xml:space="preserve"> (EÚ) č. 640/2014 z 11. marca 2014, ktorým sa dopĺňa nariadenie Európskeho parlamentu a Rady (EÚ) č. 1306/2013 vzhľadom na integrovaný administratívny a kontrolný systém, podmienky zamietnutia alebo odňatia platieb a administratívne sankcie uplatniteľné na priame platby, podporné nariadenia na rozvoj vidieka a krížové plnenie (Ú. v. EÚ L 181, 20.6.2014, s. 48).</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u w:val="single"/>
        </w:rPr>
        <w:t>K bodu 2</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rPr>
        <w:tab/>
        <w:t xml:space="preserve">Podľa § 14 ods. 3 zákona o nájme poľnohospodárskych pozemkov má nájomca zároveň povinnosť </w:t>
      </w:r>
      <w:r w:rsidRPr="009C0176">
        <w:rPr>
          <w:rFonts w:ascii="Book Antiqua" w:hAnsi="Book Antiqua"/>
          <w:b/>
          <w:sz w:val="22"/>
          <w:szCs w:val="22"/>
        </w:rPr>
        <w:t>viesť a uchovávať evidenciu</w:t>
      </w:r>
      <w:r w:rsidRPr="009C0176">
        <w:rPr>
          <w:rFonts w:ascii="Book Antiqua" w:hAnsi="Book Antiqua"/>
          <w:sz w:val="22"/>
          <w:szCs w:val="22"/>
        </w:rPr>
        <w:t xml:space="preserve"> o dohodnutom a zaplatenom nájomnom za pozemky. </w:t>
      </w:r>
      <w:r w:rsidRPr="009C0176">
        <w:rPr>
          <w:rFonts w:ascii="Book Antiqua" w:hAnsi="Book Antiqua"/>
          <w:b/>
          <w:sz w:val="22"/>
          <w:szCs w:val="22"/>
        </w:rPr>
        <w:t>Údaje a informácie z tejto evidencie je nájomca</w:t>
      </w:r>
      <w:r w:rsidRPr="009C0176">
        <w:rPr>
          <w:rFonts w:ascii="Book Antiqua" w:hAnsi="Book Antiqua"/>
          <w:sz w:val="22"/>
          <w:szCs w:val="22"/>
        </w:rPr>
        <w:t xml:space="preserve"> v zmysle daného ustanovenia </w:t>
      </w:r>
      <w:r w:rsidRPr="009C0176">
        <w:rPr>
          <w:rFonts w:ascii="Book Antiqua" w:hAnsi="Book Antiqua"/>
          <w:b/>
          <w:sz w:val="22"/>
          <w:szCs w:val="22"/>
        </w:rPr>
        <w:t>povinný poskytnúť iba okresnému úradu</w:t>
      </w:r>
      <w:r w:rsidRPr="009C0176">
        <w:rPr>
          <w:rFonts w:ascii="Book Antiqua" w:hAnsi="Book Antiqua"/>
          <w:sz w:val="22"/>
          <w:szCs w:val="22"/>
        </w:rPr>
        <w:t xml:space="preserve">.     </w:t>
      </w:r>
    </w:p>
    <w:p w:rsidR="008A7787" w:rsidRPr="009C0176">
      <w:pPr>
        <w:bidi w:val="0"/>
        <w:spacing w:before="120" w:line="276" w:lineRule="auto"/>
        <w:ind w:firstLine="708"/>
        <w:jc w:val="both"/>
        <w:rPr>
          <w:rFonts w:ascii="Book Antiqua" w:hAnsi="Book Antiqua"/>
          <w:sz w:val="22"/>
          <w:szCs w:val="22"/>
        </w:rPr>
      </w:pPr>
      <w:r w:rsidR="009C0176">
        <w:rPr>
          <w:rFonts w:ascii="Book Antiqua" w:hAnsi="Book Antiqua"/>
          <w:sz w:val="22"/>
          <w:szCs w:val="22"/>
        </w:rPr>
        <w:t>Keď</w:t>
      </w:r>
      <w:r w:rsidRPr="009C0176">
        <w:rPr>
          <w:rFonts w:ascii="Book Antiqua" w:hAnsi="Book Antiqua"/>
          <w:sz w:val="22"/>
          <w:szCs w:val="22"/>
        </w:rPr>
        <w:t>že toto ustanovenie neukladá nájomcovi povinnosť poskytnúť údaje a informácie z danej evidencie aj Pôdohospodárske</w:t>
      </w:r>
      <w:r w:rsidR="00667BB1">
        <w:rPr>
          <w:rFonts w:ascii="Book Antiqua" w:hAnsi="Book Antiqua"/>
          <w:sz w:val="22"/>
          <w:szCs w:val="22"/>
        </w:rPr>
        <w:t xml:space="preserve">j platobnej agentúre, </w:t>
      </w:r>
      <w:r w:rsidRPr="009C0176">
        <w:rPr>
          <w:rFonts w:ascii="Book Antiqua" w:hAnsi="Book Antiqua"/>
          <w:sz w:val="22"/>
          <w:szCs w:val="22"/>
        </w:rPr>
        <w:t xml:space="preserve">vytvára tým priestor na vznik situácií (čo sa v praxi aj deje), keď žiadateľ o podporu o ňu Pôdohospodársku platobnú agentúru požiada a dostane ju aj bez toho, aby dodržiaval svoje povinnosti vyplývajúce z nájomnej zmluvy, či dokonca aj bez uzatvorenia zmluvy o nájme s vlastníkom poľnohospodárskej pôdy, ktorej sa podpora vyčlenená zo štátnych prostriedkov, resp. fondov Európskej únie, týka. </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Návrh zákona mení terajšiu formuláciu zákona o nájme poľnohospodárskych pozemkov tak, že nájomcovi ustanoví povinnosť poskytovať údaje a informácie z evidencie v zmysle § 14 ods. 3 aj Pôdohospodárskej platobnej agentúre, a to na</w:t>
      </w:r>
      <w:r w:rsidR="00F7146E">
        <w:rPr>
          <w:rFonts w:ascii="Book Antiqua" w:hAnsi="Book Antiqua"/>
          <w:b/>
          <w:sz w:val="22"/>
          <w:szCs w:val="22"/>
        </w:rPr>
        <w:t xml:space="preserve"> účely podľa osobitných predpisov, ktorými sú najmä nariadenia vlády SR uvedené ďalej</w:t>
      </w:r>
      <w:r w:rsidRPr="009C0176">
        <w:rPr>
          <w:rFonts w:ascii="Book Antiqua" w:hAnsi="Book Antiqua"/>
          <w:b/>
          <w:sz w:val="22"/>
          <w:szCs w:val="22"/>
        </w:rPr>
        <w:t>.</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V nadväznosti na to sa návrhom zákona konkretizuje aj poznámka pod čiarou k odkazu 13a, v ktorej sa demonštratívnym spôsobom uvádza § 16 ods. 7 nariadenia vlády SR č. 342/2014 Z. z, § 6 ods. 5 nariadenia vlády SR č. 152/2013 Z. z. a § 60 ods. 5 nariadenia vlády SR č. 75/2015 Z. z., ktoré bude potrebné novelizovať v zmysle nového § 22a zákona o nájme poľnohospodárskych pozemkov do dvoch mesiacov od nadobudnutia účinnosti zákona. Okrem nariadení vlády SR bude v tejto súvislosti potrebné upraviť aj iné právne predpisy a normy, ktoré nie sú všeobecne záväzné, ale vo svojich ustanoveniach odkazujú na novelizáciou dotknuté zákony alebo nariadenia vlády.</w:t>
      </w:r>
    </w:p>
    <w:p w:rsidR="008A7787" w:rsidRPr="00D60065" w:rsidP="00D60065">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Návrh zákona sa tak stane účinným nástrojom a stimulom na prinútenie nájomcov plniť si svoje záväzky</w:t>
      </w:r>
      <w:r w:rsidRPr="009C0176">
        <w:rPr>
          <w:rFonts w:ascii="Book Antiqua" w:hAnsi="Book Antiqua"/>
          <w:sz w:val="22"/>
          <w:szCs w:val="22"/>
        </w:rPr>
        <w:t xml:space="preserve"> voči prenajímateľom (vlastníkom pôdy) </w:t>
      </w:r>
      <w:r w:rsidRPr="009C0176">
        <w:rPr>
          <w:rFonts w:ascii="Book Antiqua" w:hAnsi="Book Antiqua"/>
          <w:b/>
          <w:sz w:val="22"/>
          <w:szCs w:val="22"/>
        </w:rPr>
        <w:t>a zároveň napomôže tomu, aby informácie a údaje v integrovanom administratívnom a kontrolnom systéme</w:t>
      </w:r>
      <w:r w:rsidRPr="009C0176">
        <w:rPr>
          <w:rFonts w:ascii="Book Antiqua" w:hAnsi="Book Antiqua"/>
          <w:sz w:val="22"/>
          <w:szCs w:val="22"/>
        </w:rPr>
        <w:t xml:space="preserve">, ktorý spravuje Pôdohospodárska platobná agentúra v zmysle § 10 zákona o podpore, najmä pokiaľ ide o prvky ako sú vlastník a nájom (nájomca) </w:t>
      </w:r>
      <w:r w:rsidRPr="009C0176">
        <w:rPr>
          <w:rFonts w:ascii="Book Antiqua" w:hAnsi="Book Antiqua"/>
          <w:b/>
          <w:sz w:val="22"/>
          <w:szCs w:val="22"/>
        </w:rPr>
        <w:t>boli aktuálne, presné a pravdivé, ako to požaduje delegované nariadenie Komisie</w:t>
      </w:r>
      <w:r w:rsidRPr="009C0176">
        <w:rPr>
          <w:rFonts w:ascii="Book Antiqua" w:hAnsi="Book Antiqua"/>
          <w:sz w:val="22"/>
          <w:szCs w:val="22"/>
        </w:rPr>
        <w:t xml:space="preserve"> (EÚ) č. 640/2014 z 11. marca 2014, ktorým sa dopĺňa nariadenie Európskeho parlamentu a Rady (EÚ) č. 1306/2013 vzhľadom na integrovaný administratívny a kontrolný systém, podmienky zamietnutia alebo odňatia platieb a administratívne sankcie uplatniteľné na priame platby, podporné nariadenia na rozvoj vidieka a krížové plnenie (Ú. v. EÚ L 181, 20.6.2014, s. 48).</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u w:val="single"/>
        </w:rPr>
        <w:t>K bodu 3</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rPr>
        <w:tab/>
        <w:t xml:space="preserve">Nápravu nevyhovujúceho platného právneho stavu nemožno dosiahnuť výlučne novelizáciou zákona, ale je potrebné súčasne novelizovať aj podzákonné právne normy, medzi ktoré patria aj nariadenia vlády SR (nariadenia vlády SR č. 342/2014 Z. z., č. 152/2013 Z. z. a č. 75/2015). Hoci nariadenia vlády SR s výnimkou aproximačných nariadení vlády SR nepotrebujú osobitné splnomocnenie na ich vydanie v zákone, kvôli jednoznačnosti, stanoveniu obsahu právnej úpravy a lehoty na ich novelizáciu sa javí vhodným, aby nový </w:t>
      </w:r>
      <w:r w:rsidR="00D60065">
        <w:rPr>
          <w:rFonts w:ascii="Book Antiqua" w:hAnsi="Book Antiqua"/>
          <w:sz w:val="22"/>
          <w:szCs w:val="22"/>
        </w:rPr>
        <w:t xml:space="preserve">   </w:t>
      </w:r>
      <w:r w:rsidRPr="009C0176">
        <w:rPr>
          <w:rFonts w:ascii="Book Antiqua" w:hAnsi="Book Antiqua"/>
          <w:sz w:val="22"/>
          <w:szCs w:val="22"/>
        </w:rPr>
        <w:t>§ 22a zákona o nájme poľnohospodárskych pozemkov ako súčasť spoločných ustanovení zákona tieto parametre podzákonnej právnej úpravy vymedzil. Vláde SR sa pritom ponecháva dostatočná dvojmesačná lehota na novelizáciu všetkých príslušných nariadení tak, aby navrhovaný mechanizmus so zohľadnením potrebnej legisvakačnej lehoty mohol byť plne funkčný od 1. septembra 2018.</w:t>
      </w:r>
      <w:r w:rsidR="009479D5">
        <w:rPr>
          <w:rFonts w:ascii="Book Antiqua" w:hAnsi="Book Antiqua"/>
          <w:sz w:val="22"/>
          <w:szCs w:val="22"/>
        </w:rPr>
        <w:t xml:space="preserve"> Tieto podzákonné normy by mali byť zmenené tak, aby Poľnohospodárska platobná agentúra obligatórne požadovala </w:t>
      </w:r>
      <w:r w:rsidR="00412A68">
        <w:rPr>
          <w:rFonts w:ascii="Book Antiqua" w:hAnsi="Book Antiqua"/>
          <w:sz w:val="22"/>
          <w:szCs w:val="22"/>
        </w:rPr>
        <w:t xml:space="preserve">od žiadateľa </w:t>
      </w:r>
      <w:r w:rsidR="009479D5">
        <w:rPr>
          <w:rFonts w:ascii="Book Antiqua" w:hAnsi="Book Antiqua"/>
          <w:sz w:val="22"/>
          <w:szCs w:val="22"/>
        </w:rPr>
        <w:t xml:space="preserve">pri podaní žiadosti o podporu </w:t>
      </w:r>
      <w:r w:rsidR="00412A68">
        <w:rPr>
          <w:rFonts w:ascii="Book Antiqua" w:hAnsi="Book Antiqua"/>
          <w:sz w:val="22"/>
          <w:szCs w:val="22"/>
        </w:rPr>
        <w:t xml:space="preserve">preukázanie (právneho) vzťahu k pôde a preukázanie </w:t>
      </w:r>
      <w:r w:rsidR="005809CB">
        <w:rPr>
          <w:rFonts w:ascii="Book Antiqua" w:hAnsi="Book Antiqua"/>
          <w:sz w:val="22"/>
          <w:szCs w:val="22"/>
        </w:rPr>
        <w:t>si splnenia záväzkov vyplývajúcich z tohto vzťahu (napr. zaplatenie dane z nehnuteľnosti, zaplatenie nájomného a pod.).</w:t>
      </w:r>
    </w:p>
    <w:p w:rsidR="008A7787"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K Čl. II</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u w:val="single"/>
        </w:rPr>
        <w:t>K bodom 1 a 2</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b/>
          <w:sz w:val="22"/>
          <w:szCs w:val="22"/>
        </w:rPr>
        <w:t xml:space="preserve">Návrh zákona ustanovuje, že Pôdohospodárska platobná agentúra bude môcť poskytnúť podporu len za predpokladu, že žiadateľ uhrádza nájomné a spĺňa ďalšie podmienky (napr. preukázanie vlastníckeho alebo iného užívacieho vzťahu k pôde), ktoré právne akty Európskej únie a slovenské právne predpisy </w:t>
      </w:r>
      <w:r w:rsidR="005809CB">
        <w:rPr>
          <w:rFonts w:ascii="Book Antiqua" w:hAnsi="Book Antiqua"/>
          <w:b/>
          <w:sz w:val="22"/>
          <w:szCs w:val="22"/>
        </w:rPr>
        <w:t xml:space="preserve">(napr. rozpočtové pravidlá vo vzťahu k dotáciám) </w:t>
      </w:r>
      <w:r w:rsidRPr="009C0176">
        <w:rPr>
          <w:rFonts w:ascii="Book Antiqua" w:hAnsi="Book Antiqua"/>
          <w:b/>
          <w:sz w:val="22"/>
          <w:szCs w:val="22"/>
        </w:rPr>
        <w:t xml:space="preserve">od neho požadujú. </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V tejto súvislosti sa do demonštratívneho výpočtu v poznámke pod čiarou k odkazu 58 dopĺňajú aj konkrétne ustanovenia nariadenia vlády SR č. 342/2014 Z.</w:t>
      </w:r>
      <w:r w:rsidR="005809CB">
        <w:rPr>
          <w:rFonts w:ascii="Book Antiqua" w:hAnsi="Book Antiqua"/>
          <w:sz w:val="22"/>
          <w:szCs w:val="22"/>
        </w:rPr>
        <w:t xml:space="preserve"> </w:t>
      </w:r>
      <w:r w:rsidRPr="009C0176">
        <w:rPr>
          <w:rFonts w:ascii="Book Antiqua" w:hAnsi="Book Antiqua"/>
          <w:sz w:val="22"/>
          <w:szCs w:val="22"/>
        </w:rPr>
        <w:t>z., nariadenia vlády SR č. 152/2013 Z. z. a nariadenia vlády SR č. 75/2015 Z. z.</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V uvedených nariadeniach vlády SR je totiž v nadväznosti na návrh zákona nevyhnutné ustanoviť obligatórne preukazovanie vlastníckeho, nájomného alebo iného vzťahu žiadateľa k pôde pri každej žiadosti o platbu (bez požiadania zo strany Pôdohospodárskej platobnej agentúry).</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u w:val="single"/>
        </w:rPr>
        <w:t>K bodu 3</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V prechodnom ustanovení sa kvôli dodržaniu princípu právnej istoty uvádza, že konania začaté pred nadobudnutím účinnosti tohto zákona sa dokončia podľa doterajších právnych predpisov.</w:t>
      </w:r>
    </w:p>
    <w:p w:rsidR="008A7787"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K Čl. III</w:t>
      </w:r>
    </w:p>
    <w:p w:rsidR="008A7787" w:rsidRPr="009C0176">
      <w:pPr>
        <w:bidi w:val="0"/>
        <w:spacing w:before="120" w:line="276" w:lineRule="auto"/>
        <w:ind w:firstLine="708"/>
        <w:jc w:val="both"/>
        <w:rPr>
          <w:rFonts w:ascii="Book Antiqua" w:hAnsi="Book Antiqua"/>
          <w:sz w:val="22"/>
          <w:szCs w:val="22"/>
        </w:rPr>
      </w:pPr>
      <w:r w:rsidRPr="009C0176">
        <w:rPr>
          <w:rFonts w:ascii="Book Antiqua" w:hAnsi="Book Antiqua"/>
          <w:sz w:val="22"/>
          <w:szCs w:val="22"/>
        </w:rPr>
        <w:t>Navrhuje sa účinnosť predkladaného zákona so zohľadnením legisvakač</w:t>
      </w:r>
      <w:r w:rsidR="005809CB">
        <w:rPr>
          <w:rFonts w:ascii="Book Antiqua" w:hAnsi="Book Antiqua"/>
          <w:sz w:val="22"/>
          <w:szCs w:val="22"/>
        </w:rPr>
        <w:t>nej lehoty, a to od 1. októbra</w:t>
      </w:r>
      <w:r w:rsidRPr="009C0176">
        <w:rPr>
          <w:rFonts w:ascii="Book Antiqua" w:hAnsi="Book Antiqua"/>
          <w:sz w:val="22"/>
          <w:szCs w:val="22"/>
        </w:rPr>
        <w:t xml:space="preserve"> 2018 s výnimkou nového § 22a zákona o nájme poľnohospodárskych pozemkov,</w:t>
      </w:r>
      <w:r w:rsidR="005809CB">
        <w:rPr>
          <w:rFonts w:ascii="Book Antiqua" w:hAnsi="Book Antiqua"/>
          <w:sz w:val="22"/>
          <w:szCs w:val="22"/>
        </w:rPr>
        <w:t xml:space="preserve"> ktorý nadobúda účinnosť 1. augusta</w:t>
      </w:r>
      <w:r w:rsidRPr="009C0176">
        <w:rPr>
          <w:rFonts w:ascii="Book Antiqua" w:hAnsi="Book Antiqua"/>
          <w:sz w:val="22"/>
          <w:szCs w:val="22"/>
        </w:rPr>
        <w:t xml:space="preserve"> 2018 z dôvodu, aby sa vytvorila dostatočná dvojmesačná lehota pre vládu SR na novelizáciu príslušných nariadení vlády SR súvisiacich s predmetom úpravy tohto zákona.</w:t>
      </w: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pageBreakBefore/>
        <w:bidi w:val="0"/>
        <w:spacing w:before="120" w:line="276" w:lineRule="auto"/>
        <w:jc w:val="center"/>
        <w:rPr>
          <w:rFonts w:ascii="Book Antiqua" w:hAnsi="Book Antiqua"/>
          <w:sz w:val="22"/>
          <w:szCs w:val="22"/>
        </w:rPr>
      </w:pPr>
      <w:r w:rsidRPr="009C0176">
        <w:rPr>
          <w:rFonts w:ascii="Book Antiqua" w:hAnsi="Book Antiqua"/>
          <w:b/>
          <w:sz w:val="22"/>
          <w:szCs w:val="22"/>
        </w:rPr>
        <w:t>DOLOŽKA ZLUČITEĽNOSTI</w:t>
      </w:r>
    </w:p>
    <w:p w:rsidR="008A7787" w:rsidRPr="009C0176">
      <w:pPr>
        <w:bidi w:val="0"/>
        <w:spacing w:before="120" w:line="276" w:lineRule="auto"/>
        <w:jc w:val="center"/>
        <w:rPr>
          <w:rFonts w:ascii="Book Antiqua" w:hAnsi="Book Antiqua"/>
          <w:sz w:val="22"/>
          <w:szCs w:val="22"/>
        </w:rPr>
      </w:pPr>
      <w:r w:rsidRPr="009C0176">
        <w:rPr>
          <w:rFonts w:ascii="Book Antiqua" w:hAnsi="Book Antiqua"/>
          <w:b/>
          <w:sz w:val="22"/>
          <w:szCs w:val="22"/>
        </w:rPr>
        <w:t>návrhu zákona</w:t>
      </w:r>
      <w:r w:rsidRPr="009C0176">
        <w:rPr>
          <w:rFonts w:ascii="Book Antiqua" w:hAnsi="Book Antiqua"/>
          <w:sz w:val="22"/>
          <w:szCs w:val="22"/>
        </w:rPr>
        <w:t xml:space="preserve"> </w:t>
      </w:r>
      <w:r w:rsidRPr="009C0176">
        <w:rPr>
          <w:rFonts w:ascii="Book Antiqua" w:hAnsi="Book Antiqua"/>
          <w:b/>
          <w:sz w:val="22"/>
          <w:szCs w:val="22"/>
        </w:rPr>
        <w:t>s právom Európskej únie</w:t>
      </w:r>
    </w:p>
    <w:p w:rsidR="008A7787"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1. Navrhovateľ zákona:</w:t>
      </w:r>
      <w:r w:rsidR="005809CB">
        <w:rPr>
          <w:rFonts w:ascii="Book Antiqua" w:hAnsi="Book Antiqua"/>
          <w:sz w:val="22"/>
          <w:szCs w:val="22"/>
        </w:rPr>
        <w:t xml:space="preserve"> skupina poslancov Národnej rady Slovenskej republiky</w:t>
      </w:r>
    </w:p>
    <w:p w:rsidR="008A7787"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2. Názov návrhu zákona:</w:t>
      </w:r>
      <w:r w:rsidR="005809CB">
        <w:rPr>
          <w:rFonts w:ascii="Book Antiqua" w:hAnsi="Book Antiqua"/>
          <w:sz w:val="22"/>
          <w:szCs w:val="22"/>
        </w:rPr>
        <w:t xml:space="preserve"> n</w:t>
      </w:r>
      <w:r w:rsidRPr="009C0176">
        <w:rPr>
          <w:rFonts w:ascii="Book Antiqua" w:hAnsi="Book Antiqua"/>
          <w:sz w:val="22"/>
          <w:szCs w:val="22"/>
        </w:rPr>
        <w:t>ávrh zákona, ktorým sa mení a dopĺňa zákon č. 504/2003 Z. z. o nájme poľnohospodárskych pozemkov, poľnohospodárskeho podniku a lesných pozemkov a o zmene niektorých zákonov v znení neskorších predpisov a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p>
    <w:p w:rsidR="008A7787"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3. Predmet návrhu zákona:</w:t>
      </w:r>
    </w:p>
    <w:p w:rsidR="008A7787" w:rsidRPr="009C0176" w:rsidP="005809CB">
      <w:pPr>
        <w:numPr>
          <w:numId w:val="2"/>
        </w:numPr>
        <w:tabs>
          <w:tab w:val="left" w:pos="709"/>
          <w:tab w:val="left" w:pos="1440"/>
        </w:tabs>
        <w:bidi w:val="0"/>
        <w:spacing w:line="276" w:lineRule="auto"/>
        <w:jc w:val="both"/>
        <w:rPr>
          <w:rFonts w:ascii="Book Antiqua" w:hAnsi="Book Antiqua"/>
          <w:sz w:val="22"/>
          <w:szCs w:val="22"/>
        </w:rPr>
      </w:pPr>
      <w:r w:rsidRPr="009C0176">
        <w:rPr>
          <w:rFonts w:ascii="Book Antiqua" w:hAnsi="Book Antiqua"/>
          <w:sz w:val="22"/>
          <w:szCs w:val="22"/>
        </w:rPr>
        <w:t>je upravený v primárnom práve Európskej únie, a to v článkoch 38 až 44 (poľnohospodárstvo a rybné hospodárstvo) a článkoch 107 až  109 (pravidlá hospodárskej súťaže – pomoc poskytovaná štátmi) Zmluvy o fungovaní Európskej únie,</w:t>
      </w:r>
    </w:p>
    <w:p w:rsidR="008A7787" w:rsidRPr="009C0176" w:rsidP="005809CB">
      <w:pPr>
        <w:numPr>
          <w:numId w:val="2"/>
        </w:numPr>
        <w:tabs>
          <w:tab w:val="left" w:pos="709"/>
          <w:tab w:val="left" w:pos="1440"/>
        </w:tabs>
        <w:bidi w:val="0"/>
        <w:spacing w:line="276" w:lineRule="auto"/>
        <w:jc w:val="both"/>
        <w:rPr>
          <w:rFonts w:ascii="Book Antiqua" w:hAnsi="Book Antiqua"/>
          <w:sz w:val="22"/>
          <w:szCs w:val="22"/>
        </w:rPr>
      </w:pPr>
      <w:r w:rsidRPr="009C0176">
        <w:rPr>
          <w:rFonts w:ascii="Book Antiqua" w:hAnsi="Book Antiqua"/>
          <w:sz w:val="22"/>
          <w:szCs w:val="22"/>
        </w:rPr>
        <w:t>je upravený v sekundárnom práve Európskej únie, a to v delegovanom nariadení Komisie (EÚ) č. 640/2014 z 11. marca 2014, ktorým sa dopĺňa nariadenie Európskeho parlamentu a Rady (EÚ) č. 1306/2013 vzhľadom na integrovaný administratívny a kontrolný systém, podmienky zamietnutia alebo odňatia platieb a administratívne sankcie uplatniteľné na priame platby, podporné nariadenia na rozvoj vidieka a krížové plnenie (Ú. v. EÚ L 181, 20.6.2014, s. 48) – osobitne článok 7 tohto nariadenia – identifikácia a registrácia platobných nárokov,</w:t>
      </w:r>
    </w:p>
    <w:p w:rsidR="008A7787" w:rsidRPr="009C0176" w:rsidP="005809CB">
      <w:pPr>
        <w:numPr>
          <w:numId w:val="2"/>
        </w:numPr>
        <w:tabs>
          <w:tab w:val="left" w:pos="709"/>
          <w:tab w:val="left" w:pos="1440"/>
        </w:tabs>
        <w:bidi w:val="0"/>
        <w:spacing w:line="276" w:lineRule="auto"/>
        <w:jc w:val="both"/>
        <w:rPr>
          <w:rFonts w:ascii="Book Antiqua" w:hAnsi="Book Antiqua"/>
          <w:sz w:val="22"/>
          <w:szCs w:val="22"/>
        </w:rPr>
      </w:pPr>
      <w:r w:rsidRPr="009C0176">
        <w:rPr>
          <w:rFonts w:ascii="Book Antiqua" w:hAnsi="Book Antiqua"/>
          <w:sz w:val="22"/>
          <w:szCs w:val="22"/>
        </w:rPr>
        <w:t>nie je obsiahnutý v judikatúre Súdneho dvora Európskej únie. </w:t>
      </w:r>
    </w:p>
    <w:p w:rsidR="008A7787" w:rsidRPr="009C0176">
      <w:pPr>
        <w:bidi w:val="0"/>
        <w:spacing w:before="120" w:line="276" w:lineRule="auto"/>
        <w:jc w:val="both"/>
        <w:rPr>
          <w:rFonts w:ascii="Book Antiqua" w:hAnsi="Book Antiqua"/>
          <w:sz w:val="22"/>
          <w:szCs w:val="22"/>
        </w:rPr>
      </w:pPr>
    </w:p>
    <w:p w:rsidR="008A7787" w:rsidRPr="009C0176">
      <w:pPr>
        <w:numPr>
          <w:ilvl w:val="3"/>
          <w:numId w:val="3"/>
        </w:numPr>
        <w:tabs>
          <w:tab w:val="left" w:pos="284"/>
          <w:tab w:val="left" w:pos="568"/>
        </w:tabs>
        <w:bidi w:val="0"/>
        <w:spacing w:line="276" w:lineRule="auto"/>
        <w:ind w:left="284" w:hanging="284"/>
        <w:jc w:val="both"/>
        <w:rPr>
          <w:rFonts w:ascii="Book Antiqua" w:hAnsi="Book Antiqua"/>
          <w:sz w:val="22"/>
          <w:szCs w:val="22"/>
        </w:rPr>
      </w:pPr>
      <w:r w:rsidRPr="009C0176">
        <w:rPr>
          <w:rFonts w:ascii="Book Antiqua" w:hAnsi="Book Antiqua"/>
          <w:b/>
          <w:sz w:val="22"/>
          <w:szCs w:val="22"/>
        </w:rPr>
        <w:t>Záväzky Slovenskej republiky vo vzťahu k Európskej únii:</w:t>
      </w:r>
    </w:p>
    <w:p w:rsidR="008A7787" w:rsidRPr="009C0176">
      <w:pPr>
        <w:bidi w:val="0"/>
        <w:spacing w:before="120" w:line="276" w:lineRule="auto"/>
        <w:ind w:left="540" w:hanging="256"/>
        <w:jc w:val="both"/>
        <w:rPr>
          <w:rFonts w:ascii="Book Antiqua" w:hAnsi="Book Antiqua"/>
          <w:sz w:val="22"/>
          <w:szCs w:val="22"/>
        </w:rPr>
      </w:pPr>
      <w:r w:rsidRPr="009C0176">
        <w:rPr>
          <w:rFonts w:ascii="Book Antiqua" w:hAnsi="Book Antiqua"/>
          <w:sz w:val="22"/>
          <w:szCs w:val="22"/>
        </w:rPr>
        <w:t xml:space="preserve">a) na základe predloženého návrhu zákona nevyplýva pre Slovenskú republiku povinnosť transponovať sekundárne právo Európskej únie, keďže nariadenie uvedené v bode 3 písm. b) tejto doložky zlučiteľnosti je priamo aplikovateľné, a preto ani nemožno uviesť lehotu na transpozíciu (nariadenie nadobudlo účinnosť siedmym dňom po jeho uverejnení v Úradnom vestníku Európskej únie), </w:t>
      </w:r>
    </w:p>
    <w:p w:rsidR="008A7787" w:rsidRPr="009C0176">
      <w:pPr>
        <w:bidi w:val="0"/>
        <w:spacing w:before="120" w:line="276" w:lineRule="auto"/>
        <w:ind w:left="539" w:hanging="255"/>
        <w:jc w:val="both"/>
        <w:rPr>
          <w:rFonts w:ascii="Book Antiqua" w:hAnsi="Book Antiqua"/>
          <w:sz w:val="22"/>
          <w:szCs w:val="22"/>
        </w:rPr>
      </w:pPr>
      <w:r w:rsidRPr="009C0176">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8A7787" w:rsidRPr="009C0176">
      <w:pPr>
        <w:bidi w:val="0"/>
        <w:spacing w:before="120" w:line="276" w:lineRule="auto"/>
        <w:ind w:left="539" w:hanging="255"/>
        <w:jc w:val="both"/>
        <w:rPr>
          <w:rFonts w:ascii="Book Antiqua" w:hAnsi="Book Antiqua"/>
          <w:sz w:val="22"/>
          <w:szCs w:val="22"/>
        </w:rPr>
      </w:pPr>
      <w:r w:rsidRPr="009C0176">
        <w:rPr>
          <w:rFonts w:ascii="Book Antiqua" w:hAnsi="Book Antiqua"/>
          <w:sz w:val="22"/>
          <w:szCs w:val="22"/>
        </w:rPr>
        <w:t>c) delegované nariadenie Komisie (EÚ) č. 640/2014 z 11. marca 2014, ktorým sa dopĺňa nariadenie Európskeho parlamentu a Rady (EÚ) č. 1306/2013 vzhľadom na integrovaný administratívny a kontrolný systém, podmienky zamietnutia alebo odňatia platieb a administratívne sankcie uplatniteľné na priame platby, podporné nariadenia na rozvoj vidieka a krížové plnenie (Ú. v. EÚ L 181, 20.6.2014, s. 48), konkrétne článok 7 ods. 1 písm. a) a e) tohto nariadenia, požadujú vytvorenie elektronického registra na úrovni každého členského štátu Európskej únie, ktorý by dokázal efektívne vysledovať platobné nároky, a to aj pokiaľ ide o prvky tohto systému ako sú vlastník (držiteľ) alebo nájom (pôvod).</w:t>
      </w:r>
    </w:p>
    <w:p w:rsidR="008A7787" w:rsidRPr="009C0176">
      <w:pPr>
        <w:bidi w:val="0"/>
        <w:spacing w:before="120" w:line="276" w:lineRule="auto"/>
        <w:ind w:hanging="255"/>
        <w:jc w:val="both"/>
        <w:rPr>
          <w:rFonts w:ascii="Book Antiqua" w:hAnsi="Book Antiqua"/>
          <w:sz w:val="22"/>
          <w:szCs w:val="22"/>
        </w:rPr>
      </w:pPr>
    </w:p>
    <w:p w:rsidR="008A7787" w:rsidRPr="009C0176">
      <w:pPr>
        <w:numPr>
          <w:numId w:val="4"/>
        </w:numPr>
        <w:tabs>
          <w:tab w:val="left" w:pos="398"/>
          <w:tab w:val="left" w:pos="682"/>
        </w:tabs>
        <w:bidi w:val="0"/>
        <w:spacing w:line="276" w:lineRule="auto"/>
        <w:ind w:left="341" w:hanging="284"/>
        <w:jc w:val="both"/>
        <w:rPr>
          <w:rFonts w:ascii="Book Antiqua" w:hAnsi="Book Antiqua"/>
          <w:sz w:val="22"/>
          <w:szCs w:val="22"/>
        </w:rPr>
      </w:pPr>
      <w:r w:rsidRPr="009C0176">
        <w:rPr>
          <w:rFonts w:ascii="Book Antiqua" w:hAnsi="Book Antiqua"/>
          <w:b/>
          <w:sz w:val="22"/>
          <w:szCs w:val="22"/>
        </w:rPr>
        <w:t>Návrh zákona je zlučiteľný s právom Európskej únie</w:t>
      </w:r>
    </w:p>
    <w:p w:rsidR="008A7787" w:rsidRPr="009C0176">
      <w:pPr>
        <w:bidi w:val="0"/>
        <w:spacing w:before="120" w:line="276" w:lineRule="auto"/>
        <w:jc w:val="both"/>
        <w:rPr>
          <w:rFonts w:ascii="Book Antiqua" w:hAnsi="Book Antiqua"/>
          <w:sz w:val="22"/>
          <w:szCs w:val="22"/>
        </w:rPr>
      </w:pPr>
      <w:r w:rsidRPr="009C0176">
        <w:rPr>
          <w:rFonts w:ascii="Book Antiqua" w:hAnsi="Book Antiqua"/>
          <w:sz w:val="22"/>
          <w:szCs w:val="22"/>
        </w:rPr>
        <w:t xml:space="preserve">- </w:t>
      </w:r>
      <w:r w:rsidRPr="009C0176">
        <w:rPr>
          <w:rFonts w:ascii="Book Antiqua" w:hAnsi="Book Antiqua"/>
          <w:b/>
          <w:sz w:val="22"/>
          <w:szCs w:val="22"/>
        </w:rPr>
        <w:t>úplne</w:t>
      </w:r>
      <w:r w:rsidRPr="009C0176">
        <w:rPr>
          <w:rFonts w:ascii="Book Antiqua" w:hAnsi="Book Antiqua"/>
          <w:sz w:val="22"/>
          <w:szCs w:val="22"/>
        </w:rPr>
        <w:t>, keďže integrovaný administratívny a kontrolný systém už bol v Slovenskej republike zavedený a spravuje ho Pôdohospodárska platobná agentúra v zmysle § 10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pričom evidencie vedené podľa § 14 ods. 2 a § 14 ods. 3 zákona č. 504/2003 Z. z. o nájme poľnohospodárskych pozemkov, poľnohospodárskeho podniku a lesných pozemkov a o zmene niektorých zákonov v znení neskorších predpisov napomáha – rovnako ako tento návrh zákona – tomu, aby informácie a údaje v tomto systéme, najmä pokiaľ ide o prvky, ako sú vlastník a nájom (nájomca) boli aktuálne, presné a pravdivé.</w:t>
      </w:r>
    </w:p>
    <w:p w:rsidR="008A7787" w:rsidRPr="009C0176">
      <w:pPr>
        <w:bidi w:val="0"/>
        <w:spacing w:before="120" w:line="276" w:lineRule="auto"/>
        <w:jc w:val="center"/>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8A7787" w:rsidRPr="009C0176">
      <w:pPr>
        <w:bidi w:val="0"/>
        <w:spacing w:before="120" w:line="276" w:lineRule="auto"/>
        <w:rPr>
          <w:rFonts w:ascii="Book Antiqua" w:hAnsi="Book Antiqua"/>
          <w:sz w:val="22"/>
          <w:szCs w:val="22"/>
        </w:rPr>
      </w:pPr>
    </w:p>
    <w:p w:rsidR="005809CB">
      <w:pPr>
        <w:bidi w:val="0"/>
        <w:spacing w:before="120" w:line="276" w:lineRule="auto"/>
        <w:jc w:val="center"/>
        <w:rPr>
          <w:rFonts w:ascii="Book Antiqua" w:hAnsi="Book Antiqua"/>
          <w:b/>
          <w:sz w:val="22"/>
          <w:szCs w:val="22"/>
        </w:rPr>
      </w:pPr>
    </w:p>
    <w:p w:rsidR="005809CB">
      <w:pPr>
        <w:bidi w:val="0"/>
        <w:spacing w:before="120" w:line="276" w:lineRule="auto"/>
        <w:jc w:val="center"/>
        <w:rPr>
          <w:rFonts w:ascii="Book Antiqua" w:hAnsi="Book Antiqua"/>
          <w:b/>
          <w:sz w:val="22"/>
          <w:szCs w:val="22"/>
        </w:rPr>
      </w:pPr>
    </w:p>
    <w:p w:rsidR="005809CB">
      <w:pPr>
        <w:bidi w:val="0"/>
        <w:spacing w:before="120" w:line="276" w:lineRule="auto"/>
        <w:jc w:val="center"/>
        <w:rPr>
          <w:rFonts w:ascii="Book Antiqua" w:hAnsi="Book Antiqua"/>
          <w:b/>
          <w:sz w:val="22"/>
          <w:szCs w:val="22"/>
        </w:rPr>
      </w:pPr>
    </w:p>
    <w:p w:rsidR="005809CB">
      <w:pPr>
        <w:bidi w:val="0"/>
        <w:spacing w:before="120" w:line="276" w:lineRule="auto"/>
        <w:jc w:val="center"/>
        <w:rPr>
          <w:rFonts w:ascii="Book Antiqua" w:hAnsi="Book Antiqua"/>
          <w:b/>
          <w:sz w:val="22"/>
          <w:szCs w:val="22"/>
        </w:rPr>
      </w:pPr>
    </w:p>
    <w:p w:rsidR="005809CB">
      <w:pPr>
        <w:bidi w:val="0"/>
        <w:spacing w:before="120" w:line="276" w:lineRule="auto"/>
        <w:jc w:val="center"/>
        <w:rPr>
          <w:rFonts w:ascii="Book Antiqua" w:hAnsi="Book Antiqua"/>
          <w:b/>
          <w:sz w:val="22"/>
          <w:szCs w:val="22"/>
        </w:rPr>
      </w:pPr>
    </w:p>
    <w:p w:rsidR="008A7787" w:rsidRPr="009C0176">
      <w:pPr>
        <w:bidi w:val="0"/>
        <w:spacing w:before="120" w:line="276" w:lineRule="auto"/>
        <w:jc w:val="center"/>
        <w:rPr>
          <w:rFonts w:ascii="Book Antiqua" w:hAnsi="Book Antiqua"/>
          <w:sz w:val="22"/>
          <w:szCs w:val="22"/>
        </w:rPr>
      </w:pPr>
      <w:r w:rsidRPr="009C0176">
        <w:rPr>
          <w:rFonts w:ascii="Book Antiqua" w:hAnsi="Book Antiqua"/>
          <w:b/>
          <w:sz w:val="22"/>
          <w:szCs w:val="22"/>
        </w:rPr>
        <w:t>DOLOŽKA</w:t>
      </w:r>
    </w:p>
    <w:p w:rsidR="008A7787" w:rsidRPr="009C0176">
      <w:pPr>
        <w:bidi w:val="0"/>
        <w:spacing w:before="120" w:line="276" w:lineRule="auto"/>
        <w:jc w:val="center"/>
        <w:rPr>
          <w:rFonts w:ascii="Book Antiqua" w:hAnsi="Book Antiqua"/>
          <w:sz w:val="22"/>
          <w:szCs w:val="22"/>
        </w:rPr>
      </w:pPr>
      <w:r w:rsidRPr="009C0176">
        <w:rPr>
          <w:rFonts w:ascii="Book Antiqua" w:hAnsi="Book Antiqua"/>
          <w:b/>
          <w:sz w:val="22"/>
          <w:szCs w:val="22"/>
        </w:rPr>
        <w:t>vybraných vplyvov</w:t>
      </w:r>
    </w:p>
    <w:p w:rsidR="008A7787" w:rsidRPr="009C0176">
      <w:pPr>
        <w:bidi w:val="0"/>
        <w:spacing w:before="120" w:line="276" w:lineRule="auto"/>
        <w:rPr>
          <w:rFonts w:ascii="Book Antiqua" w:hAnsi="Book Antiqua"/>
          <w:sz w:val="22"/>
          <w:szCs w:val="22"/>
        </w:rPr>
      </w:pPr>
      <w:r w:rsidRPr="009C0176">
        <w:rPr>
          <w:rFonts w:ascii="Book Antiqua" w:hAnsi="Book Antiqua"/>
          <w:sz w:val="22"/>
          <w:szCs w:val="22"/>
        </w:rPr>
        <w:t> </w:t>
      </w:r>
    </w:p>
    <w:p w:rsidR="008A7787">
      <w:pPr>
        <w:bidi w:val="0"/>
        <w:spacing w:before="120" w:line="276" w:lineRule="auto"/>
        <w:jc w:val="both"/>
        <w:rPr>
          <w:rFonts w:ascii="Book Antiqua" w:hAnsi="Book Antiqua"/>
          <w:sz w:val="22"/>
          <w:szCs w:val="22"/>
        </w:rPr>
      </w:pPr>
      <w:r w:rsidRPr="009C0176">
        <w:rPr>
          <w:rFonts w:ascii="Book Antiqua" w:hAnsi="Book Antiqua"/>
          <w:b/>
          <w:sz w:val="22"/>
          <w:szCs w:val="22"/>
        </w:rPr>
        <w:t xml:space="preserve">A.1. Názov materiálu: </w:t>
      </w:r>
      <w:r w:rsidR="005809CB">
        <w:rPr>
          <w:rFonts w:ascii="Book Antiqua" w:hAnsi="Book Antiqua"/>
          <w:sz w:val="22"/>
          <w:szCs w:val="22"/>
        </w:rPr>
        <w:t>n</w:t>
      </w:r>
      <w:r w:rsidRPr="009C0176">
        <w:rPr>
          <w:rFonts w:ascii="Book Antiqua" w:hAnsi="Book Antiqua"/>
          <w:sz w:val="22"/>
          <w:szCs w:val="22"/>
        </w:rPr>
        <w:t>ávrh zákona, ktorým sa mení a dopĺňa zákon č. 504/2003 Z. z. o nájme poľnohospodárskych pozemkov, poľnohospodárskeho podniku a lesných pozemkov a o zmene niektorých zákonov v znení neskorších predpisov a ktorým sa mení a dopĺňa zákon č. 280/2017 Z. z. o poskytovaní podpory a dotácie v pôdohospodárstve a roz</w:t>
      </w:r>
      <w:r w:rsidR="005809CB">
        <w:rPr>
          <w:rFonts w:ascii="Book Antiqua" w:hAnsi="Book Antiqua"/>
          <w:sz w:val="22"/>
          <w:szCs w:val="22"/>
        </w:rPr>
        <w:t xml:space="preserve">voji vidieka a o zmene zákona </w:t>
      </w:r>
      <w:r w:rsidRPr="009C0176">
        <w:rPr>
          <w:rFonts w:ascii="Book Antiqua" w:hAnsi="Book Antiqua"/>
          <w:sz w:val="22"/>
          <w:szCs w:val="22"/>
        </w:rPr>
        <w:t>č. 292/2014 Z. z. o príspevku poskytovanom z európskych štrukturálnych a investičných fondov a o zmene a doplnení niektorých zákonov v znení neskorších predpisov</w:t>
      </w:r>
    </w:p>
    <w:p w:rsidR="005809CB"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Termín začatia a ukončenia PPK:</w:t>
      </w:r>
      <w:r w:rsidR="005809CB">
        <w:rPr>
          <w:rFonts w:ascii="Book Antiqua" w:hAnsi="Book Antiqua"/>
          <w:sz w:val="22"/>
          <w:szCs w:val="22"/>
        </w:rPr>
        <w:t xml:space="preserve"> </w:t>
      </w:r>
      <w:r w:rsidRPr="009C0176">
        <w:rPr>
          <w:rFonts w:ascii="Book Antiqua" w:hAnsi="Book Antiqua"/>
          <w:i/>
          <w:sz w:val="22"/>
          <w:szCs w:val="22"/>
        </w:rPr>
        <w:t>bezpredmetné</w:t>
      </w:r>
    </w:p>
    <w:p w:rsidR="005809CB" w:rsidP="005809CB">
      <w:pPr>
        <w:pStyle w:val="NormalWeb"/>
        <w:bidi w:val="0"/>
        <w:spacing w:before="120" w:after="0" w:line="276" w:lineRule="auto"/>
        <w:jc w:val="both"/>
        <w:rPr>
          <w:rFonts w:ascii="Book Antiqua" w:hAnsi="Book Antiqua" w:cs="Book Antiqua"/>
          <w:sz w:val="22"/>
          <w:szCs w:val="22"/>
        </w:rPr>
      </w:pPr>
    </w:p>
    <w:p w:rsidR="005809CB" w:rsidP="005809CB">
      <w:pPr>
        <w:pStyle w:val="NormalWeb"/>
        <w:bidi w:val="0"/>
        <w:spacing w:before="120" w:after="0" w:line="276" w:lineRule="auto"/>
        <w:jc w:val="both"/>
        <w:rPr>
          <w:rFonts w:ascii="Book Antiqua" w:hAnsi="Book Antiqua" w:cs="Book Antiqua"/>
          <w:color w:val="000000"/>
          <w:sz w:val="22"/>
          <w:szCs w:val="22"/>
        </w:rPr>
      </w:pPr>
      <w:r>
        <w:rPr>
          <w:rFonts w:ascii="Book Antiqua" w:hAnsi="Book Antiqua" w:cs="Book Antiqua"/>
          <w:b/>
          <w:bCs/>
          <w:color w:val="000000"/>
          <w:sz w:val="22"/>
          <w:szCs w:val="22"/>
        </w:rPr>
        <w:t>A.2. Vplyvy:</w:t>
      </w:r>
    </w:p>
    <w:tbl>
      <w:tblPr>
        <w:tblStyle w:val="TableNormal"/>
        <w:tblW w:w="0" w:type="auto"/>
        <w:tblInd w:w="-7" w:type="dxa"/>
        <w:tblLayout w:type="fixed"/>
        <w:tblCellMar>
          <w:left w:w="0" w:type="dxa"/>
          <w:right w:w="0" w:type="dxa"/>
        </w:tblCellMar>
      </w:tblPr>
      <w:tblGrid>
        <w:gridCol w:w="5518"/>
        <w:gridCol w:w="1192"/>
        <w:gridCol w:w="1181"/>
        <w:gridCol w:w="1212"/>
      </w:tblGrid>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hint="default"/>
                <w:color w:val="000000"/>
                <w:sz w:val="22"/>
                <w:szCs w:val="22"/>
              </w:rPr>
            </w:pPr>
            <w:r>
              <w:rPr>
                <w:rFonts w:ascii="Book Antiqua" w:hAnsi="Book Antiqua" w:cs="Book Antiqua"/>
                <w:color w:val="000000"/>
                <w:sz w:val="22"/>
                <w:szCs w:val="22"/>
              </w:rPr>
              <w:t> </w:t>
            </w:r>
            <w:r>
              <w:rPr>
                <w:rFonts w:ascii="Book Antiqua" w:hAnsi="Book Antiqua" w:cs="Book Antiqua" w:hint="default"/>
                <w:color w:val="000000"/>
                <w:sz w:val="22"/>
                <w:szCs w:val="22"/>
              </w:rPr>
              <w:t>Pozití</w:t>
            </w:r>
            <w:r>
              <w:rPr>
                <w:rFonts w:ascii="Book Antiqua" w:hAnsi="Book Antiqua" w:cs="Book Antiqua" w:hint="default"/>
                <w:color w:val="000000"/>
                <w:sz w:val="22"/>
                <w:szCs w:val="22"/>
              </w:rPr>
              <w:t>vne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hint="default"/>
                <w:color w:val="000000"/>
                <w:sz w:val="22"/>
                <w:szCs w:val="22"/>
              </w:rPr>
            </w:pPr>
            <w:r>
              <w:rPr>
                <w:rFonts w:ascii="Book Antiqua" w:hAnsi="Book Antiqua" w:cs="Book Antiqua" w:hint="default"/>
                <w:color w:val="000000"/>
                <w:sz w:val="22"/>
                <w:szCs w:val="22"/>
              </w:rPr>
              <w:t> </w:t>
            </w:r>
            <w:r>
              <w:rPr>
                <w:rFonts w:ascii="Book Antiqua" w:hAnsi="Book Antiqua" w:cs="Book Antiqua" w:hint="default"/>
                <w:color w:val="000000"/>
                <w:sz w:val="22"/>
                <w:szCs w:val="22"/>
              </w:rPr>
              <w:t>Ž</w:t>
            </w:r>
            <w:r>
              <w:rPr>
                <w:rFonts w:ascii="Book Antiqua" w:hAnsi="Book Antiqua" w:cs="Book Antiqua" w:hint="default"/>
                <w:color w:val="000000"/>
                <w:sz w:val="22"/>
                <w:szCs w:val="22"/>
              </w:rPr>
              <w:t>iadne </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hint="default"/>
                <w:color w:val="000000"/>
                <w:sz w:val="22"/>
                <w:szCs w:val="22"/>
              </w:rPr>
              <w:t> </w:t>
            </w:r>
            <w:r>
              <w:rPr>
                <w:rFonts w:ascii="Book Antiqua" w:hAnsi="Book Antiqua" w:cs="Book Antiqua" w:hint="default"/>
                <w:color w:val="000000"/>
                <w:sz w:val="22"/>
                <w:szCs w:val="22"/>
              </w:rPr>
              <w:t>Negatí</w:t>
            </w:r>
            <w:r>
              <w:rPr>
                <w:rFonts w:ascii="Book Antiqua" w:hAnsi="Book Antiqua" w:cs="Book Antiqua" w:hint="default"/>
                <w:color w:val="000000"/>
                <w:sz w:val="22"/>
                <w:szCs w:val="22"/>
              </w:rPr>
              <w:t>vne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hint="default"/>
                <w:color w:val="000000"/>
                <w:sz w:val="22"/>
                <w:szCs w:val="22"/>
              </w:rPr>
            </w:pPr>
            <w:r>
              <w:rPr>
                <w:rFonts w:ascii="Book Antiqua" w:hAnsi="Book Antiqua" w:cs="Book Antiqua" w:hint="default"/>
                <w:color w:val="000000"/>
                <w:sz w:val="22"/>
                <w:szCs w:val="22"/>
              </w:rPr>
              <w:t>1. Vplyvy na rozpoč</w:t>
            </w:r>
            <w:r>
              <w:rPr>
                <w:rFonts w:ascii="Book Antiqua" w:hAnsi="Book Antiqua" w:cs="Book Antiqua" w:hint="default"/>
                <w:color w:val="000000"/>
                <w:sz w:val="22"/>
                <w:szCs w:val="22"/>
              </w:rPr>
              <w:t>et verejnej sprá</w:t>
            </w:r>
            <w:r>
              <w:rPr>
                <w:rFonts w:ascii="Book Antiqua" w:hAnsi="Book Antiqua" w:cs="Book Antiqua" w:hint="default"/>
                <w:color w:val="000000"/>
                <w:sz w:val="22"/>
                <w:szCs w:val="22"/>
              </w:rPr>
              <w:t>vy</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sz w:val="22"/>
                <w:szCs w:val="22"/>
              </w:rPr>
            </w:pPr>
            <w:r w:rsidR="000C11EF">
              <w:rPr>
                <w:rFonts w:ascii="Book Antiqua" w:hAnsi="Book Antiqua" w:cs="Book Antiqua"/>
                <w:color w:val="000000"/>
                <w:sz w:val="22"/>
                <w:szCs w:val="22"/>
              </w:rPr>
              <w:t>x</w:t>
            </w: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hint="default"/>
                <w:color w:val="000000"/>
                <w:sz w:val="22"/>
                <w:szCs w:val="22"/>
              </w:rPr>
            </w:pPr>
            <w:r>
              <w:rPr>
                <w:rFonts w:ascii="Book Antiqua" w:hAnsi="Book Antiqua" w:cs="Book Antiqua" w:hint="default"/>
                <w:color w:val="000000"/>
                <w:sz w:val="22"/>
                <w:szCs w:val="22"/>
              </w:rPr>
              <w:t>2. Vplyvy na podnikateľ</w:t>
            </w:r>
            <w:r>
              <w:rPr>
                <w:rFonts w:ascii="Book Antiqua" w:hAnsi="Book Antiqua" w:cs="Book Antiqua" w:hint="default"/>
                <w:color w:val="000000"/>
                <w:sz w:val="22"/>
                <w:szCs w:val="22"/>
              </w:rPr>
              <w:t>ské</w:t>
            </w:r>
            <w:r>
              <w:rPr>
                <w:rFonts w:ascii="Book Antiqua" w:hAnsi="Book Antiqua" w:cs="Book Antiqua" w:hint="default"/>
                <w:color w:val="000000"/>
                <w:sz w:val="22"/>
                <w:szCs w:val="22"/>
              </w:rPr>
              <w:t xml:space="preserve"> prostredie </w:t>
            </w:r>
            <w:r>
              <w:rPr>
                <w:rFonts w:ascii="Book Antiqua" w:hAnsi="Book Antiqua" w:cs="Book Antiqua" w:hint="default"/>
                <w:color w:val="000000"/>
                <w:sz w:val="22"/>
                <w:szCs w:val="22"/>
              </w:rPr>
              <w:t>–</w:t>
            </w:r>
            <w:r>
              <w:rPr>
                <w:rFonts w:ascii="Book Antiqua" w:hAnsi="Book Antiqua" w:cs="Book Antiqua" w:hint="default"/>
                <w:color w:val="000000"/>
                <w:sz w:val="22"/>
                <w:szCs w:val="22"/>
              </w:rPr>
              <w:t xml:space="preserve"> dochá</w:t>
            </w:r>
            <w:r>
              <w:rPr>
                <w:rFonts w:ascii="Book Antiqua" w:hAnsi="Book Antiqua" w:cs="Book Antiqua" w:hint="default"/>
                <w:color w:val="000000"/>
                <w:sz w:val="22"/>
                <w:szCs w:val="22"/>
              </w:rPr>
              <w:t>dza k zvýš</w:t>
            </w:r>
            <w:r>
              <w:rPr>
                <w:rFonts w:ascii="Book Antiqua" w:hAnsi="Book Antiqua" w:cs="Book Antiqua" w:hint="default"/>
                <w:color w:val="000000"/>
                <w:sz w:val="22"/>
                <w:szCs w:val="22"/>
              </w:rPr>
              <w:t>eniu regulač</w:t>
            </w:r>
            <w:r>
              <w:rPr>
                <w:rFonts w:ascii="Book Antiqua" w:hAnsi="Book Antiqua" w:cs="Book Antiqua" w:hint="default"/>
                <w:color w:val="000000"/>
                <w:sz w:val="22"/>
                <w:szCs w:val="22"/>
              </w:rPr>
              <w:t>né</w:t>
            </w:r>
            <w:r>
              <w:rPr>
                <w:rFonts w:ascii="Book Antiqua" w:hAnsi="Book Antiqua" w:cs="Book Antiqua" w:hint="default"/>
                <w:color w:val="000000"/>
                <w:sz w:val="22"/>
                <w:szCs w:val="22"/>
              </w:rPr>
              <w:t>ho zať</w:t>
            </w:r>
            <w:r>
              <w:rPr>
                <w:rFonts w:ascii="Book Antiqua" w:hAnsi="Book Antiqua" w:cs="Book Antiqua" w:hint="default"/>
                <w:color w:val="000000"/>
                <w:sz w:val="22"/>
                <w:szCs w:val="22"/>
              </w:rPr>
              <w:t>až</w:t>
            </w:r>
            <w:r>
              <w:rPr>
                <w:rFonts w:ascii="Book Antiqua" w:hAnsi="Book Antiqua" w:cs="Book Antiqua" w:hint="default"/>
                <w:color w:val="000000"/>
                <w:sz w:val="22"/>
                <w:szCs w:val="22"/>
              </w:rPr>
              <w:t>enia?</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sz w:val="22"/>
                <w:szCs w:val="22"/>
              </w:rPr>
            </w:pPr>
            <w:r>
              <w:rPr>
                <w:rFonts w:ascii="Book Antiqua" w:hAnsi="Book Antiqua" w:cs="Book Antiqua" w:hint="default"/>
                <w:color w:val="000000"/>
                <w:sz w:val="22"/>
                <w:szCs w:val="22"/>
              </w:rPr>
              <w:t>3. Sociá</w:t>
            </w:r>
            <w:r>
              <w:rPr>
                <w:rFonts w:ascii="Book Antiqua" w:hAnsi="Book Antiqua" w:cs="Book Antiqua" w:hint="default"/>
                <w:color w:val="000000"/>
                <w:sz w:val="22"/>
                <w:szCs w:val="22"/>
              </w:rPr>
              <w:t>lne vplyvy</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sz w:val="22"/>
                <w:szCs w:val="22"/>
              </w:rPr>
            </w:pPr>
            <w:r>
              <w:rPr>
                <w:rFonts w:ascii="Book Antiqua" w:hAnsi="Book Antiqua" w:cs="Book Antiqua"/>
                <w:sz w:val="22"/>
                <w:szCs w:val="22"/>
              </w:rPr>
              <w:t>x</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napToGrid w:val="0"/>
              <w:spacing w:before="120" w:after="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hint="default"/>
                <w:color w:val="000000"/>
                <w:sz w:val="22"/>
                <w:szCs w:val="22"/>
              </w:rPr>
            </w:pPr>
            <w:r>
              <w:rPr>
                <w:rFonts w:ascii="Book Antiqua" w:hAnsi="Book Antiqua" w:cs="Book Antiqua"/>
                <w:color w:val="000000"/>
                <w:sz w:val="22"/>
                <w:szCs w:val="22"/>
              </w:rPr>
              <w:t xml:space="preserve">– </w:t>
            </w:r>
            <w:r>
              <w:rPr>
                <w:rFonts w:ascii="Book Antiqua" w:hAnsi="Book Antiqua" w:cs="Book Antiqua" w:hint="default"/>
                <w:color w:val="000000"/>
                <w:sz w:val="22"/>
                <w:szCs w:val="22"/>
              </w:rPr>
              <w:t>vplyvy na hospodá</w:t>
            </w:r>
            <w:r>
              <w:rPr>
                <w:rFonts w:ascii="Book Antiqua" w:hAnsi="Book Antiqua" w:cs="Book Antiqua" w:hint="default"/>
                <w:color w:val="000000"/>
                <w:sz w:val="22"/>
                <w:szCs w:val="22"/>
              </w:rPr>
              <w:t>renie obyvateľ</w:t>
            </w:r>
            <w:r>
              <w:rPr>
                <w:rFonts w:ascii="Book Antiqua" w:hAnsi="Book Antiqua" w:cs="Book Antiqua" w:hint="default"/>
                <w:color w:val="000000"/>
                <w:sz w:val="22"/>
                <w:szCs w:val="22"/>
              </w:rPr>
              <w:t>stva,</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x</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napToGrid w:val="0"/>
              <w:spacing w:before="120" w:after="0" w:line="276" w:lineRule="auto"/>
              <w:jc w:val="center"/>
              <w:rPr>
                <w:rFonts w:ascii="Book Antiqua" w:hAnsi="Book Antiqua" w:cs="Book Antiqua"/>
                <w:sz w:val="22"/>
                <w:szCs w:val="22"/>
              </w:rPr>
            </w:pP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hint="default"/>
                <w:color w:val="000000"/>
                <w:sz w:val="22"/>
                <w:szCs w:val="22"/>
              </w:rPr>
            </w:pPr>
            <w:r>
              <w:rPr>
                <w:rFonts w:ascii="Book Antiqua" w:hAnsi="Book Antiqua" w:cs="Book Antiqua"/>
                <w:color w:val="000000"/>
                <w:sz w:val="22"/>
                <w:szCs w:val="22"/>
              </w:rPr>
              <w:t xml:space="preserve">– </w:t>
            </w:r>
            <w:r>
              <w:rPr>
                <w:rFonts w:ascii="Book Antiqua" w:hAnsi="Book Antiqua" w:cs="Book Antiqua" w:hint="default"/>
                <w:color w:val="000000"/>
                <w:sz w:val="22"/>
                <w:szCs w:val="22"/>
              </w:rPr>
              <w:t>sociá</w:t>
            </w:r>
            <w:r>
              <w:rPr>
                <w:rFonts w:ascii="Book Antiqua" w:hAnsi="Book Antiqua" w:cs="Book Antiqua" w:hint="default"/>
                <w:color w:val="000000"/>
                <w:sz w:val="22"/>
                <w:szCs w:val="22"/>
              </w:rPr>
              <w:t>lnu exklú</w:t>
            </w:r>
            <w:r>
              <w:rPr>
                <w:rFonts w:ascii="Book Antiqua" w:hAnsi="Book Antiqua" w:cs="Book Antiqua" w:hint="default"/>
                <w:color w:val="000000"/>
                <w:sz w:val="22"/>
                <w:szCs w:val="22"/>
              </w:rPr>
              <w:t>ziu,</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hint="default"/>
                <w:color w:val="000000"/>
                <w:sz w:val="22"/>
                <w:szCs w:val="22"/>
              </w:rPr>
            </w:pPr>
            <w:r>
              <w:rPr>
                <w:rFonts w:ascii="Book Antiqua" w:hAnsi="Book Antiqua" w:cs="Book Antiqua"/>
                <w:color w:val="000000"/>
                <w:sz w:val="22"/>
                <w:szCs w:val="22"/>
              </w:rPr>
              <w:t xml:space="preserve">– </w:t>
            </w:r>
            <w:r>
              <w:rPr>
                <w:rFonts w:ascii="Book Antiqua" w:hAnsi="Book Antiqua" w:cs="Book Antiqua" w:hint="default"/>
                <w:color w:val="000000"/>
                <w:sz w:val="22"/>
                <w:szCs w:val="22"/>
              </w:rPr>
              <w:t>rovnosť</w:t>
            </w:r>
            <w:r>
              <w:rPr>
                <w:rFonts w:ascii="Book Antiqua" w:hAnsi="Book Antiqua" w:cs="Book Antiqua" w:hint="default"/>
                <w:color w:val="000000"/>
                <w:sz w:val="22"/>
                <w:szCs w:val="22"/>
              </w:rPr>
              <w:t xml:space="preserve"> prí</w:t>
            </w:r>
            <w:r>
              <w:rPr>
                <w:rFonts w:ascii="Book Antiqua" w:hAnsi="Book Antiqua" w:cs="Book Antiqua" w:hint="default"/>
                <w:color w:val="000000"/>
                <w:sz w:val="22"/>
                <w:szCs w:val="22"/>
              </w:rPr>
              <w:t>lež</w:t>
            </w:r>
            <w:r>
              <w:rPr>
                <w:rFonts w:ascii="Book Antiqua" w:hAnsi="Book Antiqua" w:cs="Book Antiqua" w:hint="default"/>
                <w:color w:val="000000"/>
                <w:sz w:val="22"/>
                <w:szCs w:val="22"/>
              </w:rPr>
              <w:t>itostí</w:t>
            </w:r>
            <w:r>
              <w:rPr>
                <w:rFonts w:ascii="Book Antiqua" w:hAnsi="Book Antiqua" w:cs="Book Antiqua" w:hint="default"/>
                <w:color w:val="000000"/>
                <w:sz w:val="22"/>
                <w:szCs w:val="22"/>
              </w:rPr>
              <w:t xml:space="preserve"> a rodovú</w:t>
            </w:r>
            <w:r>
              <w:rPr>
                <w:rFonts w:ascii="Book Antiqua" w:hAnsi="Book Antiqua" w:cs="Book Antiqua" w:hint="default"/>
                <w:color w:val="000000"/>
                <w:sz w:val="22"/>
                <w:szCs w:val="22"/>
              </w:rPr>
              <w:t xml:space="preserve"> rovnosť</w:t>
            </w:r>
            <w:r>
              <w:rPr>
                <w:rFonts w:ascii="Book Antiqua" w:hAnsi="Book Antiqua" w:cs="Book Antiqua" w:hint="default"/>
                <w:color w:val="000000"/>
                <w:sz w:val="22"/>
                <w:szCs w:val="22"/>
              </w:rPr>
              <w:t xml:space="preserve"> a vplyvy na zamestnanosť</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hint="default"/>
                <w:color w:val="000000"/>
                <w:sz w:val="22"/>
                <w:szCs w:val="22"/>
              </w:rPr>
            </w:pPr>
            <w:r>
              <w:rPr>
                <w:rFonts w:ascii="Book Antiqua" w:hAnsi="Book Antiqua" w:cs="Book Antiqua" w:hint="default"/>
                <w:color w:val="000000"/>
                <w:sz w:val="22"/>
                <w:szCs w:val="22"/>
              </w:rPr>
              <w:t>4. Vplyvy na ž</w:t>
            </w:r>
            <w:r>
              <w:rPr>
                <w:rFonts w:ascii="Book Antiqua" w:hAnsi="Book Antiqua" w:cs="Book Antiqua" w:hint="default"/>
                <w:color w:val="000000"/>
                <w:sz w:val="22"/>
                <w:szCs w:val="22"/>
              </w:rPr>
              <w:t>ivotné</w:t>
            </w:r>
            <w:r>
              <w:rPr>
                <w:rFonts w:ascii="Book Antiqua" w:hAnsi="Book Antiqua" w:cs="Book Antiqua" w:hint="default"/>
                <w:color w:val="000000"/>
                <w:sz w:val="22"/>
                <w:szCs w:val="22"/>
              </w:rPr>
              <w:t xml:space="preserve"> prostredie</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color w:val="000000"/>
                <w:sz w:val="22"/>
                <w:szCs w:val="22"/>
              </w:rPr>
              <w:t> </w:t>
            </w:r>
          </w:p>
        </w:tc>
      </w:tr>
      <w:tr>
        <w:tblPrEx>
          <w:tblW w:w="0" w:type="auto"/>
          <w:tblInd w:w="-7" w:type="dxa"/>
          <w:tblLayout w:type="fixed"/>
          <w:tblCellMar>
            <w:left w:w="0" w:type="dxa"/>
            <w:right w:w="0" w:type="dxa"/>
          </w:tblCellMar>
        </w:tblPrEx>
        <w:tc>
          <w:tcPr>
            <w:tcW w:w="5518"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rPr>
                <w:rFonts w:ascii="Book Antiqua" w:hAnsi="Book Antiqua" w:cs="Book Antiqua" w:hint="default"/>
                <w:color w:val="000000"/>
                <w:sz w:val="22"/>
                <w:szCs w:val="22"/>
              </w:rPr>
            </w:pPr>
            <w:r>
              <w:rPr>
                <w:rFonts w:ascii="Book Antiqua" w:hAnsi="Book Antiqua" w:cs="Book Antiqua" w:hint="default"/>
                <w:color w:val="000000"/>
                <w:sz w:val="22"/>
                <w:szCs w:val="22"/>
              </w:rPr>
              <w:t>5. Vplyvy na informatizá</w:t>
            </w:r>
            <w:r>
              <w:rPr>
                <w:rFonts w:ascii="Book Antiqua" w:hAnsi="Book Antiqua" w:cs="Book Antiqua" w:hint="default"/>
                <w:color w:val="000000"/>
                <w:sz w:val="22"/>
                <w:szCs w:val="22"/>
              </w:rPr>
              <w:t>ciu spoloč</w:t>
            </w:r>
            <w:r>
              <w:rPr>
                <w:rFonts w:ascii="Book Antiqua" w:hAnsi="Book Antiqua" w:cs="Book Antiqua" w:hint="default"/>
                <w:color w:val="000000"/>
                <w:sz w:val="22"/>
                <w:szCs w:val="22"/>
              </w:rPr>
              <w:t>nosti</w:t>
            </w:r>
          </w:p>
        </w:tc>
        <w:tc>
          <w:tcPr>
            <w:tcW w:w="1192"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right w:val="none" w:sz="0" w:space="0" w:color="auto"/>
            </w:tcBorders>
            <w:textDirection w:val="lrTb"/>
            <w:vAlign w:val="center"/>
          </w:tcPr>
          <w:p w:rsidR="005809CB" w:rsidP="005C0FAC">
            <w:pPr>
              <w:pStyle w:val="NormalWeb"/>
              <w:bidi w:val="0"/>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textDirection w:val="lrTb"/>
            <w:vAlign w:val="center"/>
          </w:tcPr>
          <w:p w:rsidR="005809CB" w:rsidP="005C0FAC">
            <w:pPr>
              <w:pStyle w:val="NormalWeb"/>
              <w:bidi w:val="0"/>
              <w:spacing w:before="120" w:after="0" w:line="276" w:lineRule="auto"/>
              <w:jc w:val="center"/>
            </w:pPr>
            <w:r>
              <w:rPr>
                <w:rFonts w:ascii="Book Antiqua" w:hAnsi="Book Antiqua" w:cs="Book Antiqua"/>
                <w:color w:val="000000"/>
                <w:sz w:val="22"/>
                <w:szCs w:val="22"/>
              </w:rPr>
              <w:t> </w:t>
            </w:r>
          </w:p>
        </w:tc>
      </w:tr>
    </w:tbl>
    <w:p w:rsidR="005809CB" w:rsidP="005809CB">
      <w:pPr>
        <w:pStyle w:val="NormalWeb"/>
        <w:bidi w:val="0"/>
        <w:spacing w:before="120" w:after="0" w:line="276" w:lineRule="auto"/>
        <w:rPr>
          <w:rFonts w:ascii="Book Antiqua" w:hAnsi="Book Antiqua" w:cs="Book Antiqua"/>
          <w:b/>
          <w:bCs/>
          <w:color w:val="000000"/>
          <w:sz w:val="22"/>
          <w:szCs w:val="22"/>
        </w:rPr>
      </w:pPr>
      <w:r>
        <w:rPr>
          <w:rFonts w:ascii="Book Antiqua" w:hAnsi="Book Antiqua" w:cs="Book Antiqua"/>
          <w:color w:val="000000"/>
          <w:sz w:val="22"/>
          <w:szCs w:val="22"/>
        </w:rPr>
        <w:t> </w:t>
      </w: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A.3. Poznámky</w:t>
      </w:r>
    </w:p>
    <w:p w:rsidR="008A7787">
      <w:pPr>
        <w:bidi w:val="0"/>
        <w:spacing w:before="120" w:line="276" w:lineRule="auto"/>
        <w:jc w:val="both"/>
        <w:rPr>
          <w:rFonts w:ascii="Book Antiqua" w:hAnsi="Book Antiqua"/>
          <w:i/>
          <w:sz w:val="22"/>
          <w:szCs w:val="22"/>
        </w:rPr>
      </w:pPr>
      <w:r w:rsidRPr="009C0176">
        <w:rPr>
          <w:rFonts w:ascii="Book Antiqua" w:hAnsi="Book Antiqua"/>
          <w:i/>
          <w:sz w:val="22"/>
          <w:szCs w:val="22"/>
        </w:rPr>
        <w:t>Návrh zákona bude znamenať pozitívny vplyv na hospodárenie obyvateľstva, konkrétne na vlastníkov poľnohospodárskej pôdy, ktorý ju prenajímajú subjektom na základe nájomnej zmluvy, osobitne v tých prípadoch, ak sú nájomcovia zároveň žiadateľmi o poskytnutie podpory v oblasti poľnohospodárstva a rozvoja vidieka prostredníctvom Pôdohospodárskej platobnej agentúry, keďže jeho prijatím sa zavedie obligatórna povinnosť zo strany týchto nájomcov poskytovať uvedenej agentúre údaje a informácie požadované právnymi predpismi, bez splnenia ktorej nebude možné takúto podporu získať. Vzhľadom na skutočnosť, že sa nevedie štatistika o tom, aký počet nájomcov nemá usporiadané nájomné vzťahy s vlastníkmi dotknutých pozemkov (poľnohospodárskej pôdy), nie je možné presne vyčísliť pozitívne dopady v tomto smere.</w:t>
      </w:r>
      <w:r w:rsidR="005809CB">
        <w:rPr>
          <w:rFonts w:ascii="Book Antiqua" w:hAnsi="Book Antiqua"/>
          <w:sz w:val="22"/>
          <w:szCs w:val="22"/>
        </w:rPr>
        <w:t xml:space="preserve"> </w:t>
      </w:r>
      <w:r w:rsidRPr="000C11EF" w:rsidR="005809CB">
        <w:rPr>
          <w:rFonts w:ascii="Book Antiqua" w:hAnsi="Book Antiqua"/>
          <w:i/>
          <w:sz w:val="22"/>
          <w:szCs w:val="22"/>
        </w:rPr>
        <w:t>Návrh zákona môže mať nepatrný pozitívny vplyv na rozpočet verejnej správy, konkrétne na rozpočet samosprávy, keďže podmienkou na získanie podp</w:t>
      </w:r>
      <w:r w:rsidRPr="000C11EF" w:rsidR="000C11EF">
        <w:rPr>
          <w:rFonts w:ascii="Book Antiqua" w:hAnsi="Book Antiqua"/>
          <w:i/>
          <w:sz w:val="22"/>
          <w:szCs w:val="22"/>
        </w:rPr>
        <w:t xml:space="preserve">ory od Pôdohospodárskej platobnej agentúry bude aj plnenie si záväzkov </w:t>
      </w:r>
      <w:r w:rsidR="000C11EF">
        <w:rPr>
          <w:rFonts w:ascii="Book Antiqua" w:hAnsi="Book Antiqua"/>
          <w:i/>
          <w:sz w:val="22"/>
          <w:szCs w:val="22"/>
        </w:rPr>
        <w:t xml:space="preserve">žiadateľa </w:t>
      </w:r>
      <w:r w:rsidRPr="000C11EF" w:rsidR="000C11EF">
        <w:rPr>
          <w:rFonts w:ascii="Book Antiqua" w:hAnsi="Book Antiqua"/>
          <w:i/>
          <w:sz w:val="22"/>
          <w:szCs w:val="22"/>
        </w:rPr>
        <w:t xml:space="preserve">vyplývajúcich z vlastníckeho vzťahu k pôde, t.j. úhrada dane z nehnuteľnosti, čo sa v každej </w:t>
      </w:r>
      <w:r w:rsidR="000C11EF">
        <w:rPr>
          <w:rFonts w:ascii="Book Antiqua" w:hAnsi="Book Antiqua"/>
          <w:i/>
          <w:sz w:val="22"/>
          <w:szCs w:val="22"/>
        </w:rPr>
        <w:t>obci vždy neplní na 100%, pričom presný dopad nie je možné vyčísliť.</w:t>
      </w:r>
    </w:p>
    <w:p w:rsidR="000C11EF"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A.4. Alternatívne riešenia</w:t>
      </w:r>
    </w:p>
    <w:p w:rsidR="008A7787" w:rsidRPr="009C0176">
      <w:pPr>
        <w:bidi w:val="0"/>
        <w:spacing w:before="120" w:line="276" w:lineRule="auto"/>
        <w:jc w:val="both"/>
        <w:rPr>
          <w:rFonts w:ascii="Book Antiqua" w:hAnsi="Book Antiqua"/>
          <w:sz w:val="22"/>
          <w:szCs w:val="22"/>
        </w:rPr>
      </w:pPr>
      <w:r w:rsidRPr="009C0176">
        <w:rPr>
          <w:rFonts w:ascii="Book Antiqua" w:hAnsi="Book Antiqua"/>
          <w:i/>
          <w:sz w:val="22"/>
          <w:szCs w:val="22"/>
        </w:rPr>
        <w:t>bezpredmetné</w:t>
      </w:r>
    </w:p>
    <w:p w:rsidR="008A7787" w:rsidRPr="009C0176">
      <w:pPr>
        <w:bidi w:val="0"/>
        <w:spacing w:before="120" w:line="276" w:lineRule="auto"/>
        <w:jc w:val="both"/>
        <w:rPr>
          <w:rFonts w:ascii="Book Antiqua" w:hAnsi="Book Antiqua"/>
          <w:sz w:val="22"/>
          <w:szCs w:val="22"/>
        </w:rPr>
      </w:pPr>
    </w:p>
    <w:p w:rsidR="008A7787" w:rsidRPr="009C0176">
      <w:pPr>
        <w:bidi w:val="0"/>
        <w:spacing w:before="120" w:line="276" w:lineRule="auto"/>
        <w:jc w:val="both"/>
        <w:rPr>
          <w:rFonts w:ascii="Book Antiqua" w:hAnsi="Book Antiqua"/>
          <w:sz w:val="22"/>
          <w:szCs w:val="22"/>
        </w:rPr>
      </w:pPr>
      <w:r w:rsidRPr="009C0176">
        <w:rPr>
          <w:rFonts w:ascii="Book Antiqua" w:hAnsi="Book Antiqua"/>
          <w:b/>
          <w:sz w:val="22"/>
          <w:szCs w:val="22"/>
        </w:rPr>
        <w:t>A.5. Stanovisko gestorov</w:t>
      </w:r>
    </w:p>
    <w:p w:rsidR="008A7787" w:rsidRPr="009C0176">
      <w:pPr>
        <w:bidi w:val="0"/>
        <w:spacing w:before="120" w:line="276" w:lineRule="auto"/>
        <w:jc w:val="both"/>
        <w:rPr>
          <w:rFonts w:ascii="Book Antiqua" w:hAnsi="Book Antiqua"/>
          <w:sz w:val="22"/>
          <w:szCs w:val="22"/>
        </w:rPr>
      </w:pPr>
      <w:r w:rsidRPr="009C0176">
        <w:rPr>
          <w:rFonts w:ascii="Book Antiqua" w:hAnsi="Book Antiqua"/>
          <w:i/>
          <w:sz w:val="22"/>
          <w:szCs w:val="22"/>
        </w:rPr>
        <w:t>Návrh zákona bol zaslaný na vyjadrenie Ministerstvu financií SR a stanovisko tohto ministerstva tvorí súčasť predkladaného materiálu.</w:t>
      </w:r>
    </w:p>
    <w:p w:rsidR="008A7787" w:rsidRPr="009C0176">
      <w:pPr>
        <w:bidi w:val="0"/>
        <w:spacing w:before="120" w:line="276" w:lineRule="auto"/>
        <w:jc w:val="both"/>
        <w:rPr>
          <w:rFonts w:ascii="Book Antiqua" w:hAnsi="Book Antiqua"/>
          <w:sz w:val="22"/>
          <w:szCs w:val="22"/>
        </w:rPr>
      </w:pPr>
    </w:p>
    <w:p w:rsidR="008A7787" w:rsidRPr="009C0176">
      <w:pPr>
        <w:bidi w:val="0"/>
        <w:spacing w:before="120" w:line="276" w:lineRule="auto"/>
        <w:ind w:firstLine="708"/>
        <w:jc w:val="both"/>
        <w:rPr>
          <w:rFonts w:ascii="Book Antiqua" w:hAnsi="Book Antiqua"/>
          <w:sz w:val="22"/>
          <w:szCs w:val="22"/>
        </w:rPr>
      </w:pPr>
    </w:p>
    <w:sectPr>
      <w:footerReference w:type="default" r:id="rId7"/>
      <w:footerReference w:type="first" r:id="rId8"/>
      <w:type w:val="continuous"/>
      <w:pgSz w:w="11906" w:h="16838"/>
      <w:pgMar w:top="1417" w:right="1417" w:bottom="1417" w:left="1417" w:header="708" w:footer="708" w:gutter="0"/>
      <w:lnNumType w:distance="0"/>
      <w:cols w:space="708"/>
      <w:formProt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angal">
    <w:altName w:val="Cambria Math"/>
    <w:panose1 w:val="000004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variable"/>
    <w:sig w:usb0="00000000" w:usb1="00000000" w:usb2="00000000" w:usb3="00000000" w:csb0="00000002" w:csb1="00000000"/>
  </w:font>
  <w:font w:name="Georgia">
    <w:panose1 w:val="00000000000000000000"/>
    <w:charset w:val="EE"/>
    <w:family w:val="roman"/>
    <w:pitch w:val="variable"/>
    <w:sig w:usb0="00000000" w:usb1="00000000" w:usb2="00000000" w:usb3="00000000" w:csb0="0000009F"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7">
    <w:pPr>
      <w:tabs>
        <w:tab w:val="center" w:pos="4536"/>
        <w:tab w:val="right" w:pos="9072"/>
      </w:tabs>
      <w:bidi w:val="0"/>
      <w:ind w:right="360"/>
      <w:rPr>
        <w:sz w:val="24"/>
        <w:szCs w:val="24"/>
      </w:rPr>
    </w:pPr>
    <w:r>
      <w:rPr>
        <w:noProof/>
        <w:lang w:eastAsia="sk-SK"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12.75pt;height:28.3pt;margin-top:0;margin-left:512pt;position:absolute;z-index:-251658240" o:allowincell="f">
          <v:imagedata r:id="rId1" o:title=""/>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7">
    <w:pPr>
      <w:bidi w:val="0"/>
      <w:rPr>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
    <w:nsid w:val="00000002"/>
    <w:multiLevelType w:val="multilevel"/>
    <w:tmpl w:val="00000002"/>
    <w:lvl w:ilvl="0">
      <w:start w:val="1"/>
      <w:numFmt w:val="lowerLetter"/>
      <w:lvlText w:val="%1)"/>
      <w:lvlJc w:val="left"/>
      <w:pPr>
        <w:ind w:left="720" w:hanging="360"/>
      </w:pPr>
      <w:rPr>
        <w:rFonts w:eastAsia="Times New Roman" w:cs="Times New Roman"/>
        <w:b w:val="0"/>
        <w:bCs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160" w:hanging="360"/>
      </w:pPr>
      <w:rPr>
        <w:rFonts w:cs="Times New Roman"/>
        <w:rtl w:val="0"/>
        <w:cs w:val="0"/>
      </w:rPr>
    </w:lvl>
    <w:lvl w:ilvl="5">
      <w:start w:val="1"/>
      <w:numFmt w:val="lowerRoman"/>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lowerLetter"/>
      <w:lvlText w:val="%8."/>
      <w:lvlJc w:val="left"/>
      <w:pPr>
        <w:ind w:left="3240" w:hanging="360"/>
      </w:pPr>
      <w:rPr>
        <w:rFonts w:cs="Times New Roman"/>
        <w:rtl w:val="0"/>
        <w:cs w:val="0"/>
      </w:rPr>
    </w:lvl>
    <w:lvl w:ilvl="8">
      <w:start w:val="1"/>
      <w:numFmt w:val="lowerRoman"/>
      <w:lvlText w:val="%9."/>
      <w:lvlJc w:val="left"/>
      <w:pPr>
        <w:ind w:left="3600" w:hanging="360"/>
      </w:pPr>
      <w:rPr>
        <w:rFonts w:cs="Times New Roman"/>
        <w:rtl w:val="0"/>
        <w:cs w:val="0"/>
      </w:rPr>
    </w:lvl>
  </w:abstractNum>
  <w:abstractNum w:abstractNumId="2">
    <w:nsid w:val="00000003"/>
    <w:multiLevelType w:val="multilevel"/>
    <w:tmpl w:val="00000003"/>
    <w:lvl w:ilvl="0">
      <w:start w:val="1"/>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eastAsia="Times New Roman" w:hAnsi="Liberation Serif"/>
      </w:rPr>
    </w:lvl>
    <w:lvl w:ilvl="2">
      <w:start w:val="2"/>
      <w:numFmt w:val="lowerLetter"/>
      <w:lvlText w:val="%3)"/>
      <w:lvlJc w:val="left"/>
      <w:pPr>
        <w:ind w:left="1440" w:hanging="360"/>
      </w:pPr>
      <w:rPr>
        <w:rFonts w:cs="Times New Roman"/>
        <w:rtl w:val="0"/>
        <w:cs w:val="0"/>
      </w:rPr>
    </w:lvl>
    <w:lvl w:ilvl="3">
      <w:start w:val="4"/>
      <w:numFmt w:val="decimal"/>
      <w:lvlText w:val="%4."/>
      <w:lvlJc w:val="left"/>
      <w:pPr>
        <w:ind w:left="1800" w:hanging="360"/>
      </w:pPr>
      <w:rPr>
        <w:rFonts w:eastAsia="Times New Roman" w:cs="Times New Roman"/>
        <w:b/>
        <w:bCs/>
        <w:rtl w:val="0"/>
        <w:cs w:val="0"/>
      </w:rPr>
    </w:lvl>
    <w:lvl w:ilvl="4">
      <w:start w:val="1"/>
      <w:numFmt w:val="bullet"/>
      <w:lvlText w:val="o"/>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o"/>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3">
    <w:nsid w:val="00000004"/>
    <w:multiLevelType w:val="multilevel"/>
    <w:tmpl w:val="00000004"/>
    <w:lvl w:ilvl="0">
      <w:start w:val="5"/>
      <w:numFmt w:val="decimal"/>
      <w:lvlText w:val="%1."/>
      <w:lvlJc w:val="left"/>
      <w:pPr>
        <w:ind w:left="720" w:hanging="360"/>
      </w:pPr>
      <w:rPr>
        <w:rFonts w:cs="Times New Roman"/>
        <w:rtl w:val="0"/>
        <w:cs w:val="0"/>
      </w:rPr>
    </w:lvl>
    <w:lvl w:ilvl="1">
      <w:start w:val="6"/>
      <w:numFmt w:val="decimal"/>
      <w:lvlText w:val="%2."/>
      <w:lvlJc w:val="left"/>
      <w:pPr>
        <w:ind w:left="1080" w:hanging="360"/>
      </w:pPr>
      <w:rPr>
        <w:rFonts w:cs="Times New Roman"/>
        <w:rtl w:val="0"/>
        <w:cs w:val="0"/>
      </w:rPr>
    </w:lvl>
    <w:lvl w:ilvl="2">
      <w:start w:val="1"/>
      <w:numFmt w:val="lowerRoman"/>
      <w:lvlText w:val="%3."/>
      <w:lvlJc w:val="righ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160" w:hanging="360"/>
      </w:pPr>
      <w:rPr>
        <w:rFonts w:cs="Times New Roman"/>
        <w:rtl w:val="0"/>
        <w:cs w:val="0"/>
      </w:rPr>
    </w:lvl>
    <w:lvl w:ilvl="5">
      <w:start w:val="1"/>
      <w:numFmt w:val="lowerRoman"/>
      <w:lvlText w:val="%6."/>
      <w:lvlJc w:val="righ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lowerLetter"/>
      <w:lvlText w:val="%8."/>
      <w:lvlJc w:val="left"/>
      <w:pPr>
        <w:ind w:left="3240" w:hanging="360"/>
      </w:pPr>
      <w:rPr>
        <w:rFonts w:cs="Times New Roman"/>
        <w:rtl w:val="0"/>
        <w:cs w:val="0"/>
      </w:rPr>
    </w:lvl>
    <w:lvl w:ilvl="8">
      <w:start w:val="1"/>
      <w:numFmt w:val="lowerRoman"/>
      <w:lvlText w:val="%9."/>
      <w:lvlJc w:val="right"/>
      <w:pPr>
        <w:ind w:left="3600" w:hanging="360"/>
      </w:pPr>
      <w:rPr>
        <w:rFonts w:cs="Times New Roman"/>
        <w:rtl w:val="0"/>
        <w:cs w:val="0"/>
      </w:rPr>
    </w:lvl>
  </w:abstractNum>
  <w:abstractNum w:abstractNumId="4">
    <w:nsid w:val="00000005"/>
    <w:multiLevelType w:val="multilevel"/>
    <w:tmpl w:val="00000005"/>
    <w:lvl w:ilvl="0">
      <w:start w:val="1"/>
      <w:numFmt w:val="none"/>
      <w:suff w:val="nothing"/>
      <w:lvlJc w:val="left"/>
      <w:rPr>
        <w:rFonts w:cs="Times New Roman"/>
        <w:rtl w:val="0"/>
        <w:cs w:val="0"/>
      </w:rPr>
    </w:lvl>
    <w:lvl w:ilvl="1">
      <w:start w:val="1"/>
      <w:numFmt w:val="none"/>
      <w:suff w:val="nothing"/>
      <w:lvlJc w:val="left"/>
      <w:rPr>
        <w:rFonts w:cs="Times New Roman"/>
        <w:rtl w:val="0"/>
        <w:cs w:val="0"/>
      </w:rPr>
    </w:lvl>
    <w:lvl w:ilvl="2">
      <w:start w:val="1"/>
      <w:numFmt w:val="none"/>
      <w:suff w:val="nothing"/>
      <w:lvlJc w:val="left"/>
      <w:rPr>
        <w:rFonts w:cs="Times New Roman"/>
        <w:rtl w:val="0"/>
        <w:cs w:val="0"/>
      </w:rPr>
    </w:lvl>
    <w:lvl w:ilvl="3">
      <w:start w:val="1"/>
      <w:numFmt w:val="none"/>
      <w:suff w:val="nothing"/>
      <w:lvlJc w:val="left"/>
      <w:rPr>
        <w:rFonts w:cs="Times New Roman"/>
        <w:rtl w:val="0"/>
        <w:cs w:val="0"/>
      </w:rPr>
    </w:lvl>
    <w:lvl w:ilvl="4">
      <w:start w:val="1"/>
      <w:numFmt w:val="none"/>
      <w:suff w:val="nothing"/>
      <w:lvlJc w:val="left"/>
      <w:rPr>
        <w:rFonts w:cs="Times New Roman"/>
        <w:rtl w:val="0"/>
        <w:cs w:val="0"/>
      </w:rPr>
    </w:lvl>
    <w:lvl w:ilvl="5">
      <w:start w:val="1"/>
      <w:numFmt w:val="none"/>
      <w:suff w:val="nothing"/>
      <w:lvlJc w:val="left"/>
      <w:rPr>
        <w:rFonts w:cs="Times New Roman"/>
        <w:rtl w:val="0"/>
        <w:cs w:val="0"/>
      </w:rPr>
    </w:lvl>
    <w:lvl w:ilvl="6">
      <w:start w:val="1"/>
      <w:numFmt w:val="none"/>
      <w:suff w:val="nothing"/>
      <w:lvlJc w:val="left"/>
      <w:rPr>
        <w:rFonts w:cs="Times New Roman"/>
        <w:rtl w:val="0"/>
        <w:cs w:val="0"/>
      </w:rPr>
    </w:lvl>
    <w:lvl w:ilvl="7">
      <w:start w:val="1"/>
      <w:numFmt w:val="none"/>
      <w:suff w:val="nothing"/>
      <w:lvlJc w:val="left"/>
      <w:rPr>
        <w:rFonts w:cs="Times New Roman"/>
        <w:rtl w:val="0"/>
        <w:cs w:val="0"/>
      </w:rPr>
    </w:lvl>
    <w:lvl w:ilvl="8">
      <w:start w:val="1"/>
      <w:numFmt w:val="none"/>
      <w:suff w:val="nothing"/>
      <w:lvlJc w:val="left"/>
      <w:rPr>
        <w:rFonts w:cs="Times New Roman"/>
        <w:rtl w:val="0"/>
        <w:cs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A7787"/>
    <w:rsid w:val="000C11EF"/>
    <w:rsid w:val="000E24D0"/>
    <w:rsid w:val="003127DE"/>
    <w:rsid w:val="00412A68"/>
    <w:rsid w:val="005809CB"/>
    <w:rsid w:val="005C0FAC"/>
    <w:rsid w:val="00667BB1"/>
    <w:rsid w:val="0070697B"/>
    <w:rsid w:val="00785943"/>
    <w:rsid w:val="007B40C2"/>
    <w:rsid w:val="008A7787"/>
    <w:rsid w:val="0091254F"/>
    <w:rsid w:val="009479D5"/>
    <w:rsid w:val="009C0176"/>
    <w:rsid w:val="00D60065"/>
    <w:rsid w:val="00E16397"/>
    <w:rsid w:val="00F7146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val="0"/>
      <w:autoSpaceDN w:val="0"/>
      <w:adjustRightInd w:val="0"/>
      <w:ind w:left="0" w:right="0"/>
      <w:jc w:val="left"/>
      <w:textAlignment w:val="auto"/>
    </w:pPr>
    <w:rPr>
      <w:rFonts w:ascii="Times New Roman" w:eastAsia="Times New Roman" w:hAnsi="Liberation Serif" w:cs="Times New Roman"/>
      <w:color w:val="000000"/>
      <w:kern w:val="1"/>
      <w:sz w:val="20"/>
      <w:szCs w:val="20"/>
      <w:rtl w:val="0"/>
      <w:cs w:val="0"/>
      <w:lang w:val="sk-SK" w:eastAsia="zh-CN" w:bidi="hi-IN"/>
    </w:rPr>
  </w:style>
  <w:style w:type="paragraph" w:styleId="Heading1">
    <w:name w:val="heading 1"/>
    <w:basedOn w:val="Normal"/>
    <w:link w:val="Nadpis1Char"/>
    <w:uiPriority w:val="99"/>
    <w:qFormat/>
    <w:pPr>
      <w:keepNext/>
      <w:keepLines/>
      <w:suppressAutoHyphens w:val="0"/>
      <w:spacing w:before="480" w:after="120"/>
      <w:jc w:val="left"/>
      <w:outlineLvl w:val="0"/>
    </w:pPr>
    <w:rPr>
      <w:b/>
      <w:bCs/>
      <w:kern w:val="0"/>
      <w:sz w:val="48"/>
      <w:szCs w:val="48"/>
      <w:lang w:eastAsia="sk-SK" w:bidi="ar-SA"/>
    </w:rPr>
  </w:style>
  <w:style w:type="paragraph" w:styleId="Heading2">
    <w:name w:val="heading 2"/>
    <w:basedOn w:val="Normal"/>
    <w:link w:val="Nadpis2Char"/>
    <w:uiPriority w:val="99"/>
    <w:qFormat/>
    <w:pPr>
      <w:keepNext/>
      <w:keepLines/>
      <w:suppressAutoHyphens w:val="0"/>
      <w:spacing w:before="360" w:after="80"/>
      <w:jc w:val="left"/>
      <w:outlineLvl w:val="1"/>
    </w:pPr>
    <w:rPr>
      <w:b/>
      <w:bCs/>
      <w:kern w:val="0"/>
      <w:sz w:val="36"/>
      <w:szCs w:val="36"/>
      <w:lang w:eastAsia="sk-SK" w:bidi="ar-SA"/>
    </w:rPr>
  </w:style>
  <w:style w:type="paragraph" w:styleId="Heading3">
    <w:name w:val="heading 3"/>
    <w:basedOn w:val="Normal"/>
    <w:link w:val="Nadpis3Char"/>
    <w:uiPriority w:val="99"/>
    <w:qFormat/>
    <w:pPr>
      <w:keepNext/>
      <w:keepLines/>
      <w:suppressAutoHyphens w:val="0"/>
      <w:spacing w:before="280" w:after="80"/>
      <w:jc w:val="left"/>
      <w:outlineLvl w:val="2"/>
    </w:pPr>
    <w:rPr>
      <w:b/>
      <w:bCs/>
      <w:kern w:val="0"/>
      <w:sz w:val="28"/>
      <w:szCs w:val="28"/>
      <w:lang w:eastAsia="sk-SK" w:bidi="ar-SA"/>
    </w:rPr>
  </w:style>
  <w:style w:type="paragraph" w:styleId="Heading4">
    <w:name w:val="heading 4"/>
    <w:basedOn w:val="Normal"/>
    <w:link w:val="Nadpis4Char"/>
    <w:uiPriority w:val="99"/>
    <w:qFormat/>
    <w:pPr>
      <w:keepNext/>
      <w:keepLines/>
      <w:suppressAutoHyphens w:val="0"/>
      <w:spacing w:before="240" w:after="40"/>
      <w:jc w:val="left"/>
      <w:outlineLvl w:val="3"/>
    </w:pPr>
    <w:rPr>
      <w:b/>
      <w:bCs/>
      <w:kern w:val="0"/>
      <w:sz w:val="24"/>
      <w:szCs w:val="24"/>
      <w:lang w:eastAsia="sk-SK" w:bidi="ar-SA"/>
    </w:rPr>
  </w:style>
  <w:style w:type="paragraph" w:styleId="Heading5">
    <w:name w:val="heading 5"/>
    <w:basedOn w:val="Normal"/>
    <w:link w:val="Nadpis5Char"/>
    <w:uiPriority w:val="99"/>
    <w:qFormat/>
    <w:pPr>
      <w:keepNext/>
      <w:keepLines/>
      <w:suppressAutoHyphens w:val="0"/>
      <w:spacing w:before="220" w:after="40"/>
      <w:jc w:val="left"/>
      <w:outlineLvl w:val="4"/>
    </w:pPr>
    <w:rPr>
      <w:b/>
      <w:bCs/>
      <w:kern w:val="0"/>
      <w:sz w:val="22"/>
      <w:szCs w:val="22"/>
      <w:lang w:eastAsia="sk-SK" w:bidi="ar-SA"/>
    </w:rPr>
  </w:style>
  <w:style w:type="paragraph" w:styleId="Heading6">
    <w:name w:val="heading 6"/>
    <w:basedOn w:val="Normal"/>
    <w:link w:val="Nadpis6Char"/>
    <w:uiPriority w:val="99"/>
    <w:qFormat/>
    <w:pPr>
      <w:keepNext/>
      <w:keepLines/>
      <w:suppressAutoHyphens w:val="0"/>
      <w:spacing w:before="200" w:after="40"/>
      <w:jc w:val="left"/>
      <w:outlineLvl w:val="5"/>
    </w:pPr>
    <w:rPr>
      <w:b/>
      <w:bCs/>
      <w:kern w:val="0"/>
      <w:lang w:eastAsia="sk-SK" w:bidi="ar-SA"/>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Mangal"/>
      <w:b/>
      <w:bCs/>
      <w:color w:val="000000"/>
      <w:kern w:val="32"/>
      <w:sz w:val="29"/>
      <w:szCs w:val="29"/>
      <w:rtl w:val="0"/>
      <w:cs w:val="0"/>
      <w:lang w:val="x-none" w:eastAsia="zh-CN" w:bidi="hi-IN"/>
    </w:rPr>
  </w:style>
  <w:style w:type="character" w:customStyle="1" w:styleId="Nadpis2Char">
    <w:name w:val="Nadpis 2 Char"/>
    <w:basedOn w:val="DefaultParagraphFont"/>
    <w:link w:val="Heading2"/>
    <w:uiPriority w:val="9"/>
    <w:semiHidden/>
    <w:locked/>
    <w:rPr>
      <w:rFonts w:asciiTheme="majorHAnsi" w:eastAsiaTheme="majorEastAsia" w:hAnsiTheme="majorHAnsi" w:cs="Mangal"/>
      <w:b/>
      <w:bCs/>
      <w:i/>
      <w:iCs/>
      <w:color w:val="000000"/>
      <w:kern w:val="1"/>
      <w:sz w:val="25"/>
      <w:szCs w:val="25"/>
      <w:rtl w:val="0"/>
      <w:cs w:val="0"/>
      <w:lang w:val="x-none" w:eastAsia="zh-CN" w:bidi="hi-IN"/>
    </w:rPr>
  </w:style>
  <w:style w:type="character" w:customStyle="1" w:styleId="Nadpis3Char">
    <w:name w:val="Nadpis 3 Char"/>
    <w:basedOn w:val="DefaultParagraphFont"/>
    <w:link w:val="Heading3"/>
    <w:uiPriority w:val="9"/>
    <w:semiHidden/>
    <w:locked/>
    <w:rPr>
      <w:rFonts w:asciiTheme="majorHAnsi" w:eastAsiaTheme="majorEastAsia" w:hAnsiTheme="majorHAnsi" w:cs="Mangal"/>
      <w:b/>
      <w:bCs/>
      <w:color w:val="000000"/>
      <w:kern w:val="1"/>
      <w:sz w:val="23"/>
      <w:szCs w:val="23"/>
      <w:rtl w:val="0"/>
      <w:cs w:val="0"/>
      <w:lang w:val="x-none" w:eastAsia="zh-CN" w:bidi="hi-IN"/>
    </w:rPr>
  </w:style>
  <w:style w:type="character" w:customStyle="1" w:styleId="Nadpis4Char">
    <w:name w:val="Nadpis 4 Char"/>
    <w:basedOn w:val="DefaultParagraphFont"/>
    <w:link w:val="Heading4"/>
    <w:uiPriority w:val="9"/>
    <w:semiHidden/>
    <w:locked/>
    <w:rPr>
      <w:rFonts w:cs="Mangal"/>
      <w:b/>
      <w:bCs/>
      <w:color w:val="000000"/>
      <w:kern w:val="1"/>
      <w:sz w:val="25"/>
      <w:szCs w:val="25"/>
      <w:rtl w:val="0"/>
      <w:cs w:val="0"/>
      <w:lang w:val="x-none" w:eastAsia="zh-CN" w:bidi="hi-IN"/>
    </w:rPr>
  </w:style>
  <w:style w:type="character" w:customStyle="1" w:styleId="Nadpis5Char">
    <w:name w:val="Nadpis 5 Char"/>
    <w:basedOn w:val="DefaultParagraphFont"/>
    <w:link w:val="Heading5"/>
    <w:uiPriority w:val="9"/>
    <w:semiHidden/>
    <w:locked/>
    <w:rPr>
      <w:rFonts w:cs="Mangal"/>
      <w:b/>
      <w:bCs/>
      <w:i/>
      <w:iCs/>
      <w:color w:val="000000"/>
      <w:kern w:val="1"/>
      <w:sz w:val="23"/>
      <w:szCs w:val="23"/>
      <w:rtl w:val="0"/>
      <w:cs w:val="0"/>
      <w:lang w:val="x-none" w:eastAsia="zh-CN" w:bidi="hi-IN"/>
    </w:rPr>
  </w:style>
  <w:style w:type="character" w:customStyle="1" w:styleId="Nadpis6Char">
    <w:name w:val="Nadpis 6 Char"/>
    <w:basedOn w:val="DefaultParagraphFont"/>
    <w:link w:val="Heading6"/>
    <w:uiPriority w:val="9"/>
    <w:semiHidden/>
    <w:locked/>
    <w:rPr>
      <w:rFonts w:cs="Mangal"/>
      <w:b/>
      <w:bCs/>
      <w:color w:val="000000"/>
      <w:kern w:val="1"/>
      <w:sz w:val="20"/>
      <w:szCs w:val="20"/>
      <w:rtl w:val="0"/>
      <w:cs w:val="0"/>
      <w:lang w:val="x-none" w:eastAsia="zh-CN" w:bidi="hi-IN"/>
    </w:rPr>
  </w:style>
  <w:style w:type="character" w:customStyle="1" w:styleId="ListLabel1">
    <w:name w:val="ListLabel 1"/>
    <w:uiPriority w:val="99"/>
    <w:rPr>
      <w:rFonts w:ascii="Book Antiqua" w:eastAsia="Times New Roman"/>
      <w:sz w:val="22"/>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ascii="Book Antiqua" w:eastAsia="Times New Roman"/>
      <w:b/>
      <w:sz w:val="22"/>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InternetLink">
    <w:name w:val="Internet Link"/>
    <w:uiPriority w:val="99"/>
    <w:rPr>
      <w:color w:val="000080"/>
      <w:u w:val="single"/>
    </w:rPr>
  </w:style>
  <w:style w:type="paragraph" w:customStyle="1" w:styleId="Heading">
    <w:name w:val="Heading"/>
    <w:basedOn w:val="Normal"/>
    <w:next w:val="TextBody"/>
    <w:uiPriority w:val="99"/>
    <w:pPr>
      <w:keepNext/>
      <w:suppressAutoHyphens w:val="0"/>
      <w:spacing w:before="240" w:after="120"/>
      <w:jc w:val="left"/>
    </w:pPr>
    <w:rPr>
      <w:rFonts w:ascii="Liberation Sans" w:cs="Liberation Sans"/>
      <w:kern w:val="0"/>
      <w:sz w:val="28"/>
      <w:szCs w:val="28"/>
      <w:lang w:eastAsia="sk-SK" w:bidi="ar-SA"/>
    </w:rPr>
  </w:style>
  <w:style w:type="paragraph" w:customStyle="1" w:styleId="TextBody">
    <w:name w:val="Text Body"/>
    <w:basedOn w:val="Normal"/>
    <w:uiPriority w:val="99"/>
    <w:pPr>
      <w:suppressAutoHyphens w:val="0"/>
      <w:spacing w:after="140" w:line="288" w:lineRule="auto"/>
      <w:jc w:val="left"/>
    </w:pPr>
    <w:rPr>
      <w:kern w:val="0"/>
      <w:lang w:eastAsia="sk-SK" w:bidi="ar-SA"/>
    </w:rPr>
  </w:style>
  <w:style w:type="paragraph" w:styleId="List">
    <w:name w:val="List"/>
    <w:basedOn w:val="TextBody"/>
    <w:uiPriority w:val="99"/>
    <w:pPr>
      <w:suppressAutoHyphens w:val="0"/>
      <w:jc w:val="left"/>
    </w:pPr>
    <w:rPr>
      <w:kern w:val="0"/>
    </w:rPr>
  </w:style>
  <w:style w:type="paragraph" w:styleId="Caption">
    <w:name w:val="caption"/>
    <w:basedOn w:val="Normal"/>
    <w:uiPriority w:val="99"/>
    <w:qFormat/>
    <w:pPr>
      <w:suppressLineNumbers/>
      <w:suppressAutoHyphens w:val="0"/>
      <w:spacing w:before="120" w:after="120"/>
      <w:jc w:val="left"/>
    </w:pPr>
    <w:rPr>
      <w:i/>
      <w:iCs/>
      <w:kern w:val="0"/>
      <w:sz w:val="24"/>
      <w:szCs w:val="24"/>
      <w:lang w:eastAsia="sk-SK" w:bidi="ar-SA"/>
    </w:rPr>
  </w:style>
  <w:style w:type="paragraph" w:customStyle="1" w:styleId="Index">
    <w:name w:val="Index"/>
    <w:basedOn w:val="Normal"/>
    <w:uiPriority w:val="99"/>
    <w:pPr>
      <w:suppressLineNumbers/>
      <w:suppressAutoHyphens w:val="0"/>
      <w:jc w:val="left"/>
    </w:pPr>
    <w:rPr>
      <w:kern w:val="0"/>
      <w:lang w:eastAsia="sk-SK" w:bidi="ar-SA"/>
    </w:rPr>
  </w:style>
  <w:style w:type="paragraph" w:styleId="Title">
    <w:name w:val="Title"/>
    <w:basedOn w:val="Normal"/>
    <w:link w:val="NzovChar"/>
    <w:uiPriority w:val="99"/>
    <w:qFormat/>
    <w:pPr>
      <w:keepNext/>
      <w:keepLines/>
      <w:suppressAutoHyphens w:val="0"/>
      <w:spacing w:before="480" w:after="120"/>
      <w:jc w:val="left"/>
    </w:pPr>
    <w:rPr>
      <w:b/>
      <w:bCs/>
      <w:kern w:val="0"/>
      <w:sz w:val="72"/>
      <w:szCs w:val="72"/>
      <w:lang w:eastAsia="sk-SK" w:bidi="ar-SA"/>
    </w:rPr>
  </w:style>
  <w:style w:type="character" w:customStyle="1" w:styleId="NzovChar">
    <w:name w:val="Názov Char"/>
    <w:basedOn w:val="DefaultParagraphFont"/>
    <w:link w:val="Title"/>
    <w:uiPriority w:val="10"/>
    <w:locked/>
    <w:rPr>
      <w:rFonts w:asciiTheme="majorHAnsi" w:eastAsiaTheme="majorEastAsia" w:hAnsiTheme="majorHAnsi" w:cs="Mangal"/>
      <w:b/>
      <w:bCs/>
      <w:color w:val="000000"/>
      <w:kern w:val="28"/>
      <w:sz w:val="29"/>
      <w:szCs w:val="29"/>
      <w:rtl w:val="0"/>
      <w:cs w:val="0"/>
      <w:lang w:val="x-none" w:eastAsia="zh-CN" w:bidi="hi-IN"/>
    </w:rPr>
  </w:style>
  <w:style w:type="paragraph" w:styleId="Subtitle">
    <w:name w:val="Subtitle"/>
    <w:basedOn w:val="Normal"/>
    <w:link w:val="PodtitulChar"/>
    <w:uiPriority w:val="99"/>
    <w:qFormat/>
    <w:pPr>
      <w:keepNext/>
      <w:keepLines/>
      <w:suppressAutoHyphens w:val="0"/>
      <w:spacing w:before="360" w:after="80"/>
      <w:jc w:val="left"/>
    </w:pPr>
    <w:rPr>
      <w:rFonts w:ascii="Georgia" w:cs="Georgia"/>
      <w:i/>
      <w:iCs/>
      <w:color w:val="666666"/>
      <w:kern w:val="0"/>
      <w:sz w:val="48"/>
      <w:szCs w:val="48"/>
      <w:lang w:eastAsia="sk-SK" w:bidi="ar-SA"/>
    </w:rPr>
  </w:style>
  <w:style w:type="character" w:customStyle="1" w:styleId="PodtitulChar">
    <w:name w:val="Podtitul Char"/>
    <w:basedOn w:val="DefaultParagraphFont"/>
    <w:link w:val="Subtitle"/>
    <w:uiPriority w:val="11"/>
    <w:locked/>
    <w:rPr>
      <w:rFonts w:asciiTheme="majorHAnsi" w:eastAsiaTheme="majorEastAsia" w:hAnsiTheme="majorHAnsi" w:cs="Mangal"/>
      <w:color w:val="000000"/>
      <w:kern w:val="1"/>
      <w:sz w:val="21"/>
      <w:szCs w:val="21"/>
      <w:rtl w:val="0"/>
      <w:cs w:val="0"/>
      <w:lang w:val="x-none" w:eastAsia="zh-CN" w:bidi="hi-IN"/>
    </w:rPr>
  </w:style>
  <w:style w:type="paragraph" w:styleId="Footer">
    <w:name w:val="footer"/>
    <w:basedOn w:val="Normal"/>
    <w:link w:val="PtaChar"/>
    <w:uiPriority w:val="99"/>
    <w:pPr>
      <w:suppressAutoHyphens w:val="0"/>
      <w:jc w:val="left"/>
    </w:pPr>
    <w:rPr>
      <w:kern w:val="0"/>
      <w:lang w:eastAsia="sk-SK" w:bidi="ar-SA"/>
    </w:rPr>
  </w:style>
  <w:style w:type="character" w:customStyle="1" w:styleId="PtaChar">
    <w:name w:val="Päta Char"/>
    <w:basedOn w:val="DefaultParagraphFont"/>
    <w:link w:val="Footer"/>
    <w:uiPriority w:val="99"/>
    <w:semiHidden/>
    <w:locked/>
    <w:rPr>
      <w:rFonts w:ascii="Times New Roman" w:eastAsia="Times New Roman" w:hAnsi="Liberation Serif" w:cs="Mangal"/>
      <w:color w:val="000000"/>
      <w:kern w:val="1"/>
      <w:sz w:val="18"/>
      <w:szCs w:val="18"/>
      <w:rtl w:val="0"/>
      <w:cs w:val="0"/>
      <w:lang w:val="x-none" w:eastAsia="zh-CN" w:bidi="hi-IN"/>
    </w:rPr>
  </w:style>
  <w:style w:type="paragraph" w:styleId="NormalWeb">
    <w:name w:val="Normal (Web)"/>
    <w:basedOn w:val="Normal"/>
    <w:uiPriority w:val="99"/>
    <w:rsid w:val="005809CB"/>
    <w:pPr>
      <w:autoSpaceDE/>
      <w:autoSpaceDN/>
      <w:adjustRightInd/>
      <w:spacing w:before="280" w:after="280"/>
      <w:jc w:val="left"/>
    </w:pPr>
    <w:rPr>
      <w:rFonts w:hAnsi="Times New Roman" w:eastAsiaTheme="minorEastAsia"/>
      <w:color w:val="auto"/>
      <w:kern w:val="0"/>
      <w:sz w:val="24"/>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15/75/20150801#paragraf-1.odsek-1.pismeno-a" TargetMode="External" /><Relationship Id="rId5" Type="http://schemas.openxmlformats.org/officeDocument/2006/relationships/hyperlink" Target="https://www.slov-lex.sk/pravne-predpisy/SK/ZZ/2015/75/20150801#paragraf-1.odsek-1.pismeno-f" TargetMode="External" /><Relationship Id="rId6" Type="http://schemas.openxmlformats.org/officeDocument/2006/relationships/hyperlink" Target="https://www.slov-lex.sk/pravne-predpisy/SK/ZZ/2015/75/20150801#poznamky.poznamka-73"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3331</Words>
  <Characters>18988</Characters>
  <Application>Microsoft Office Word</Application>
  <DocSecurity>0</DocSecurity>
  <Lines>0</Lines>
  <Paragraphs>0</Paragraphs>
  <ScaleCrop>false</ScaleCrop>
  <Company/>
  <LinksUpToDate>false</LinksUpToDate>
  <CharactersWithSpaces>22275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Lukáč, Jozef (asistent)</cp:lastModifiedBy>
  <cp:revision>2</cp:revision>
  <dcterms:created xsi:type="dcterms:W3CDTF">2018-04-23T09:05:00Z</dcterms:created>
  <dcterms:modified xsi:type="dcterms:W3CDTF">2018-04-23T09:05:00Z</dcterms:modified>
</cp:coreProperties>
</file>