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34DF" w:rsidRPr="00C93212" w:rsidP="001934DF">
      <w:pPr>
        <w:pStyle w:val="Heading1"/>
        <w:bidi w:val="0"/>
        <w:spacing w:before="0" w:after="0"/>
        <w:jc w:val="center"/>
        <w:rPr>
          <w:rFonts w:ascii="Times New Roman" w:hAnsi="Times New Roman" w:cs="Times New Roman"/>
          <w:sz w:val="24"/>
          <w:szCs w:val="24"/>
        </w:rPr>
      </w:pPr>
      <w:r w:rsidRPr="00C93212">
        <w:rPr>
          <w:rFonts w:ascii="Times New Roman" w:hAnsi="Times New Roman" w:cs="Times New Roman"/>
          <w:sz w:val="24"/>
          <w:szCs w:val="24"/>
        </w:rPr>
        <w:t>Dôvodová správa</w:t>
      </w:r>
    </w:p>
    <w:p w:rsidR="007C7C26" w:rsidRPr="00C93212" w:rsidP="007C7C26">
      <w:pPr>
        <w:bidi w:val="0"/>
        <w:rPr>
          <w:rFonts w:ascii="Times New Roman" w:hAnsi="Times New Roman"/>
        </w:rPr>
      </w:pPr>
    </w:p>
    <w:p w:rsidR="00713F0C" w:rsidRPr="00C93212" w:rsidP="00713F0C">
      <w:pPr>
        <w:bidi w:val="0"/>
        <w:rPr>
          <w:rFonts w:ascii="Times New Roman" w:hAnsi="Times New Roman"/>
          <w:b/>
          <w:u w:val="single"/>
        </w:rPr>
      </w:pPr>
      <w:r w:rsidRPr="00C93212" w:rsidR="00270C7D">
        <w:rPr>
          <w:rFonts w:ascii="Times New Roman" w:hAnsi="Times New Roman"/>
          <w:b/>
          <w:u w:val="single"/>
        </w:rPr>
        <w:t>V</w:t>
      </w:r>
      <w:r w:rsidRPr="00C93212" w:rsidR="001934DF">
        <w:rPr>
          <w:rFonts w:ascii="Times New Roman" w:hAnsi="Times New Roman"/>
          <w:b/>
          <w:u w:val="single"/>
        </w:rPr>
        <w:t>šeobecná časť</w:t>
      </w:r>
    </w:p>
    <w:p w:rsidR="001934DF" w:rsidRPr="00C93212" w:rsidP="0045280D">
      <w:pPr>
        <w:bidi w:val="0"/>
        <w:ind w:firstLine="708"/>
        <w:jc w:val="both"/>
        <w:rPr>
          <w:rFonts w:ascii="Times New Roman" w:hAnsi="Times New Roman"/>
        </w:rPr>
      </w:pPr>
    </w:p>
    <w:p w:rsidR="0045280D" w:rsidRPr="00C93212" w:rsidP="00547128">
      <w:pPr>
        <w:pStyle w:val="BodyText"/>
        <w:bidi w:val="0"/>
        <w:ind w:firstLine="708"/>
        <w:jc w:val="both"/>
        <w:rPr>
          <w:rFonts w:ascii="Times New Roman" w:hAnsi="Times New Roman"/>
        </w:rPr>
      </w:pPr>
      <w:r w:rsidRPr="00C93212" w:rsidR="00547128">
        <w:rPr>
          <w:rFonts w:ascii="Times New Roman" w:hAnsi="Times New Roman"/>
        </w:rPr>
        <w:t xml:space="preserve">Návrh zákona, ktorým sa </w:t>
      </w:r>
      <w:r w:rsidR="00D42570">
        <w:rPr>
          <w:rFonts w:ascii="Times New Roman" w:hAnsi="Times New Roman"/>
        </w:rPr>
        <w:t xml:space="preserve">mení a </w:t>
      </w:r>
      <w:r w:rsidRPr="00C93212" w:rsidR="00547128">
        <w:rPr>
          <w:rFonts w:ascii="Times New Roman" w:hAnsi="Times New Roman"/>
        </w:rPr>
        <w:t xml:space="preserve">dopĺňa zákon č. 39/2015 Z. z. o poisťovníctve a o zmene a doplnení niektorých zákonov v znení neskorších predpisov a ktorým sa menia a dopĺňajú niektoré zákony </w:t>
      </w:r>
      <w:r w:rsidRPr="00C93212" w:rsidR="00DF1CB0">
        <w:rPr>
          <w:rFonts w:ascii="Times New Roman" w:hAnsi="Times New Roman"/>
        </w:rPr>
        <w:t xml:space="preserve">(ďalej len „návrh zákona“) </w:t>
      </w:r>
      <w:r w:rsidRPr="00C93212" w:rsidR="00ED117F">
        <w:rPr>
          <w:rFonts w:ascii="Times New Roman" w:hAnsi="Times New Roman"/>
          <w:bCs/>
        </w:rPr>
        <w:t>predkladá</w:t>
      </w:r>
      <w:r w:rsidRPr="00C93212" w:rsidR="00F67F2E">
        <w:rPr>
          <w:rFonts w:ascii="Times New Roman" w:hAnsi="Times New Roman"/>
        </w:rPr>
        <w:t xml:space="preserve"> Ministerstvo financií Slovenskej republiky </w:t>
      </w:r>
      <w:r w:rsidRPr="00C93212" w:rsidR="001D6606">
        <w:rPr>
          <w:rFonts w:ascii="Times New Roman" w:hAnsi="Times New Roman"/>
        </w:rPr>
        <w:t>v súlade s</w:t>
      </w:r>
      <w:r w:rsidRPr="00C93212" w:rsidR="00412B2A">
        <w:rPr>
          <w:rFonts w:ascii="Times New Roman" w:hAnsi="Times New Roman"/>
        </w:rPr>
        <w:t> Plánom legislatívnych úloh vlády Slovenskej republiky na rok 201</w:t>
      </w:r>
      <w:r w:rsidRPr="00C93212" w:rsidR="00E2119A">
        <w:rPr>
          <w:rFonts w:ascii="Times New Roman" w:hAnsi="Times New Roman"/>
        </w:rPr>
        <w:t>8</w:t>
      </w:r>
      <w:r w:rsidRPr="00C93212" w:rsidR="00412B2A">
        <w:rPr>
          <w:rFonts w:ascii="Times New Roman" w:hAnsi="Times New Roman"/>
        </w:rPr>
        <w:t>.</w:t>
      </w:r>
    </w:p>
    <w:p w:rsidR="0045280D" w:rsidRPr="00C93212" w:rsidP="0045280D">
      <w:pPr>
        <w:bidi w:val="0"/>
        <w:jc w:val="both"/>
        <w:rPr>
          <w:rFonts w:ascii="Times New Roman" w:hAnsi="Times New Roman"/>
        </w:rPr>
      </w:pPr>
    </w:p>
    <w:p w:rsidR="00B871BE" w:rsidRPr="00C93212" w:rsidP="00B871BE">
      <w:pPr>
        <w:pStyle w:val="BodyText"/>
        <w:bidi w:val="0"/>
        <w:ind w:firstLine="567"/>
        <w:jc w:val="both"/>
        <w:rPr>
          <w:rFonts w:ascii="Times New Roman" w:hAnsi="Times New Roman"/>
          <w:color w:val="auto"/>
        </w:rPr>
      </w:pPr>
      <w:r w:rsidRPr="00C93212">
        <w:rPr>
          <w:rFonts w:ascii="Times New Roman" w:hAnsi="Times New Roman"/>
          <w:color w:val="auto"/>
        </w:rPr>
        <w:t xml:space="preserve">Cieľom navrhovaného zákona je </w:t>
      </w:r>
    </w:p>
    <w:p w:rsidR="00B871BE" w:rsidRPr="00C93212" w:rsidP="00B871BE">
      <w:pPr>
        <w:pStyle w:val="BodyText"/>
        <w:bidi w:val="0"/>
        <w:ind w:firstLine="567"/>
        <w:jc w:val="both"/>
        <w:rPr>
          <w:rFonts w:ascii="Times New Roman" w:hAnsi="Times New Roman"/>
          <w:color w:val="auto"/>
        </w:rPr>
      </w:pPr>
    </w:p>
    <w:p w:rsidR="00B871BE" w:rsidRPr="00C93212" w:rsidP="00B871BE">
      <w:pPr>
        <w:pStyle w:val="BodyText"/>
        <w:numPr>
          <w:numId w:val="4"/>
        </w:numPr>
        <w:bidi w:val="0"/>
        <w:jc w:val="both"/>
        <w:rPr>
          <w:rFonts w:ascii="Times New Roman" w:hAnsi="Times New Roman"/>
          <w:color w:val="auto"/>
        </w:rPr>
      </w:pPr>
      <w:r w:rsidRPr="00C93212">
        <w:rPr>
          <w:rFonts w:ascii="Times New Roman" w:hAnsi="Times New Roman"/>
          <w:color w:val="auto"/>
        </w:rPr>
        <w:t>zvýšenie transparentnosti a prehľadnosti nákladov spojených s distribúciou finančných produktov,</w:t>
      </w:r>
    </w:p>
    <w:p w:rsidR="00B871BE" w:rsidRPr="00C93212" w:rsidP="00B871BE">
      <w:pPr>
        <w:pStyle w:val="ListParagraph"/>
        <w:numPr>
          <w:numId w:val="4"/>
        </w:numPr>
        <w:suppressAutoHyphens w:val="0"/>
        <w:bidi w:val="0"/>
        <w:contextualSpacing/>
        <w:jc w:val="both"/>
        <w:rPr>
          <w:rFonts w:ascii="Times New Roman" w:hAnsi="Times New Roman" w:cs="Times New Roman"/>
          <w:szCs w:val="24"/>
          <w:lang w:eastAsia="sk-SK"/>
        </w:rPr>
      </w:pPr>
      <w:r w:rsidRPr="00C93212">
        <w:rPr>
          <w:rFonts w:ascii="Times New Roman" w:hAnsi="Times New Roman" w:cs="Times New Roman"/>
          <w:szCs w:val="24"/>
        </w:rPr>
        <w:t>regulácia odmien finančných sprostredkovateľov spojených s distribúciou finančných služieb,</w:t>
      </w:r>
    </w:p>
    <w:p w:rsidR="00B871BE" w:rsidRPr="00C93212" w:rsidP="00B871BE">
      <w:pPr>
        <w:pStyle w:val="ListParagraph"/>
        <w:numPr>
          <w:numId w:val="4"/>
        </w:numPr>
        <w:suppressAutoHyphens w:val="0"/>
        <w:bidi w:val="0"/>
        <w:contextualSpacing/>
        <w:jc w:val="both"/>
        <w:rPr>
          <w:rFonts w:ascii="Times New Roman" w:hAnsi="Times New Roman" w:cs="Times New Roman"/>
          <w:szCs w:val="24"/>
          <w:lang w:eastAsia="sk-SK"/>
        </w:rPr>
      </w:pPr>
      <w:r w:rsidRPr="00C93212">
        <w:rPr>
          <w:rFonts w:ascii="Times New Roman" w:hAnsi="Times New Roman" w:cs="Times New Roman"/>
          <w:szCs w:val="24"/>
        </w:rPr>
        <w:t>regulácia stanovenia odkupnej hodnoty v životnom poistení.</w:t>
      </w:r>
    </w:p>
    <w:p w:rsidR="00B871BE" w:rsidRPr="00C93212" w:rsidP="00B871BE">
      <w:pPr>
        <w:pStyle w:val="ListParagraph"/>
        <w:suppressAutoHyphens w:val="0"/>
        <w:bidi w:val="0"/>
        <w:ind w:left="786" w:firstLine="0"/>
        <w:contextualSpacing/>
        <w:jc w:val="both"/>
        <w:rPr>
          <w:rFonts w:ascii="Times New Roman" w:hAnsi="Times New Roman" w:cs="Times New Roman"/>
          <w:szCs w:val="24"/>
          <w:lang w:eastAsia="sk-SK"/>
        </w:rPr>
      </w:pPr>
    </w:p>
    <w:p w:rsidR="00CD347B" w:rsidRPr="00536857" w:rsidP="00CD347B">
      <w:pPr>
        <w:pStyle w:val="BodyText"/>
        <w:bidi w:val="0"/>
        <w:ind w:firstLine="567"/>
        <w:jc w:val="both"/>
        <w:rPr>
          <w:rFonts w:ascii="Times New Roman" w:hAnsi="Times New Roman"/>
          <w:color w:val="auto"/>
        </w:rPr>
      </w:pPr>
      <w:r w:rsidRPr="00536857">
        <w:rPr>
          <w:rFonts w:ascii="Times New Roman" w:hAnsi="Times New Roman"/>
          <w:color w:val="auto"/>
        </w:rPr>
        <w:t xml:space="preserve">Čl. I predkladaného návrhu zákona reaguje na absenciu </w:t>
      </w:r>
      <w:r>
        <w:rPr>
          <w:rFonts w:ascii="Times New Roman" w:hAnsi="Times New Roman"/>
          <w:color w:val="auto"/>
        </w:rPr>
        <w:t xml:space="preserve">informovanosti klienta o jednotlivých zložkách, ktoré tvoria poistné </w:t>
      </w:r>
      <w:r w:rsidRPr="00536857">
        <w:rPr>
          <w:rFonts w:ascii="Times New Roman" w:hAnsi="Times New Roman"/>
          <w:color w:val="auto"/>
        </w:rPr>
        <w:t>a spôsobu stanovenia odkupnej hodnoty v životnom poistení v</w:t>
      </w:r>
      <w:r>
        <w:rPr>
          <w:rFonts w:ascii="Times New Roman" w:hAnsi="Times New Roman"/>
          <w:color w:val="auto"/>
        </w:rPr>
        <w:t xml:space="preserve"> súčasnej </w:t>
      </w:r>
      <w:r w:rsidRPr="00536857">
        <w:rPr>
          <w:rFonts w:ascii="Times New Roman" w:hAnsi="Times New Roman"/>
          <w:color w:val="auto"/>
        </w:rPr>
        <w:t>právnej úprave.</w:t>
      </w:r>
    </w:p>
    <w:p w:rsidR="00CD347B" w:rsidRPr="00536857" w:rsidP="00CD347B">
      <w:pPr>
        <w:pStyle w:val="BodyText"/>
        <w:bidi w:val="0"/>
        <w:ind w:firstLine="567"/>
        <w:jc w:val="both"/>
        <w:rPr>
          <w:rFonts w:ascii="Times New Roman" w:hAnsi="Times New Roman"/>
          <w:color w:val="auto"/>
        </w:rPr>
      </w:pPr>
    </w:p>
    <w:p w:rsidR="00CD347B" w:rsidRPr="00536857" w:rsidP="00CD347B">
      <w:pPr>
        <w:pStyle w:val="BodyText"/>
        <w:bidi w:val="0"/>
        <w:ind w:firstLine="567"/>
        <w:jc w:val="both"/>
        <w:rPr>
          <w:rFonts w:ascii="Times New Roman" w:hAnsi="Times New Roman"/>
          <w:color w:val="auto"/>
        </w:rPr>
      </w:pPr>
      <w:r w:rsidRPr="00536857">
        <w:rPr>
          <w:rFonts w:ascii="Times New Roman" w:hAnsi="Times New Roman"/>
        </w:rPr>
        <w:t xml:space="preserve">Pri poisteniach, pri ktorých vzniká právo na odkupnú hodnotu sa upravujú niektoré finančné nároky poistníka, ktoré vznikajú pri predčasnom ukončení životného poistenia. Cieľom navrhovanej úpravy má byť zamedzenie negatívneho javu, keď </w:t>
      </w:r>
      <w:r w:rsidRPr="00536857">
        <w:rPr>
          <w:rFonts w:ascii="Times New Roman" w:hAnsi="Times New Roman"/>
          <w:color w:val="auto"/>
        </w:rPr>
        <w:t>klient znáša všetky náklady spojené s uzavretím poistnej zmluvy v prvých rokoch po uzavretí poistnej zmluvy.</w:t>
      </w:r>
    </w:p>
    <w:p w:rsidR="00CD347B" w:rsidP="00CD347B">
      <w:pPr>
        <w:pStyle w:val="BodyText"/>
        <w:bidi w:val="0"/>
        <w:ind w:firstLine="567"/>
        <w:jc w:val="both"/>
        <w:rPr>
          <w:rFonts w:ascii="Times New Roman" w:hAnsi="Times New Roman"/>
          <w:color w:val="auto"/>
        </w:rPr>
      </w:pPr>
    </w:p>
    <w:p w:rsidR="00CD347B" w:rsidRPr="00536857" w:rsidP="00CD347B">
      <w:pPr>
        <w:pStyle w:val="BodyText"/>
        <w:bidi w:val="0"/>
        <w:ind w:firstLine="567"/>
        <w:jc w:val="both"/>
        <w:rPr>
          <w:rFonts w:ascii="Times New Roman" w:hAnsi="Times New Roman"/>
          <w:color w:val="auto"/>
        </w:rPr>
      </w:pPr>
      <w:r w:rsidRPr="00536857">
        <w:rPr>
          <w:rFonts w:ascii="Times New Roman" w:hAnsi="Times New Roman"/>
          <w:color w:val="auto"/>
        </w:rPr>
        <w:t xml:space="preserve">Zároveň sa s cieľom zvýšenia transparentnosti </w:t>
      </w:r>
      <w:r w:rsidRPr="00536857">
        <w:rPr>
          <w:rFonts w:ascii="Times New Roman" w:hAnsi="Times New Roman"/>
        </w:rPr>
        <w:t>zavádzajú informačné formuláre, ktoré budú klientom poskytovať v prehľadnej a zrozumiteľnej forme informáciu o hlavných položkách vstupujúcich do poistného.</w:t>
      </w:r>
    </w:p>
    <w:p w:rsidR="00CD347B" w:rsidRPr="00536857" w:rsidP="00CD347B">
      <w:pPr>
        <w:pStyle w:val="BodyText"/>
        <w:bidi w:val="0"/>
        <w:jc w:val="both"/>
        <w:rPr>
          <w:rFonts w:ascii="Times New Roman" w:hAnsi="Times New Roman"/>
          <w:color w:val="auto"/>
        </w:rPr>
      </w:pPr>
    </w:p>
    <w:p w:rsidR="00CD347B" w:rsidRPr="00536857" w:rsidP="00CD347B">
      <w:pPr>
        <w:bidi w:val="0"/>
        <w:ind w:firstLine="708"/>
        <w:jc w:val="both"/>
        <w:rPr>
          <w:rFonts w:ascii="Times New Roman" w:hAnsi="Times New Roman"/>
        </w:rPr>
      </w:pPr>
      <w:r>
        <w:rPr>
          <w:rFonts w:ascii="Times New Roman" w:hAnsi="Times New Roman"/>
        </w:rPr>
        <w:t xml:space="preserve">V Čl. II sa upravuje zverejňovanie rozhodnutí </w:t>
      </w:r>
      <w:r w:rsidRPr="0091649F" w:rsidR="0091649F">
        <w:rPr>
          <w:rFonts w:ascii="Times New Roman" w:hAnsi="Times New Roman"/>
        </w:rPr>
        <w:t>vydaných Národnou bankou Slovenska vo veciach ochrany finančných spotrebiteľov. Zároveň sa rozširuje okruh prispievateľov ročných príspevkov o poskytovateľov osobitného finančného vzdelávania.</w:t>
      </w:r>
    </w:p>
    <w:p w:rsidR="00CD347B" w:rsidRPr="00536857" w:rsidP="00CD347B">
      <w:pPr>
        <w:bidi w:val="0"/>
        <w:jc w:val="both"/>
        <w:rPr>
          <w:rFonts w:ascii="Times New Roman" w:hAnsi="Times New Roman"/>
        </w:rPr>
      </w:pPr>
    </w:p>
    <w:p w:rsidR="00CD347B" w:rsidRPr="00536857" w:rsidP="00CD347B">
      <w:pPr>
        <w:bidi w:val="0"/>
        <w:jc w:val="both"/>
        <w:rPr>
          <w:rFonts w:ascii="Times New Roman" w:hAnsi="Times New Roman"/>
        </w:rPr>
      </w:pPr>
      <w:r w:rsidRPr="00536857">
        <w:rPr>
          <w:rFonts w:ascii="Times New Roman" w:hAnsi="Times New Roman"/>
          <w:color w:val="000000"/>
        </w:rPr>
        <w:tab/>
      </w:r>
      <w:r>
        <w:rPr>
          <w:rFonts w:ascii="Times New Roman" w:hAnsi="Times New Roman"/>
          <w:color w:val="000000"/>
        </w:rPr>
        <w:t>N</w:t>
      </w:r>
      <w:r w:rsidRPr="00536857">
        <w:rPr>
          <w:rFonts w:ascii="Times New Roman" w:hAnsi="Times New Roman"/>
          <w:color w:val="000000"/>
        </w:rPr>
        <w:t>ovel</w:t>
      </w:r>
      <w:r>
        <w:rPr>
          <w:rFonts w:ascii="Times New Roman" w:hAnsi="Times New Roman"/>
          <w:color w:val="000000"/>
        </w:rPr>
        <w:t>ou</w:t>
      </w:r>
      <w:r w:rsidRPr="00536857">
        <w:rPr>
          <w:rFonts w:ascii="Times New Roman" w:hAnsi="Times New Roman"/>
          <w:color w:val="000000"/>
        </w:rPr>
        <w:t xml:space="preserve"> zákon</w:t>
      </w:r>
      <w:r>
        <w:rPr>
          <w:rFonts w:ascii="Times New Roman" w:hAnsi="Times New Roman"/>
          <w:color w:val="000000"/>
        </w:rPr>
        <w:t>a</w:t>
      </w:r>
      <w:r w:rsidRPr="00536857">
        <w:rPr>
          <w:rFonts w:ascii="Times New Roman" w:hAnsi="Times New Roman"/>
          <w:color w:val="000000"/>
        </w:rPr>
        <w:t xml:space="preserve"> o finančnom sprostredkovaní a finančnom poradenstve</w:t>
      </w:r>
      <w:r>
        <w:rPr>
          <w:rFonts w:ascii="Times New Roman" w:hAnsi="Times New Roman"/>
          <w:color w:val="000000"/>
        </w:rPr>
        <w:t xml:space="preserve"> v Čl. III sa zavádza</w:t>
      </w:r>
      <w:r w:rsidRPr="00536857">
        <w:rPr>
          <w:rFonts w:ascii="Times New Roman" w:hAnsi="Times New Roman"/>
          <w:color w:val="000000"/>
        </w:rPr>
        <w:t xml:space="preserve"> povinnosť pre </w:t>
      </w:r>
      <w:r w:rsidRPr="00536857">
        <w:rPr>
          <w:rFonts w:ascii="Times New Roman" w:hAnsi="Times New Roman"/>
        </w:rPr>
        <w:t>finančného agenta a finančného poradcu v sektore poistenia alebo zaistenia pred uzavretím zmluvy o poskytnutí finančnej služby poskytnúť klientovi informačný dokument, s cieľom poskytovať v prehľadnej a zrozumiteľnej forme informáciu o hlavných položkách vstupujúcich do poistného</w:t>
      </w:r>
      <w:r w:rsidR="0091649F">
        <w:rPr>
          <w:rFonts w:ascii="Times New Roman" w:hAnsi="Times New Roman"/>
        </w:rPr>
        <w:t>.</w:t>
      </w:r>
      <w:r>
        <w:rPr>
          <w:rFonts w:ascii="Times New Roman" w:hAnsi="Times New Roman"/>
        </w:rPr>
        <w:t xml:space="preserve"> </w:t>
      </w:r>
      <w:r w:rsidRPr="0091649F" w:rsidR="0091649F">
        <w:rPr>
          <w:rFonts w:ascii="Times New Roman" w:hAnsi="Times New Roman"/>
        </w:rPr>
        <w:t>A zároveň obsahuje legislatívno-technické úpravy súvisiace s implementáciou smernice o distribúcii poistenia.</w:t>
      </w:r>
    </w:p>
    <w:p w:rsidR="005477FF" w:rsidRPr="00C93212" w:rsidP="00EC4924">
      <w:pPr>
        <w:pStyle w:val="BodyText2"/>
        <w:tabs>
          <w:tab w:val="left" w:pos="0"/>
        </w:tabs>
        <w:bidi w:val="0"/>
        <w:spacing w:after="0" w:line="240" w:lineRule="auto"/>
        <w:jc w:val="both"/>
        <w:rPr>
          <w:rFonts w:ascii="Times New Roman" w:hAnsi="Times New Roman"/>
        </w:rPr>
      </w:pPr>
    </w:p>
    <w:p w:rsidR="00EC4924" w:rsidRPr="00C93212" w:rsidP="00EC4924">
      <w:pPr>
        <w:pStyle w:val="BodyText2"/>
        <w:tabs>
          <w:tab w:val="left" w:pos="0"/>
        </w:tabs>
        <w:bidi w:val="0"/>
        <w:spacing w:after="0" w:line="240" w:lineRule="auto"/>
        <w:jc w:val="both"/>
        <w:rPr>
          <w:rFonts w:ascii="Times New Roman" w:hAnsi="Times New Roman"/>
          <w:color w:val="000000"/>
        </w:rPr>
      </w:pPr>
      <w:r w:rsidRPr="00C93212" w:rsidR="00280B9B">
        <w:rPr>
          <w:rFonts w:ascii="Times New Roman" w:hAnsi="Times New Roman"/>
        </w:rPr>
        <w:tab/>
      </w:r>
      <w:r w:rsidRPr="00C93212" w:rsidR="005477FF">
        <w:rPr>
          <w:rFonts w:ascii="Times New Roman" w:hAnsi="Times New Roman"/>
        </w:rPr>
        <w:t>V Čl. IV a V návrhu zákona sa zavádza maximálna výška odmeny finančného agenta pri sprostredkovaní spotrebiteľského úveru</w:t>
      </w:r>
      <w:r w:rsidR="00101E2F">
        <w:rPr>
          <w:rFonts w:ascii="Times New Roman" w:hAnsi="Times New Roman"/>
        </w:rPr>
        <w:t>,</w:t>
      </w:r>
      <w:r w:rsidRPr="00C93212" w:rsidR="005477FF">
        <w:rPr>
          <w:rFonts w:ascii="Times New Roman" w:hAnsi="Times New Roman"/>
        </w:rPr>
        <w:t xml:space="preserve"> </w:t>
      </w:r>
      <w:r w:rsidR="00101E2F">
        <w:rPr>
          <w:rFonts w:ascii="Times New Roman" w:hAnsi="Times New Roman"/>
        </w:rPr>
        <w:t xml:space="preserve">ktorého hodnota je viac ako 10 000 eur </w:t>
      </w:r>
      <w:r w:rsidRPr="00C93212" w:rsidR="005477FF">
        <w:rPr>
          <w:rFonts w:ascii="Times New Roman" w:hAnsi="Times New Roman"/>
        </w:rPr>
        <w:t>a úveru na bývanie, ako aj obdobie, počas ktorého sa táto odmena má vyplácať. Cieľom úpravy je zaviesť jasné a prehľadné pravidlá odmeňovania, čo sa má dosiahnuť medzi iným, aj poskytovaním informačnej tabuľky obsahujúcej poskytovateľa spotrebiteľského úveru, resp. úveru na bývanie, ako aj výšku odmeny finančného agenta.</w:t>
      </w:r>
      <w:r w:rsidRPr="00C93212" w:rsidR="005477FF">
        <w:rPr>
          <w:rFonts w:ascii="Times New Roman" w:hAnsi="Times New Roman"/>
          <w:color w:val="000000"/>
        </w:rPr>
        <w:tab/>
      </w:r>
      <w:r w:rsidRPr="00C93212">
        <w:rPr>
          <w:rFonts w:ascii="Times New Roman" w:hAnsi="Times New Roman"/>
          <w:color w:val="000000"/>
        </w:rPr>
        <w:tab/>
      </w:r>
    </w:p>
    <w:p w:rsidR="00EC4924" w:rsidRPr="00C93212" w:rsidP="00EC4924">
      <w:pPr>
        <w:pStyle w:val="BodyText"/>
        <w:bidi w:val="0"/>
        <w:jc w:val="both"/>
        <w:rPr>
          <w:rFonts w:ascii="Times New Roman" w:hAnsi="Times New Roman"/>
        </w:rPr>
      </w:pPr>
    </w:p>
    <w:p w:rsidR="002A5916" w:rsidRPr="00C93212" w:rsidP="00BB5AD9">
      <w:pPr>
        <w:tabs>
          <w:tab w:val="left" w:pos="720"/>
        </w:tabs>
        <w:bidi w:val="0"/>
        <w:jc w:val="both"/>
        <w:rPr>
          <w:rFonts w:ascii="Times New Roman" w:hAnsi="Times New Roman"/>
        </w:rPr>
      </w:pPr>
      <w:r w:rsidRPr="00C93212" w:rsidR="00280B9B">
        <w:rPr>
          <w:rFonts w:ascii="Times New Roman" w:hAnsi="Times New Roman"/>
        </w:rPr>
        <w:tab/>
      </w:r>
      <w:r w:rsidRPr="00C93212">
        <w:rPr>
          <w:rFonts w:ascii="Times New Roman" w:hAnsi="Times New Roman"/>
        </w:rPr>
        <w:t>Predložený návrh zákona je v súlade s Ústavou Slovenskej republiky, ústavnými zákonmi, nálezmi ústavného súdu, inými zákonmi a ostatnými všeobecne záväznými právnymi predpismi Slovenskej republiky, s právom Európskej únie a s medzinárodnými zmluvami, ktorými je Slovenská republika viazaná.</w:t>
      </w:r>
      <w:r w:rsidRPr="00C93212" w:rsidR="00482F4B">
        <w:rPr>
          <w:rFonts w:ascii="Times New Roman" w:hAnsi="Times New Roman"/>
        </w:rPr>
        <w:t xml:space="preserve"> Návrh zákona nie je predmetom vnútrokomunitárneho pripomienkového konania.</w:t>
      </w:r>
      <w:r w:rsidRPr="00C93212" w:rsidR="00811032">
        <w:rPr>
          <w:rFonts w:ascii="Times New Roman" w:hAnsi="Times New Roman"/>
        </w:rPr>
        <w:t xml:space="preserve"> </w:t>
      </w:r>
    </w:p>
    <w:p w:rsidR="00700928" w:rsidRPr="00C93212" w:rsidP="00BB5AD9">
      <w:pPr>
        <w:tabs>
          <w:tab w:val="left" w:pos="720"/>
        </w:tabs>
        <w:bidi w:val="0"/>
        <w:jc w:val="both"/>
        <w:rPr>
          <w:rFonts w:ascii="Times New Roman" w:hAnsi="Times New Roman"/>
        </w:rPr>
      </w:pPr>
    </w:p>
    <w:p w:rsidR="00F636BB" w:rsidP="00F636BB">
      <w:pPr>
        <w:bidi w:val="0"/>
        <w:ind w:firstLine="567"/>
        <w:jc w:val="both"/>
        <w:rPr>
          <w:rFonts w:ascii="Times New Roman" w:hAnsi="Times New Roman"/>
        </w:rPr>
      </w:pPr>
      <w:r w:rsidRPr="00C93212" w:rsidR="002A5916">
        <w:rPr>
          <w:rFonts w:ascii="Times New Roman" w:hAnsi="Times New Roman"/>
        </w:rPr>
        <w:tab/>
      </w:r>
      <w:r w:rsidRPr="00C93212" w:rsidR="00700928">
        <w:rPr>
          <w:rFonts w:ascii="Times New Roman" w:hAnsi="Times New Roman"/>
        </w:rPr>
        <w:t xml:space="preserve">Prijatie navrhovaného zákona nepredpokladá žiadne vplyvy </w:t>
      </w:r>
      <w:r w:rsidRPr="00C93212" w:rsidR="004E7AC3">
        <w:rPr>
          <w:rFonts w:ascii="Times New Roman" w:hAnsi="Times New Roman"/>
        </w:rPr>
        <w:t xml:space="preserve">na rozpočet verejnej správy, </w:t>
      </w:r>
      <w:r w:rsidRPr="00C93212" w:rsidR="00700928">
        <w:rPr>
          <w:rFonts w:ascii="Times New Roman" w:hAnsi="Times New Roman"/>
        </w:rPr>
        <w:t xml:space="preserve">na životné prostredie, na informatizáciu spoločnosti, vplyvy na služby verejnej správy pre občana, z toho vplyvy služieb verejnej správy na občana a vplyvy na procesy služieb vo verejnej správe. Predpokladajú sa pozitívne sociálne vplyvy a pozitívno-negatívne vplyvy na podnikateľské prostredie. Účinnosť zákona sa navrhuje od </w:t>
      </w:r>
      <w:r>
        <w:rPr>
          <w:rFonts w:ascii="Times New Roman" w:hAnsi="Times New Roman"/>
        </w:rPr>
        <w:t>1. novembra 2018, okrem čl. I a</w:t>
      </w:r>
      <w:r w:rsidR="004C2382">
        <w:rPr>
          <w:rFonts w:ascii="Times New Roman" w:hAnsi="Times New Roman"/>
        </w:rPr>
        <w:t xml:space="preserve"> čl. </w:t>
      </w:r>
      <w:r>
        <w:rPr>
          <w:rFonts w:ascii="Times New Roman" w:hAnsi="Times New Roman"/>
        </w:rPr>
        <w:t>III až V, ktoré nadobúdajú účinnosť 1. júla 2019.</w:t>
      </w:r>
    </w:p>
    <w:p w:rsidR="008E4AE5" w:rsidP="00F636BB">
      <w:pPr>
        <w:bidi w:val="0"/>
        <w:jc w:val="both"/>
        <w:rPr>
          <w:rFonts w:ascii="Times New Roman" w:hAnsi="Times New Roman"/>
        </w:rPr>
      </w:pPr>
    </w:p>
    <w:p w:rsidR="007F2FDF" w:rsidP="007F2FDF">
      <w:pPr>
        <w:tabs>
          <w:tab w:val="left" w:pos="720"/>
        </w:tabs>
        <w:bidi w:val="0"/>
        <w:jc w:val="both"/>
        <w:rPr>
          <w:rFonts w:ascii="Times New Roman" w:hAnsi="Times New Roman"/>
          <w:b/>
        </w:rPr>
      </w:pPr>
      <w:r w:rsidR="00CD347B">
        <w:rPr>
          <w:rFonts w:ascii="Times New Roman" w:hAnsi="Times New Roman"/>
        </w:rPr>
        <w:tab/>
      </w:r>
      <w:r>
        <w:rPr>
          <w:rFonts w:ascii="Times New Roman" w:hAnsi="Times New Roman"/>
        </w:rPr>
        <w:t xml:space="preserve">Návrh zákona bol schválený vládou Slovenskej republiky dňa </w:t>
      </w:r>
      <w:r w:rsidR="00B26415">
        <w:rPr>
          <w:rFonts w:ascii="Times New Roman" w:hAnsi="Times New Roman"/>
        </w:rPr>
        <w:t>20</w:t>
      </w:r>
      <w:r>
        <w:rPr>
          <w:rFonts w:ascii="Times New Roman" w:hAnsi="Times New Roman"/>
        </w:rPr>
        <w:t>. apríla 2018.</w:t>
      </w:r>
    </w:p>
    <w:p w:rsidR="007F2FDF" w:rsidP="007F2FDF">
      <w:pPr>
        <w:bidi w:val="0"/>
        <w:ind w:firstLine="708"/>
        <w:jc w:val="both"/>
        <w:rPr>
          <w:rFonts w:ascii="Times New Roman" w:hAnsi="Times New Roman"/>
        </w:rPr>
      </w:pPr>
    </w:p>
    <w:p w:rsidR="007F2FDF" w:rsidP="007F2FDF">
      <w:pPr>
        <w:bidi w:val="0"/>
        <w:ind w:firstLine="708"/>
        <w:jc w:val="both"/>
        <w:rPr>
          <w:rFonts w:ascii="Times New Roman" w:hAnsi="Times New Roman"/>
        </w:rPr>
      </w:pPr>
    </w:p>
    <w:p w:rsidR="007F2FDF" w:rsidP="007F2FDF">
      <w:pPr>
        <w:tabs>
          <w:tab w:val="left" w:pos="720"/>
        </w:tabs>
        <w:bidi w:val="0"/>
        <w:jc w:val="both"/>
        <w:rPr>
          <w:rFonts w:ascii="Times New Roman" w:hAnsi="Times New Roman"/>
        </w:rPr>
      </w:pPr>
      <w:r>
        <w:rPr>
          <w:rFonts w:ascii="Times New Roman" w:hAnsi="Times New Roman"/>
        </w:rPr>
        <w:t xml:space="preserve">               </w:t>
      </w:r>
    </w:p>
    <w:p w:rsidR="00CD347B" w:rsidP="00CD347B">
      <w:pPr>
        <w:tabs>
          <w:tab w:val="left" w:pos="720"/>
        </w:tabs>
        <w:bidi w:val="0"/>
        <w:jc w:val="both"/>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124802" w:rsidP="00124802">
      <w:pPr>
        <w:pStyle w:val="Quote"/>
        <w:bidi w:val="0"/>
        <w:rPr>
          <w:rFonts w:ascii="Times New Roman" w:hAnsi="Times New Roman"/>
        </w:rPr>
      </w:pPr>
    </w:p>
    <w:p w:rsidR="007867F1" w:rsidP="00124802">
      <w:pPr>
        <w:pStyle w:val="Quote"/>
        <w:bidi w:val="0"/>
        <w:rPr>
          <w:rFonts w:ascii="Times New Roman" w:hAnsi="Times New Roman"/>
        </w:rPr>
      </w:pPr>
    </w:p>
    <w:p w:rsidR="007867F1" w:rsidP="00124802">
      <w:pPr>
        <w:pStyle w:val="Quote"/>
        <w:bidi w:val="0"/>
        <w:rPr>
          <w:rFonts w:ascii="Times New Roman" w:hAnsi="Times New Roman"/>
        </w:rPr>
      </w:pPr>
    </w:p>
    <w:p w:rsidR="007867F1" w:rsidP="00124802">
      <w:pPr>
        <w:pStyle w:val="Quote"/>
        <w:bidi w:val="0"/>
        <w:rPr>
          <w:rFonts w:ascii="Times New Roman" w:hAnsi="Times New Roman"/>
        </w:rPr>
      </w:pPr>
    </w:p>
    <w:p w:rsidR="00124802" w:rsidRPr="00A179AE" w:rsidP="00124802">
      <w:pPr>
        <w:pStyle w:val="Quote"/>
        <w:bidi w:val="0"/>
        <w:rPr>
          <w:rFonts w:ascii="Times New Roman" w:hAnsi="Times New Roman"/>
        </w:rPr>
      </w:pPr>
      <w:r>
        <w:rPr>
          <w:rFonts w:ascii="Times New Roman" w:hAnsi="Times New Roman"/>
        </w:rPr>
        <w:t>Doložka vybraných vplyvov</w:t>
      </w:r>
    </w:p>
    <w:p w:rsidR="00124802" w:rsidRPr="004D262D" w:rsidP="00124802">
      <w:pPr>
        <w:pStyle w:val="ListParagraph"/>
        <w:bidi w:val="0"/>
        <w:ind w:left="426"/>
        <w:rPr>
          <w:rFonts w:ascii="Times New Roman" w:hAnsi="Times New Roman" w:cs="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3D6C0C">
            <w:pPr>
              <w:pStyle w:val="ListParagraph"/>
              <w:bidi w:val="0"/>
              <w:ind w:left="142"/>
              <w:rPr>
                <w:rFonts w:ascii="Times New Roman" w:hAnsi="Times New Roman" w:cs="Times New Roman"/>
                <w:b/>
                <w:sz w:val="22"/>
              </w:rPr>
            </w:pPr>
            <w:r w:rsidRPr="004D262D">
              <w:rPr>
                <w:rFonts w:ascii="Times New Roman" w:hAnsi="Times New Roman" w:cs="Times New Roman"/>
                <w:b/>
                <w:sz w:val="22"/>
              </w:rPr>
              <w:t>Názov materiálu</w:t>
            </w:r>
          </w:p>
          <w:p w:rsidR="004D262D" w:rsidP="003D6C0C">
            <w:pPr>
              <w:pStyle w:val="ListParagraph"/>
              <w:bidi w:val="0"/>
              <w:ind w:left="142"/>
              <w:rPr>
                <w:rFonts w:ascii="Times New Roman" w:hAnsi="Times New Roman" w:cs="Times New Roman"/>
                <w:b/>
                <w:sz w:val="20"/>
                <w:szCs w:val="20"/>
              </w:rPr>
            </w:pPr>
          </w:p>
          <w:p w:rsidR="00124802" w:rsidRPr="004D262D" w:rsidP="003D6C0C">
            <w:pPr>
              <w:pStyle w:val="ListParagraph"/>
              <w:bidi w:val="0"/>
              <w:ind w:left="142"/>
              <w:rPr>
                <w:rFonts w:ascii="Times New Roman" w:hAnsi="Times New Roman" w:cs="Times New Roman"/>
                <w:b/>
                <w:sz w:val="20"/>
                <w:szCs w:val="20"/>
              </w:rPr>
            </w:pPr>
            <w:r w:rsidRPr="004D262D">
              <w:rPr>
                <w:rFonts w:ascii="Times New Roman" w:hAnsi="Times New Roman" w:cs="Times New Roman"/>
                <w:b/>
                <w:sz w:val="20"/>
                <w:szCs w:val="20"/>
              </w:rPr>
              <w:t xml:space="preserve">Návrh zákona, ktorým sa mení a dopĺňa zákon č. 39/2015 Z. z. o poisťovníctve a o zmene a doplnení niektorých zákonov v znení neskorších predpisov a ktorým sa menia a dopĺňajú niektoré zákony </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124802" w:rsidRPr="004D262D" w:rsidP="004D262D">
            <w:pPr>
              <w:pStyle w:val="Quote"/>
              <w:bidi w:val="0"/>
              <w:ind w:left="0"/>
              <w:jc w:val="left"/>
              <w:rPr>
                <w:rFonts w:ascii="Times New Roman" w:hAnsi="Times New Roman"/>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3D6C0C">
            <w:pPr>
              <w:pStyle w:val="ListParagraph"/>
              <w:bidi w:val="0"/>
              <w:ind w:left="142"/>
              <w:rPr>
                <w:rFonts w:ascii="Times New Roman" w:hAnsi="Times New Roman" w:cs="Times New Roman"/>
                <w:b/>
                <w:sz w:val="22"/>
              </w:rPr>
            </w:pPr>
            <w:r w:rsidRPr="004D262D">
              <w:rPr>
                <w:rFonts w:ascii="Times New Roman" w:hAnsi="Times New Roman" w:cs="Times New Roman"/>
                <w:b/>
                <w:sz w:val="22"/>
              </w:rPr>
              <w:t>Predkladateľ (a spolupredkladateľ)</w:t>
            </w:r>
          </w:p>
          <w:p w:rsidR="00124802" w:rsidRPr="004D262D" w:rsidP="003D6C0C">
            <w:pPr>
              <w:pStyle w:val="ListParagraph"/>
              <w:bidi w:val="0"/>
              <w:ind w:left="142"/>
              <w:rPr>
                <w:rFonts w:ascii="Times New Roman" w:hAnsi="Times New Roman" w:cs="Times New Roman"/>
                <w:b/>
                <w:sz w:val="20"/>
                <w:szCs w:val="20"/>
              </w:rPr>
            </w:pPr>
            <w:r w:rsidRPr="004D262D">
              <w:rPr>
                <w:rFonts w:ascii="Times New Roman" w:hAnsi="Times New Roman" w:cs="Times New Roman"/>
                <w:b/>
                <w:sz w:val="20"/>
                <w:szCs w:val="20"/>
              </w:rPr>
              <w:t>Ministerstvo financií SR</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sz w:val="22"/>
                <w:szCs w:val="22"/>
                <w:lang w:eastAsia="en-US"/>
              </w:rPr>
            </w:pPr>
          </w:p>
          <w:p w:rsidR="00124802" w:rsidRPr="004D262D" w:rsidP="003D6C0C">
            <w:pPr>
              <w:bidi w:val="0"/>
              <w:rPr>
                <w:rFonts w:ascii="Times New Roman" w:hAnsi="Times New Roman"/>
                <w:sz w:val="22"/>
                <w:szCs w:val="22"/>
                <w:lang w:eastAsia="en-US"/>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124802" w:rsidRPr="004D262D" w:rsidP="003D6C0C">
            <w:pPr>
              <w:pStyle w:val="ListParagraph"/>
              <w:bidi w:val="0"/>
              <w:ind w:left="142"/>
              <w:rPr>
                <w:rFonts w:ascii="Times New Roman" w:hAnsi="Times New Roman" w:cs="Times New Roman"/>
                <w:b/>
                <w:sz w:val="22"/>
              </w:rPr>
            </w:pPr>
            <w:r w:rsidRPr="004D262D">
              <w:rPr>
                <w:rFonts w:ascii="Times New Roman" w:hAnsi="Times New Roman" w:cs="Times New Roman"/>
                <w:b/>
                <w:sz w:val="22"/>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Gothic"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124802" w:rsidRPr="004D262D" w:rsidP="003D6C0C">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Gothic"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124802" w:rsidRPr="004D262D" w:rsidP="003D6C0C">
            <w:pPr>
              <w:bidi w:val="0"/>
              <w:ind w:left="175" w:hanging="175"/>
              <w:rPr>
                <w:rFonts w:ascii="Times New Roman" w:hAnsi="Times New Roman"/>
                <w:sz w:val="22"/>
                <w:szCs w:val="22"/>
                <w:lang w:eastAsia="en-US"/>
              </w:rPr>
            </w:pPr>
            <w:r w:rsidRPr="004D262D">
              <w:rPr>
                <w:rFonts w:ascii="Times New Roman" w:hAnsi="Times New Roman"/>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124802" w:rsidRPr="004D262D" w:rsidP="003D6C0C">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Mincho"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124802" w:rsidRPr="004D262D" w:rsidP="003D6C0C">
            <w:pPr>
              <w:bidi w:val="0"/>
              <w:rPr>
                <w:rFonts w:ascii="Times New Roman" w:hAnsi="Times New Roman"/>
                <w:i/>
                <w:sz w:val="22"/>
                <w:szCs w:val="22"/>
                <w:lang w:eastAsia="en-US"/>
              </w:rPr>
            </w:pPr>
            <w:r w:rsidRPr="004D262D">
              <w:rPr>
                <w:rFonts w:ascii="Times New Roman" w:hAnsi="Times New Roman"/>
                <w:i/>
                <w:sz w:val="22"/>
                <w:szCs w:val="22"/>
                <w:lang w:eastAsia="en-US"/>
              </w:rPr>
              <w:t>V prípade transpozície uveďte zoznam transponovaných predpisov:</w:t>
            </w:r>
          </w:p>
          <w:p w:rsidR="00124802" w:rsidRPr="004D262D" w:rsidP="003D6C0C">
            <w:pPr>
              <w:bidi w:val="0"/>
              <w:rPr>
                <w:rFonts w:ascii="Times New Roman" w:hAnsi="Times New Roman"/>
                <w:sz w:val="22"/>
                <w:szCs w:val="22"/>
                <w:lang w:eastAsia="en-US"/>
              </w:rPr>
            </w:pPr>
          </w:p>
          <w:p w:rsidR="00124802" w:rsidRPr="004D262D" w:rsidP="003D6C0C">
            <w:pPr>
              <w:bidi w:val="0"/>
              <w:rPr>
                <w:rFonts w:ascii="Times New Roman" w:hAnsi="Times New Roman"/>
                <w:sz w:val="22"/>
                <w:szCs w:val="22"/>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124802" w:rsidRPr="004D262D" w:rsidP="003D6C0C">
            <w:pPr>
              <w:pStyle w:val="ListParagraph"/>
              <w:bidi w:val="0"/>
              <w:ind w:left="142"/>
              <w:rPr>
                <w:rFonts w:ascii="Times New Roman" w:hAnsi="Times New Roman" w:cs="Times New Roman"/>
                <w:b/>
                <w:sz w:val="22"/>
              </w:rPr>
            </w:pPr>
            <w:r w:rsidRPr="004D262D">
              <w:rPr>
                <w:rFonts w:ascii="Times New Roman" w:hAnsi="Times New Roman" w:cs="Times New Roman"/>
                <w:b/>
                <w:sz w:val="22"/>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27. februára 2018 – 13. marca 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3D6C0C">
            <w:pPr>
              <w:pStyle w:val="ListParagraph"/>
              <w:bidi w:val="0"/>
              <w:ind w:left="142"/>
              <w:rPr>
                <w:rFonts w:ascii="Times New Roman" w:hAnsi="Times New Roman" w:cs="Times New Roman"/>
                <w:b/>
                <w:sz w:val="22"/>
              </w:rPr>
            </w:pPr>
            <w:r w:rsidRPr="004D262D">
              <w:rPr>
                <w:rFonts w:ascii="Times New Roman" w:hAnsi="Times New Roman" w:cs="Times New Roman"/>
                <w:b/>
                <w:sz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marec 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3D6C0C">
            <w:pPr>
              <w:pStyle w:val="ListParagraph"/>
              <w:bidi w:val="0"/>
              <w:ind w:left="142"/>
              <w:rPr>
                <w:rFonts w:ascii="Times New Roman" w:hAnsi="Times New Roman" w:cs="Times New Roman"/>
                <w:b/>
                <w:sz w:val="22"/>
              </w:rPr>
            </w:pPr>
            <w:r w:rsidRPr="004D262D">
              <w:rPr>
                <w:rFonts w:ascii="Times New Roman" w:hAnsi="Times New Roman" w:cs="Times New Roman"/>
                <w:b/>
                <w:sz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apríl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124802" w:rsidRPr="004D262D" w:rsidP="003D6C0C">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jc w:val="both"/>
              <w:rPr>
                <w:rFonts w:ascii="Times New Roman" w:hAnsi="Times New Roman"/>
                <w:sz w:val="20"/>
                <w:szCs w:val="20"/>
                <w:lang w:eastAsia="en-US"/>
              </w:rPr>
            </w:pPr>
            <w:r w:rsidRPr="004D262D">
              <w:rPr>
                <w:rFonts w:ascii="Times New Roman" w:hAnsi="Times New Roman"/>
                <w:sz w:val="20"/>
                <w:szCs w:val="20"/>
                <w:lang w:eastAsia="en-US"/>
              </w:rPr>
              <w:t>Súčasná právna úprava všeobecne nedostatočne upravuje  reguláciu odmien finančných sprostredkovateľov spojených s distribúciou finančných služieb.</w:t>
            </w:r>
          </w:p>
          <w:p w:rsidR="00124802" w:rsidRPr="004D262D" w:rsidP="003D6C0C">
            <w:pPr>
              <w:pStyle w:val="Default"/>
              <w:bidi w:val="0"/>
              <w:jc w:val="both"/>
              <w:rPr>
                <w:rFonts w:ascii="Times New Roman" w:hAnsi="Times New Roman"/>
                <w:b/>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24802" w:rsidRPr="004D262D" w:rsidP="003D6C0C">
            <w:pPr>
              <w:pStyle w:val="BodyText"/>
              <w:bidi w:val="0"/>
              <w:jc w:val="both"/>
              <w:rPr>
                <w:rFonts w:ascii="Times New Roman" w:hAnsi="Times New Roman"/>
                <w:sz w:val="20"/>
                <w:szCs w:val="20"/>
                <w:lang w:eastAsia="en-US"/>
              </w:rPr>
            </w:pPr>
            <w:r w:rsidRPr="004D262D">
              <w:rPr>
                <w:rFonts w:ascii="Times New Roman" w:hAnsi="Times New Roman"/>
                <w:sz w:val="20"/>
                <w:szCs w:val="20"/>
                <w:lang w:eastAsia="en-US"/>
              </w:rPr>
              <w:t xml:space="preserve">Cieľom navrhovaného zákona je </w:t>
            </w:r>
          </w:p>
          <w:p w:rsidR="00124802" w:rsidRPr="004D262D" w:rsidP="003D6C0C">
            <w:pPr>
              <w:pStyle w:val="BodyText"/>
              <w:bidi w:val="0"/>
              <w:jc w:val="both"/>
              <w:rPr>
                <w:rFonts w:ascii="Times New Roman" w:hAnsi="Times New Roman"/>
                <w:sz w:val="20"/>
                <w:szCs w:val="20"/>
                <w:lang w:eastAsia="en-US"/>
              </w:rPr>
            </w:pPr>
          </w:p>
          <w:p w:rsidR="00124802" w:rsidRPr="004D262D" w:rsidP="00124802">
            <w:pPr>
              <w:pStyle w:val="BodyText"/>
              <w:numPr>
                <w:numId w:val="4"/>
              </w:numPr>
              <w:bidi w:val="0"/>
              <w:ind w:left="0"/>
              <w:jc w:val="both"/>
              <w:rPr>
                <w:rFonts w:ascii="Times New Roman" w:hAnsi="Times New Roman"/>
                <w:color w:val="auto"/>
                <w:sz w:val="20"/>
                <w:szCs w:val="20"/>
                <w:lang w:eastAsia="en-US"/>
              </w:rPr>
            </w:pPr>
            <w:r w:rsidRPr="004D262D">
              <w:rPr>
                <w:rFonts w:ascii="Times New Roman" w:hAnsi="Times New Roman"/>
                <w:color w:val="2F2F2F"/>
                <w:sz w:val="20"/>
                <w:szCs w:val="20"/>
                <w:lang w:eastAsia="en-US"/>
              </w:rPr>
              <w:t xml:space="preserve">        </w:t>
            </w:r>
            <w:r w:rsidRPr="004D262D">
              <w:rPr>
                <w:rFonts w:ascii="Times New Roman" w:hAnsi="Times New Roman"/>
                <w:color w:val="auto"/>
                <w:sz w:val="20"/>
                <w:szCs w:val="20"/>
                <w:lang w:eastAsia="en-US"/>
              </w:rPr>
              <w:t>-      zvýšenie transparentnosti a prehľadnosti nákladov spojených s distribúciou finančných produktov,</w:t>
            </w:r>
          </w:p>
          <w:p w:rsidR="00124802" w:rsidRPr="004D262D" w:rsidP="00124802">
            <w:pPr>
              <w:pStyle w:val="ListParagraph"/>
              <w:numPr>
                <w:numId w:val="4"/>
              </w:numPr>
              <w:suppressAutoHyphens w:val="0"/>
              <w:bidi w:val="0"/>
              <w:spacing w:before="100" w:beforeAutospacing="1" w:after="100" w:afterAutospacing="1"/>
              <w:contextualSpacing/>
              <w:jc w:val="both"/>
              <w:rPr>
                <w:rFonts w:ascii="Times New Roman" w:hAnsi="Times New Roman" w:cs="Times New Roman"/>
                <w:sz w:val="20"/>
                <w:szCs w:val="20"/>
                <w:lang w:eastAsia="sk-SK"/>
              </w:rPr>
            </w:pPr>
            <w:r w:rsidRPr="004D262D">
              <w:rPr>
                <w:rFonts w:ascii="Times New Roman" w:hAnsi="Times New Roman" w:cs="Times New Roman"/>
                <w:sz w:val="20"/>
                <w:szCs w:val="20"/>
              </w:rPr>
              <w:t>regulácia odmien finančných sprostredkovateľov spojených s distribúciou finančných služieb,</w:t>
            </w:r>
          </w:p>
          <w:p w:rsidR="00124802" w:rsidRPr="004D262D" w:rsidP="00124802">
            <w:pPr>
              <w:pStyle w:val="ListParagraph"/>
              <w:numPr>
                <w:numId w:val="4"/>
              </w:numPr>
              <w:suppressAutoHyphens w:val="0"/>
              <w:bidi w:val="0"/>
              <w:spacing w:before="100" w:beforeAutospacing="1" w:after="100" w:afterAutospacing="1"/>
              <w:contextualSpacing/>
              <w:jc w:val="both"/>
              <w:rPr>
                <w:rFonts w:ascii="Times New Roman" w:hAnsi="Times New Roman" w:cs="Times New Roman"/>
                <w:sz w:val="20"/>
                <w:szCs w:val="20"/>
                <w:lang w:eastAsia="sk-SK"/>
              </w:rPr>
            </w:pPr>
            <w:r w:rsidRPr="004D262D">
              <w:rPr>
                <w:rFonts w:ascii="Times New Roman" w:hAnsi="Times New Roman" w:cs="Times New Roman"/>
                <w:sz w:val="20"/>
                <w:szCs w:val="20"/>
              </w:rPr>
              <w:t>regulácia stanovenia odkupnej hodnoty v životnom poistení.</w:t>
            </w:r>
          </w:p>
          <w:p w:rsidR="00124802" w:rsidRPr="004D262D" w:rsidP="003D6C0C">
            <w:pPr>
              <w:pStyle w:val="ListParagraph"/>
              <w:bidi w:val="0"/>
              <w:spacing w:before="100" w:beforeAutospacing="1" w:after="100" w:afterAutospacing="1"/>
              <w:ind w:left="786"/>
              <w:jc w:val="both"/>
              <w:rPr>
                <w:rFonts w:ascii="Times New Roman" w:hAnsi="Times New Roman" w:cs="Times New Roman"/>
                <w:sz w:val="20"/>
                <w:szCs w:val="20"/>
                <w:lang w:eastAsia="sk-SK"/>
              </w:rPr>
            </w:pPr>
          </w:p>
          <w:p w:rsidR="00124802" w:rsidRPr="004D262D" w:rsidP="003D6C0C">
            <w:pPr>
              <w:pStyle w:val="BodyText"/>
              <w:bidi w:val="0"/>
              <w:jc w:val="both"/>
              <w:rPr>
                <w:rFonts w:ascii="Times New Roman" w:hAnsi="Times New Roman"/>
                <w:color w:val="auto"/>
                <w:sz w:val="20"/>
                <w:szCs w:val="20"/>
                <w:lang w:eastAsia="en-US"/>
              </w:rPr>
            </w:pPr>
          </w:p>
          <w:p w:rsidR="00124802" w:rsidRPr="004D262D" w:rsidP="003D6C0C">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124802" w:rsidRPr="004D262D" w:rsidP="003D6C0C">
            <w:pPr>
              <w:pStyle w:val="ListParagraph"/>
              <w:bidi w:val="0"/>
              <w:ind w:left="426"/>
              <w:rPr>
                <w:rFonts w:ascii="Times New Roman" w:hAnsi="Times New Roman" w:cs="Times New Roman"/>
                <w:b/>
                <w:sz w:val="20"/>
                <w:szCs w:val="20"/>
              </w:rPr>
            </w:pP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Alternatívne riešenia neboli zvažované</w:t>
            </w:r>
          </w:p>
          <w:p w:rsidR="00124802" w:rsidRPr="004D262D" w:rsidP="003D6C0C">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124802" w:rsidRPr="004D262D" w:rsidP="003D6C0C">
            <w:pPr>
              <w:bidi w:val="0"/>
              <w:rPr>
                <w:rFonts w:ascii="Times New Roman" w:hAnsi="Times New Roman"/>
                <w:i/>
                <w:sz w:val="22"/>
                <w:szCs w:val="22"/>
                <w:lang w:eastAsia="en-US"/>
              </w:rPr>
            </w:pPr>
            <w:r w:rsidRPr="004D262D">
              <w:rPr>
                <w:rFonts w:ascii="Times New Roman" w:hAnsi="Times New Roman"/>
                <w:i/>
                <w:sz w:val="22"/>
                <w:szCs w:val="22"/>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Gothic" w:hAnsi="Segoe UI Symbol" w:cs="Segoe UI Symbol" w:hint="default"/>
                <w:sz w:val="22"/>
                <w:szCs w:val="22"/>
                <w:lang w:eastAsia="en-US"/>
              </w:rPr>
              <w:t>☐</w:t>
            </w:r>
            <w:r w:rsidRPr="004D262D">
              <w:rPr>
                <w:rFonts w:ascii="Times New Roman" w:hAnsi="Times New Roman"/>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Gothic" w:hAnsi="Segoe UI Symbol" w:cs="Segoe UI Symbol" w:hint="default"/>
                <w:sz w:val="22"/>
                <w:szCs w:val="22"/>
                <w:lang w:eastAsia="en-US"/>
              </w:rPr>
              <w:t>☒</w:t>
            </w:r>
            <w:r w:rsidRPr="004D262D">
              <w:rPr>
                <w:rFonts w:ascii="Times New Roman" w:hAnsi="Times New Roman"/>
                <w:sz w:val="22"/>
                <w:szCs w:val="22"/>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i/>
                <w:sz w:val="22"/>
                <w:szCs w:val="22"/>
                <w:lang w:eastAsia="en-US"/>
              </w:rPr>
            </w:pPr>
            <w:r w:rsidRPr="004D262D">
              <w:rPr>
                <w:rFonts w:ascii="Times New Roman" w:hAnsi="Times New Roman"/>
                <w:i/>
                <w:sz w:val="22"/>
                <w:szCs w:val="22"/>
                <w:lang w:eastAsia="en-US"/>
              </w:rPr>
              <w:t>Ak áno, uveďte ktoré oblasti budú nimi upravené, resp. ktorých vykonávacích predpisov sa zmena dotkne:</w:t>
            </w:r>
          </w:p>
          <w:p w:rsidR="00124802" w:rsidRPr="004D262D" w:rsidP="003D6C0C">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Nie</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124802" w:rsidRPr="004D262D" w:rsidP="003D6C0C">
            <w:pPr>
              <w:bidi w:val="0"/>
              <w:jc w:val="center"/>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i/>
                <w:sz w:val="22"/>
                <w:szCs w:val="22"/>
                <w:lang w:eastAsia="en-US"/>
              </w:rPr>
            </w:pPr>
            <w:r w:rsidRPr="004D262D">
              <w:rPr>
                <w:rFonts w:ascii="Times New Roman" w:hAnsi="Times New Roman"/>
                <w:i/>
                <w:sz w:val="22"/>
                <w:szCs w:val="22"/>
                <w:lang w:eastAsia="en-US"/>
              </w:rPr>
              <w:t>Uveďte termín, kedy by malo dôjsť k preskúmaniu účinnosti a účelnosti navrhovaného predpisu.</w:t>
            </w:r>
          </w:p>
          <w:p w:rsidR="00124802" w:rsidRPr="004D262D" w:rsidP="003D6C0C">
            <w:pPr>
              <w:bidi w:val="0"/>
              <w:rPr>
                <w:rFonts w:ascii="Times New Roman" w:hAnsi="Times New Roman"/>
                <w:i/>
                <w:sz w:val="22"/>
                <w:szCs w:val="22"/>
                <w:lang w:eastAsia="en-US"/>
              </w:rPr>
            </w:pPr>
            <w:r w:rsidRPr="004D262D">
              <w:rPr>
                <w:rFonts w:ascii="Times New Roman" w:hAnsi="Times New Roman"/>
                <w:i/>
                <w:sz w:val="22"/>
                <w:szCs w:val="22"/>
                <w:lang w:eastAsia="en-US"/>
              </w:rPr>
              <w:t>Uveďte kritériá, na základe ktorých bude preskúmanie vykonané.</w:t>
            </w:r>
          </w:p>
          <w:p w:rsidR="00124802" w:rsidRPr="004D262D" w:rsidP="003D6C0C">
            <w:pPr>
              <w:bidi w:val="0"/>
              <w:rPr>
                <w:rFonts w:ascii="Times New Roman" w:hAnsi="Times New Roman"/>
                <w:i/>
                <w:sz w:val="22"/>
                <w:szCs w:val="22"/>
                <w:lang w:eastAsia="en-US"/>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124802" w:rsidRPr="004D262D" w:rsidP="003D6C0C">
            <w:pPr>
              <w:bidi w:val="0"/>
              <w:ind w:left="142" w:hanging="142"/>
              <w:rPr>
                <w:rFonts w:ascii="Times New Roman" w:hAnsi="Times New Roman"/>
                <w:sz w:val="22"/>
                <w:szCs w:val="22"/>
                <w:lang w:eastAsia="en-US"/>
              </w:rPr>
            </w:pPr>
          </w:p>
          <w:p w:rsidR="00124802" w:rsidRPr="004D262D" w:rsidP="003D6C0C">
            <w:pPr>
              <w:bidi w:val="0"/>
              <w:ind w:left="142" w:hanging="142"/>
              <w:rPr>
                <w:rFonts w:ascii="Times New Roman" w:hAnsi="Times New Roman"/>
                <w:sz w:val="22"/>
                <w:szCs w:val="22"/>
                <w:lang w:eastAsia="en-US"/>
              </w:rPr>
            </w:pPr>
          </w:p>
          <w:p w:rsidR="00124802" w:rsidRPr="004D262D" w:rsidP="003D6C0C">
            <w:pPr>
              <w:bidi w:val="0"/>
              <w:ind w:left="142" w:hanging="142"/>
              <w:rPr>
                <w:rFonts w:ascii="Times New Roman" w:hAnsi="Times New Roman"/>
                <w:sz w:val="22"/>
                <w:szCs w:val="22"/>
                <w:lang w:eastAsia="en-US"/>
              </w:rPr>
            </w:pPr>
            <w:r w:rsidRPr="004D262D">
              <w:rPr>
                <w:rFonts w:ascii="Times New Roman" w:hAnsi="Times New Roman"/>
                <w:sz w:val="22"/>
                <w:szCs w:val="22"/>
                <w:lang w:eastAsia="en-US"/>
              </w:rPr>
              <w:t xml:space="preserve">* vyplniť iba v prípade, ak materiál nie je zahrnutý do Plánu práce vlády Slovenskej republiky alebo Plánu        legislatívnych úloh vlády Slovenskej republiky. </w:t>
            </w:r>
          </w:p>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124802" w:rsidRPr="004D262D" w:rsidP="003D6C0C">
            <w:pPr>
              <w:bidi w:val="0"/>
              <w:rPr>
                <w:rFonts w:ascii="Times New Roman" w:hAnsi="Times New Roman"/>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124802" w:rsidRPr="004D262D" w:rsidP="003D6C0C">
            <w:pPr>
              <w:bidi w:val="0"/>
              <w:ind w:left="-107" w:right="-108"/>
              <w:jc w:val="center"/>
              <w:rPr>
                <w:rFonts w:ascii="Times New Roman" w:hAnsi="Times New Roman"/>
                <w:b/>
                <w:sz w:val="22"/>
                <w:szCs w:val="22"/>
                <w:lang w:eastAsia="en-US"/>
              </w:rPr>
            </w:pPr>
            <w:r w:rsidRPr="004D262D">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124802" w:rsidRPr="004D262D" w:rsidP="003D6C0C">
            <w:pPr>
              <w:bidi w:val="0"/>
              <w:ind w:left="34"/>
              <w:rPr>
                <w:rFonts w:ascii="Times New Roman" w:hAnsi="Times New Roman"/>
                <w:b/>
                <w:sz w:val="22"/>
                <w:szCs w:val="22"/>
                <w:lang w:eastAsia="en-US"/>
              </w:rPr>
            </w:pPr>
            <w:r w:rsidRPr="004D262D">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Mincho"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Áno</w:t>
            </w:r>
          </w:p>
        </w:tc>
        <w:tc>
          <w:tcPr>
            <w:tcW w:w="569" w:type="dxa"/>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Mincho"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124802" w:rsidRPr="004D262D" w:rsidP="003D6C0C">
            <w:pPr>
              <w:bidi w:val="0"/>
              <w:ind w:left="-107" w:right="-108"/>
              <w:jc w:val="center"/>
              <w:rPr>
                <w:rFonts w:ascii="Times New Roman" w:hAnsi="Times New Roman"/>
                <w:sz w:val="22"/>
                <w:szCs w:val="22"/>
                <w:lang w:eastAsia="en-US"/>
              </w:rPr>
            </w:pPr>
            <w:r w:rsidRPr="004D262D">
              <w:rPr>
                <w:rFonts w:ascii="Segoe UI Symbol" w:eastAsia="MS Mincho"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124802" w:rsidRPr="004D262D" w:rsidP="003D6C0C">
            <w:pPr>
              <w:bidi w:val="0"/>
              <w:ind w:left="34"/>
              <w:rPr>
                <w:rFonts w:ascii="Times New Roman" w:hAnsi="Times New Roman"/>
                <w:sz w:val="22"/>
                <w:szCs w:val="22"/>
                <w:lang w:eastAsia="en-US"/>
              </w:rPr>
            </w:pPr>
            <w:r w:rsidRPr="004D262D">
              <w:rPr>
                <w:rFonts w:ascii="Times New Roman" w:hAnsi="Times New Roman"/>
                <w:sz w:val="22"/>
                <w:szCs w:val="22"/>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124802" w:rsidRPr="004D262D" w:rsidP="003D6C0C">
            <w:pPr>
              <w:bidi w:val="0"/>
              <w:ind w:right="-108"/>
              <w:rPr>
                <w:rFonts w:ascii="Times New Roman" w:hAnsi="Times New Roman"/>
                <w:b/>
                <w:sz w:val="22"/>
                <w:szCs w:val="22"/>
                <w:lang w:eastAsia="en-US"/>
              </w:rPr>
            </w:pPr>
            <w:r w:rsidRPr="004D262D">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Mincho"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124802" w:rsidRPr="004D262D" w:rsidP="003D6C0C">
            <w:pPr>
              <w:bidi w:val="0"/>
              <w:ind w:left="54"/>
              <w:rPr>
                <w:rFonts w:ascii="Times New Roman" w:hAnsi="Times New Roman"/>
                <w:b/>
                <w:sz w:val="22"/>
                <w:szCs w:val="22"/>
                <w:lang w:eastAsia="en-US"/>
              </w:rPr>
            </w:pPr>
            <w:r w:rsidRPr="004D262D">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Gothic"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124802" w:rsidRPr="004D262D" w:rsidP="003D6C0C">
            <w:pPr>
              <w:bidi w:val="0"/>
              <w:ind w:right="-108"/>
              <w:rPr>
                <w:rFonts w:ascii="Times New Roman" w:hAnsi="Times New Roman"/>
                <w:sz w:val="22"/>
                <w:szCs w:val="22"/>
                <w:lang w:eastAsia="en-US"/>
              </w:rPr>
            </w:pPr>
            <w:r w:rsidRPr="004D262D">
              <w:rPr>
                <w:rFonts w:ascii="Times New Roman" w:hAnsi="Times New Roman"/>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Mincho"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sz w:val="22"/>
                <w:szCs w:val="22"/>
                <w:lang w:eastAsia="en-US"/>
              </w:rPr>
            </w:pPr>
            <w:r w:rsidRPr="004D262D">
              <w:rPr>
                <w:rFonts w:ascii="Segoe UI Symbol" w:eastAsia="MS Gothic"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124802" w:rsidRPr="004D262D" w:rsidP="003D6C0C">
            <w:pPr>
              <w:bidi w:val="0"/>
              <w:ind w:left="54"/>
              <w:rPr>
                <w:rFonts w:ascii="Times New Roman" w:hAnsi="Times New Roman"/>
                <w:sz w:val="22"/>
                <w:szCs w:val="22"/>
                <w:lang w:eastAsia="en-US"/>
              </w:rPr>
            </w:pPr>
            <w:r w:rsidRPr="004D262D">
              <w:rPr>
                <w:rFonts w:ascii="Times New Roman" w:hAnsi="Times New Roman"/>
                <w:sz w:val="22"/>
                <w:szCs w:val="22"/>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124802" w:rsidRPr="004D262D" w:rsidP="003D6C0C">
            <w:pPr>
              <w:bidi w:val="0"/>
              <w:ind w:right="-108"/>
              <w:rPr>
                <w:rFonts w:ascii="Times New Roman" w:hAnsi="Times New Roman"/>
                <w:b/>
                <w:sz w:val="22"/>
                <w:szCs w:val="22"/>
                <w:lang w:eastAsia="en-US"/>
              </w:rPr>
            </w:pPr>
            <w:r w:rsidRPr="004D262D">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Mincho"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124802" w:rsidRPr="004D262D" w:rsidP="003D6C0C">
            <w:pPr>
              <w:bidi w:val="0"/>
              <w:ind w:left="54"/>
              <w:rPr>
                <w:rFonts w:ascii="Times New Roman" w:hAnsi="Times New Roman"/>
                <w:b/>
                <w:sz w:val="22"/>
                <w:szCs w:val="22"/>
                <w:lang w:eastAsia="en-US"/>
              </w:rPr>
            </w:pPr>
            <w:r w:rsidRPr="004D262D">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124802" w:rsidRPr="004D262D" w:rsidP="003D6C0C">
            <w:pPr>
              <w:bidi w:val="0"/>
              <w:ind w:right="-108"/>
              <w:rPr>
                <w:rFonts w:ascii="Times New Roman" w:hAnsi="Times New Roman"/>
                <w:b/>
                <w:sz w:val="22"/>
                <w:szCs w:val="22"/>
                <w:lang w:eastAsia="en-US"/>
              </w:rPr>
            </w:pPr>
            <w:r w:rsidRPr="004D262D">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124802" w:rsidRPr="004D262D" w:rsidP="003D6C0C">
            <w:pPr>
              <w:bidi w:val="0"/>
              <w:ind w:left="54"/>
              <w:rPr>
                <w:rFonts w:ascii="Times New Roman" w:hAnsi="Times New Roman"/>
                <w:b/>
                <w:sz w:val="22"/>
                <w:szCs w:val="22"/>
                <w:lang w:eastAsia="en-US"/>
              </w:rPr>
            </w:pPr>
            <w:r w:rsidRPr="004D262D">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124802" w:rsidRPr="004D262D" w:rsidP="003D6C0C">
            <w:pPr>
              <w:bidi w:val="0"/>
              <w:ind w:right="-108"/>
              <w:rPr>
                <w:rFonts w:ascii="Times New Roman" w:hAnsi="Times New Roman"/>
                <w:b/>
                <w:sz w:val="22"/>
                <w:szCs w:val="22"/>
                <w:lang w:eastAsia="en-US"/>
              </w:rPr>
            </w:pPr>
            <w:r w:rsidRPr="004D262D">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124802"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124802" w:rsidRPr="004D262D" w:rsidP="003D6C0C">
            <w:pPr>
              <w:bidi w:val="0"/>
              <w:jc w:val="center"/>
              <w:rPr>
                <w:rFonts w:ascii="Times New Roman" w:hAnsi="Times New Roman"/>
                <w:b/>
                <w:sz w:val="22"/>
                <w:szCs w:val="22"/>
                <w:lang w:eastAsia="en-US"/>
              </w:rPr>
            </w:pPr>
            <w:r w:rsidRPr="004D262D">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124802" w:rsidRPr="004D262D" w:rsidP="003D6C0C">
            <w:pPr>
              <w:bidi w:val="0"/>
              <w:ind w:left="54"/>
              <w:rPr>
                <w:rFonts w:ascii="Times New Roman" w:hAnsi="Times New Roman"/>
                <w:b/>
                <w:sz w:val="22"/>
                <w:szCs w:val="22"/>
                <w:lang w:eastAsia="en-US"/>
              </w:rPr>
            </w:pPr>
            <w:r w:rsidRPr="004D262D">
              <w:rPr>
                <w:rFonts w:ascii="Times New Roman" w:hAnsi="Times New Roman"/>
                <w:b/>
                <w:sz w:val="22"/>
                <w:szCs w:val="22"/>
                <w:lang w:eastAsia="en-US"/>
              </w:rPr>
              <w:t>Negatívne</w:t>
            </w:r>
          </w:p>
        </w:tc>
      </w:tr>
    </w:tbl>
    <w:p w:rsidR="00124802" w:rsidRPr="004D262D" w:rsidP="00124802">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124802" w:rsidRPr="004D262D" w:rsidP="003D6C0C">
            <w:pPr>
              <w:bidi w:val="0"/>
              <w:rPr>
                <w:rFonts w:ascii="Times New Roman" w:hAnsi="Times New Roman"/>
                <w:b/>
              </w:rPr>
            </w:pPr>
            <w:r w:rsidRPr="004D262D">
              <w:rPr>
                <w:rFonts w:ascii="Times New Roman" w:hAnsi="Times New Roman"/>
                <w:b/>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124802" w:rsidRPr="004D262D" w:rsidP="003D6C0C">
            <w:pPr>
              <w:bidi w:val="0"/>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124802" w:rsidRPr="004D262D" w:rsidP="003D6C0C">
            <w:pPr>
              <w:bidi w:val="0"/>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124802" w:rsidRPr="004D262D" w:rsidP="003D6C0C">
            <w:pPr>
              <w:bidi w:val="0"/>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124802" w:rsidRPr="004D262D" w:rsidP="003D6C0C">
            <w:pPr>
              <w:bidi w:val="0"/>
              <w:rPr>
                <w:rFonts w:ascii="Times New Roman" w:hAnsi="Times New Roman"/>
                <w:b/>
              </w:rPr>
            </w:pPr>
          </w:p>
        </w:tc>
        <w:tc>
          <w:tcPr>
            <w:tcW w:w="547" w:type="dxa"/>
            <w:tcBorders>
              <w:top w:val="single" w:sz="4" w:space="0" w:color="auto"/>
              <w:left w:val="nil"/>
              <w:bottom w:val="nil"/>
              <w:right w:val="nil"/>
            </w:tcBorders>
            <w:textDirection w:val="lrTb"/>
            <w:vAlign w:val="top"/>
          </w:tcPr>
          <w:p w:rsidR="00124802" w:rsidRPr="004D262D" w:rsidP="003D6C0C">
            <w:pPr>
              <w:bidi w:val="0"/>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124802" w:rsidRPr="004D262D" w:rsidP="003D6C0C">
            <w:pPr>
              <w:bidi w:val="0"/>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24802" w:rsidRPr="004D262D" w:rsidP="003D6C0C">
            <w:pPr>
              <w:bidi w:val="0"/>
              <w:ind w:left="196" w:hanging="196"/>
              <w:rPr>
                <w:rFonts w:ascii="Times New Roman" w:hAnsi="Times New Roman"/>
                <w:b/>
                <w:lang w:eastAsia="en-US"/>
              </w:rPr>
            </w:pPr>
            <w:r w:rsidRPr="004D262D">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124802" w:rsidRPr="004D262D" w:rsidP="003D6C0C">
            <w:pPr>
              <w:bidi w:val="0"/>
              <w:jc w:val="center"/>
              <w:rPr>
                <w:rFonts w:ascii="Times New Roman" w:hAnsi="Times New Roman"/>
                <w:b/>
              </w:rPr>
            </w:pPr>
            <w:r w:rsidRPr="004D262D">
              <w:rPr>
                <w:rFonts w:ascii="Segoe UI Symbol" w:eastAsia="MS Gothic" w:hAnsi="Segoe UI Symbol" w:cs="Segoe UI Symbol" w:hint="default"/>
                <w:b/>
              </w:rPr>
              <w:t>☐</w:t>
            </w:r>
          </w:p>
        </w:tc>
        <w:tc>
          <w:tcPr>
            <w:tcW w:w="1281" w:type="dxa"/>
            <w:tcBorders>
              <w:top w:val="nil"/>
              <w:left w:val="nil"/>
              <w:bottom w:val="nil"/>
              <w:right w:val="nil"/>
            </w:tcBorders>
            <w:textDirection w:val="lrTb"/>
            <w:vAlign w:val="top"/>
          </w:tcPr>
          <w:p w:rsidR="00124802" w:rsidRPr="004D262D" w:rsidP="003D6C0C">
            <w:pPr>
              <w:bidi w:val="0"/>
              <w:ind w:right="-108"/>
              <w:rPr>
                <w:rFonts w:ascii="Times New Roman" w:hAnsi="Times New Roman"/>
                <w:b/>
              </w:rPr>
            </w:pPr>
            <w:r w:rsidRPr="004D262D">
              <w:rPr>
                <w:rFonts w:ascii="Times New Roman" w:hAnsi="Times New Roman"/>
                <w:b/>
              </w:rPr>
              <w:t>Pozitívne</w:t>
            </w:r>
          </w:p>
        </w:tc>
        <w:tc>
          <w:tcPr>
            <w:tcW w:w="569" w:type="dxa"/>
            <w:tcBorders>
              <w:top w:val="nil"/>
              <w:left w:val="nil"/>
              <w:bottom w:val="nil"/>
              <w:right w:val="nil"/>
            </w:tcBorders>
            <w:textDirection w:val="lrTb"/>
            <w:vAlign w:val="top"/>
          </w:tcPr>
          <w:p w:rsidR="00124802" w:rsidRPr="004D262D" w:rsidP="003D6C0C">
            <w:pPr>
              <w:bidi w:val="0"/>
              <w:jc w:val="center"/>
              <w:rPr>
                <w:rFonts w:ascii="Times New Roman" w:hAnsi="Times New Roman"/>
                <w:b/>
              </w:rPr>
            </w:pPr>
            <w:r w:rsidRPr="004D262D">
              <w:rPr>
                <w:rFonts w:ascii="Segoe UI Symbol" w:eastAsia="MS Gothic" w:hAnsi="Segoe UI Symbol" w:cs="Segoe UI Symbol" w:hint="default"/>
                <w:b/>
              </w:rPr>
              <w:t>☒</w:t>
            </w:r>
          </w:p>
        </w:tc>
        <w:tc>
          <w:tcPr>
            <w:tcW w:w="1133" w:type="dxa"/>
            <w:tcBorders>
              <w:top w:val="nil"/>
              <w:left w:val="nil"/>
              <w:bottom w:val="nil"/>
              <w:right w:val="nil"/>
            </w:tcBorders>
            <w:textDirection w:val="lrTb"/>
            <w:vAlign w:val="top"/>
          </w:tcPr>
          <w:p w:rsidR="00124802" w:rsidRPr="004D262D" w:rsidP="003D6C0C">
            <w:pPr>
              <w:bidi w:val="0"/>
              <w:rPr>
                <w:rFonts w:ascii="Times New Roman" w:hAnsi="Times New Roman"/>
                <w:b/>
              </w:rPr>
            </w:pPr>
            <w:r w:rsidRPr="004D262D">
              <w:rPr>
                <w:rFonts w:ascii="Times New Roman" w:hAnsi="Times New Roman"/>
                <w:b/>
              </w:rPr>
              <w:t>Žiadne</w:t>
            </w:r>
          </w:p>
        </w:tc>
        <w:tc>
          <w:tcPr>
            <w:tcW w:w="547" w:type="dxa"/>
            <w:tcBorders>
              <w:top w:val="nil"/>
              <w:left w:val="nil"/>
              <w:bottom w:val="nil"/>
              <w:right w:val="nil"/>
            </w:tcBorders>
            <w:textDirection w:val="lrTb"/>
            <w:vAlign w:val="top"/>
          </w:tcPr>
          <w:p w:rsidR="00124802" w:rsidRPr="004D262D" w:rsidP="003D6C0C">
            <w:pPr>
              <w:bidi w:val="0"/>
              <w:jc w:val="center"/>
              <w:rPr>
                <w:rFonts w:ascii="Times New Roman" w:hAnsi="Times New Roman"/>
                <w:b/>
              </w:rPr>
            </w:pPr>
            <w:r w:rsidRPr="004D262D">
              <w:rPr>
                <w:rFonts w:ascii="Segoe UI Symbol" w:eastAsia="MS Mincho" w:hAnsi="Segoe UI Symbol" w:cs="Segoe UI Symbol" w:hint="default"/>
                <w:b/>
              </w:rPr>
              <w:t>☐</w:t>
            </w:r>
          </w:p>
        </w:tc>
        <w:tc>
          <w:tcPr>
            <w:tcW w:w="1297" w:type="dxa"/>
            <w:tcBorders>
              <w:top w:val="nil"/>
              <w:left w:val="nil"/>
              <w:bottom w:val="nil"/>
              <w:right w:val="single" w:sz="4" w:space="0" w:color="auto"/>
            </w:tcBorders>
            <w:textDirection w:val="lrTb"/>
            <w:vAlign w:val="top"/>
          </w:tcPr>
          <w:p w:rsidR="00124802" w:rsidRPr="004D262D" w:rsidP="003D6C0C">
            <w:pPr>
              <w:bidi w:val="0"/>
              <w:ind w:left="54"/>
              <w:rPr>
                <w:rFonts w:ascii="Times New Roman" w:hAnsi="Times New Roman"/>
                <w:b/>
              </w:rPr>
            </w:pPr>
            <w:r w:rsidRPr="004D262D">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24802" w:rsidRPr="004D262D" w:rsidP="003D6C0C">
            <w:pPr>
              <w:bidi w:val="0"/>
              <w:ind w:left="168" w:hanging="168"/>
              <w:rPr>
                <w:rFonts w:ascii="Times New Roman" w:hAnsi="Times New Roman"/>
                <w:b/>
                <w:lang w:eastAsia="en-US"/>
              </w:rPr>
            </w:pPr>
            <w:r w:rsidRPr="004D262D">
              <w:rPr>
                <w:rFonts w:ascii="Times New Roman" w:hAnsi="Times New Roman"/>
                <w:b/>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24802" w:rsidRPr="004D262D" w:rsidP="003D6C0C">
            <w:pPr>
              <w:bidi w:val="0"/>
              <w:jc w:val="center"/>
              <w:rPr>
                <w:rFonts w:ascii="Times New Roman" w:hAnsi="Times New Roman"/>
                <w:b/>
              </w:rPr>
            </w:pPr>
            <w:r w:rsidRPr="004D262D">
              <w:rPr>
                <w:rFonts w:ascii="Segoe UI Symbol" w:eastAsia="MS Gothic" w:hAnsi="Segoe UI Symbol" w:cs="Segoe UI Symbol" w:hint="default"/>
                <w:b/>
              </w:rPr>
              <w:t>☐</w:t>
            </w:r>
          </w:p>
        </w:tc>
        <w:tc>
          <w:tcPr>
            <w:tcW w:w="1281" w:type="dxa"/>
            <w:tcBorders>
              <w:top w:val="nil"/>
              <w:left w:val="nil"/>
              <w:bottom w:val="single" w:sz="4" w:space="0" w:color="auto"/>
              <w:right w:val="nil"/>
            </w:tcBorders>
            <w:textDirection w:val="lrTb"/>
            <w:vAlign w:val="top"/>
          </w:tcPr>
          <w:p w:rsidR="00124802" w:rsidRPr="004D262D" w:rsidP="003D6C0C">
            <w:pPr>
              <w:bidi w:val="0"/>
              <w:ind w:right="-108"/>
              <w:rPr>
                <w:rFonts w:ascii="Times New Roman" w:hAnsi="Times New Roman"/>
                <w:b/>
              </w:rPr>
            </w:pPr>
            <w:r w:rsidRPr="004D262D">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24802" w:rsidRPr="004D262D" w:rsidP="003D6C0C">
            <w:pPr>
              <w:bidi w:val="0"/>
              <w:jc w:val="center"/>
              <w:rPr>
                <w:rFonts w:ascii="Times New Roman" w:hAnsi="Times New Roman"/>
                <w:b/>
              </w:rPr>
            </w:pPr>
            <w:r w:rsidRPr="004D262D">
              <w:rPr>
                <w:rFonts w:ascii="Segoe UI Symbol" w:eastAsia="MS Gothic" w:hAnsi="Segoe UI Symbol" w:cs="Segoe UI Symbol" w:hint="default"/>
                <w:b/>
              </w:rPr>
              <w:t>☒</w:t>
            </w:r>
          </w:p>
        </w:tc>
        <w:tc>
          <w:tcPr>
            <w:tcW w:w="1133" w:type="dxa"/>
            <w:tcBorders>
              <w:top w:val="nil"/>
              <w:left w:val="nil"/>
              <w:bottom w:val="single" w:sz="4" w:space="0" w:color="auto"/>
              <w:right w:val="nil"/>
            </w:tcBorders>
            <w:textDirection w:val="lrTb"/>
            <w:vAlign w:val="top"/>
          </w:tcPr>
          <w:p w:rsidR="00124802" w:rsidRPr="004D262D" w:rsidP="003D6C0C">
            <w:pPr>
              <w:bidi w:val="0"/>
              <w:rPr>
                <w:rFonts w:ascii="Times New Roman" w:hAnsi="Times New Roman"/>
                <w:b/>
              </w:rPr>
            </w:pPr>
            <w:r w:rsidRPr="004D262D">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24802" w:rsidRPr="004D262D" w:rsidP="003D6C0C">
            <w:pPr>
              <w:bidi w:val="0"/>
              <w:jc w:val="center"/>
              <w:rPr>
                <w:rFonts w:ascii="Times New Roman" w:hAnsi="Times New Roman"/>
                <w:b/>
              </w:rPr>
            </w:pPr>
            <w:r w:rsidRPr="004D262D">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124802" w:rsidRPr="004D262D" w:rsidP="003D6C0C">
            <w:pPr>
              <w:bidi w:val="0"/>
              <w:ind w:left="54"/>
              <w:rPr>
                <w:rFonts w:ascii="Times New Roman" w:hAnsi="Times New Roman"/>
                <w:b/>
              </w:rPr>
            </w:pPr>
            <w:r w:rsidRPr="004D262D">
              <w:rPr>
                <w:rFonts w:ascii="Times New Roman" w:hAnsi="Times New Roman"/>
                <w:b/>
              </w:rPr>
              <w:t>Negatívne</w:t>
            </w:r>
          </w:p>
        </w:tc>
      </w:tr>
    </w:tbl>
    <w:p w:rsidR="00124802" w:rsidRPr="004D262D" w:rsidP="00124802">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124802" w:rsidRPr="004D262D" w:rsidP="003D6C0C">
            <w:pPr>
              <w:bidi w:val="0"/>
              <w:jc w:val="both"/>
              <w:rPr>
                <w:rFonts w:ascii="Times New Roman" w:hAnsi="Times New Roman"/>
                <w:sz w:val="20"/>
                <w:szCs w:val="20"/>
                <w:lang w:eastAsia="en-US"/>
              </w:rPr>
            </w:pPr>
            <w:r w:rsidRPr="004D262D">
              <w:rPr>
                <w:rFonts w:ascii="Times New Roman" w:hAnsi="Times New Roman"/>
                <w:sz w:val="20"/>
                <w:szCs w:val="20"/>
                <w:lang w:eastAsia="en-US"/>
              </w:rPr>
              <w:t>K predbežnej informácii k predmetnému návrhu zákona zaslali vyjadrenia Asociácia leasingových spoločností, Slovenská asociácia sprostredkovateľov v poisťovníctve, Slovenská banková asociácia, Asociácia poskytovateľov spotrebiteľských úverov Slovenskej republiky a Slovenská asociácia rizikového manažmentu. O osobné konzultácie požiadali Slovenská asociácia poisťovní a Klub 500.</w:t>
            </w:r>
          </w:p>
          <w:p w:rsidR="00124802" w:rsidRPr="004D262D" w:rsidP="003D6C0C">
            <w:pPr>
              <w:bidi w:val="0"/>
              <w:jc w:val="both"/>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sz w:val="22"/>
                <w:szCs w:val="22"/>
                <w:lang w:eastAsia="en-US"/>
              </w:rPr>
            </w:pPr>
            <w:r w:rsidRPr="004D262D">
              <w:rPr>
                <w:rFonts w:ascii="Times New Roman" w:hAnsi="Times New Roman"/>
                <w:sz w:val="22"/>
                <w:szCs w:val="22"/>
                <w:lang w:eastAsia="en-US"/>
              </w:rPr>
              <w:t xml:space="preserve">JUDr. Dušan Katonák, </w:t>
            </w:r>
            <w:hyperlink r:id="rId4" w:history="1">
              <w:r w:rsidRPr="004D262D">
                <w:rPr>
                  <w:rStyle w:val="Hyperlink"/>
                  <w:rFonts w:ascii="Times New Roman" w:hAnsi="Times New Roman"/>
                  <w:sz w:val="22"/>
                  <w:szCs w:val="22"/>
                  <w:lang w:eastAsia="en-US"/>
                </w:rPr>
                <w:t>dusan.katonak@mfsr.sk</w:t>
              </w:r>
            </w:hyperlink>
          </w:p>
          <w:p w:rsidR="00124802" w:rsidRPr="004D262D" w:rsidP="003D6C0C">
            <w:pPr>
              <w:bidi w:val="0"/>
              <w:rPr>
                <w:rFonts w:ascii="Times New Roman" w:hAnsi="Times New Roman"/>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i/>
                <w:sz w:val="22"/>
                <w:szCs w:val="22"/>
                <w:lang w:eastAsia="en-US"/>
              </w:rPr>
            </w:pPr>
            <w:r w:rsidRPr="004D262D">
              <w:rPr>
                <w:rFonts w:ascii="Times New Roman" w:hAnsi="Times New Roman"/>
                <w:i/>
                <w:sz w:val="22"/>
                <w:szCs w:val="22"/>
                <w:lang w:eastAsia="en-US"/>
              </w:rPr>
              <w:t>Uveďte zdroje (štatistiky, prieskumy, spoluprácu s odborníkmi a iné), z ktorých ste pri vypracovávaní doložky, príp. analýz vplyvov vychádzali.</w:t>
            </w:r>
          </w:p>
          <w:p w:rsidR="00124802" w:rsidRPr="004D262D" w:rsidP="003D6C0C">
            <w:pPr>
              <w:bidi w:val="0"/>
              <w:rPr>
                <w:rFonts w:ascii="Times New Roman" w:hAnsi="Times New Roman"/>
                <w:i/>
                <w:sz w:val="22"/>
                <w:szCs w:val="22"/>
                <w:lang w:eastAsia="en-US"/>
              </w:rPr>
            </w:pPr>
          </w:p>
          <w:p w:rsidR="00124802" w:rsidRPr="004D262D" w:rsidP="003D6C0C">
            <w:pPr>
              <w:bidi w:val="0"/>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124802" w:rsidRPr="004D262D" w:rsidP="00124802">
            <w:pPr>
              <w:pStyle w:val="ListParagraph"/>
              <w:numPr>
                <w:numId w:val="5"/>
              </w:numPr>
              <w:suppressAutoHyphens w:val="0"/>
              <w:bidi w:val="0"/>
              <w:ind w:left="426"/>
              <w:contextualSpacing/>
              <w:rPr>
                <w:rFonts w:ascii="Times New Roman" w:hAnsi="Times New Roman" w:cs="Times New Roman"/>
                <w:b/>
                <w:sz w:val="22"/>
              </w:rPr>
            </w:pPr>
            <w:r w:rsidRPr="004D262D">
              <w:rPr>
                <w:rFonts w:ascii="Times New Roman" w:hAnsi="Times New Roman" w:cs="Times New Roman"/>
                <w:b/>
                <w:sz w:val="22"/>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124802" w:rsidRPr="004D262D" w:rsidP="003D6C0C">
            <w:pPr>
              <w:bidi w:val="0"/>
              <w:rPr>
                <w:rFonts w:ascii="Times New Roman" w:hAnsi="Times New Roman"/>
                <w:i/>
                <w:sz w:val="22"/>
                <w:szCs w:val="22"/>
                <w:lang w:eastAsia="en-US"/>
              </w:rPr>
            </w:pPr>
            <w:r w:rsidRPr="004D262D">
              <w:rPr>
                <w:rFonts w:ascii="Times New Roman" w:hAnsi="Times New Roman"/>
                <w:i/>
                <w:sz w:val="22"/>
                <w:szCs w:val="22"/>
                <w:lang w:eastAsia="en-US"/>
              </w:rPr>
              <w:t>Uveďte stanovisko Komisie pre posudzovanie vybraných vplyvov, ktoré Vám bolo zaslané v rámci predbežného pripomienkového konania</w:t>
            </w:r>
          </w:p>
          <w:p w:rsidR="00124802" w:rsidRPr="004D262D" w:rsidP="003D6C0C">
            <w:pPr>
              <w:bidi w:val="0"/>
              <w:rPr>
                <w:rFonts w:ascii="Times New Roman" w:hAnsi="Times New Roman"/>
                <w:i/>
                <w:sz w:val="22"/>
                <w:szCs w:val="22"/>
                <w:lang w:eastAsia="en-US"/>
              </w:rPr>
            </w:pPr>
          </w:p>
          <w:p w:rsidR="00124802" w:rsidRPr="004D262D" w:rsidP="003D6C0C">
            <w:pPr>
              <w:bidi w:val="0"/>
              <w:rPr>
                <w:rFonts w:ascii="Times New Roman" w:hAnsi="Times New Roman"/>
                <w:i/>
                <w:sz w:val="22"/>
                <w:szCs w:val="22"/>
                <w:lang w:eastAsia="en-US"/>
              </w:rPr>
            </w:pPr>
            <w:r w:rsidRPr="004D262D">
              <w:rPr>
                <w:rFonts w:ascii="Times New Roman" w:hAnsi="Times New Roman"/>
                <w:sz w:val="22"/>
                <w:szCs w:val="22"/>
                <w:lang w:eastAsia="en-US"/>
              </w:rPr>
              <w:t>Stála pracovná komisia na posudzovanie vybraných vplyvov vyjadruje súhlasné stavisko s návrhom zákona.</w:t>
            </w:r>
          </w:p>
        </w:tc>
      </w:tr>
    </w:tbl>
    <w:p w:rsidR="00124802" w:rsidP="00124802">
      <w:pPr>
        <w:bidi w:val="0"/>
        <w:rPr>
          <w:rFonts w:ascii="Times New Roman" w:hAnsi="Times New Roman"/>
          <w:b/>
        </w:rPr>
      </w:pPr>
    </w:p>
    <w:p w:rsidR="00150BE9" w:rsidP="00150BE9">
      <w:pPr>
        <w:bidi w:val="0"/>
        <w:rPr>
          <w:rFonts w:ascii="Times New Roman" w:hAnsi="Times New Roman"/>
          <w:b/>
        </w:rPr>
      </w:pPr>
      <w:r>
        <w:rPr>
          <w:rFonts w:ascii="Times New Roman" w:hAnsi="Times New Roman"/>
          <w:b/>
        </w:rPr>
        <w:br w:type="page"/>
      </w:r>
    </w:p>
    <w:tbl>
      <w:tblPr>
        <w:tblStyle w:val="TableGrid"/>
        <w:tblW w:w="9797" w:type="dxa"/>
        <w:tblLook w:val="04A0"/>
      </w:tblPr>
      <w:tblGrid>
        <w:gridCol w:w="9797"/>
      </w:tblGrid>
      <w:tr>
        <w:tblPrEx>
          <w:tblW w:w="9797" w:type="dxa"/>
          <w:tblLook w:val="04A0"/>
        </w:tblPrEx>
        <w:trPr>
          <w:trHeight w:val="522"/>
        </w:trPr>
        <w:tc>
          <w:tcPr>
            <w:tcW w:w="979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50BE9" w:rsidRPr="004D262D" w:rsidP="003D6C0C">
            <w:pPr>
              <w:bidi w:val="0"/>
              <w:jc w:val="center"/>
              <w:rPr>
                <w:rFonts w:ascii="Times New Roman" w:hAnsi="Times New Roman"/>
                <w:b/>
                <w:sz w:val="22"/>
                <w:szCs w:val="22"/>
                <w:lang w:eastAsia="en-US"/>
              </w:rPr>
            </w:pPr>
            <w:r w:rsidRPr="004D262D">
              <w:rPr>
                <w:rFonts w:ascii="Times New Roman" w:hAnsi="Times New Roman"/>
                <w:b/>
                <w:sz w:val="22"/>
                <w:szCs w:val="22"/>
                <w:lang w:eastAsia="en-US"/>
              </w:rPr>
              <w:t xml:space="preserve">Analýza vplyvov na podnikateľské prostredie </w:t>
            </w:r>
          </w:p>
          <w:p w:rsidR="00150BE9" w:rsidRPr="004D262D" w:rsidP="003D6C0C">
            <w:pPr>
              <w:bidi w:val="0"/>
              <w:jc w:val="center"/>
              <w:rPr>
                <w:rFonts w:ascii="Times New Roman" w:hAnsi="Times New Roman"/>
                <w:b/>
                <w:sz w:val="22"/>
                <w:szCs w:val="22"/>
                <w:lang w:eastAsia="en-US"/>
              </w:rPr>
            </w:pPr>
            <w:r w:rsidRPr="004D262D">
              <w:rPr>
                <w:rFonts w:ascii="Times New Roman" w:hAnsi="Times New Roman"/>
                <w:b/>
                <w:sz w:val="22"/>
                <w:szCs w:val="22"/>
                <w:lang w:eastAsia="en-US"/>
              </w:rPr>
              <w:t>(vrátane testu MSP)</w:t>
            </w:r>
          </w:p>
        </w:tc>
      </w:tr>
      <w:tr>
        <w:tblPrEx>
          <w:tblW w:w="9797" w:type="dxa"/>
          <w:tblLook w:val="04A0"/>
        </w:tblPrEx>
        <w:trPr>
          <w:trHeight w:val="522"/>
        </w:trPr>
        <w:tc>
          <w:tcPr>
            <w:tcW w:w="979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50BE9"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Materiál bude mať vplyv s ohľadom na veľkostnú kategóriu podnikov:</w:t>
            </w:r>
          </w:p>
        </w:tc>
      </w:tr>
      <w:tr>
        <w:tblPrEx>
          <w:tblW w:w="9797" w:type="dxa"/>
          <w:tblLook w:val="04A0"/>
        </w:tblPrEx>
        <w:trPr>
          <w:trHeight w:val="522"/>
        </w:trPr>
        <w:tc>
          <w:tcPr>
            <w:tcW w:w="9797"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
              <w:gridCol w:w="9087"/>
            </w:tblGrid>
            <w:tr>
              <w:tblPrEx>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2"/>
              </w:trPr>
              <w:tc>
                <w:tcPr>
                  <w:tcW w:w="463" w:type="dxa"/>
                  <w:tcBorders>
                    <w:top w:val="none" w:sz="0" w:space="0" w:color="auto"/>
                    <w:left w:val="none" w:sz="0" w:space="0" w:color="auto"/>
                    <w:bottom w:val="none" w:sz="0" w:space="0" w:color="auto"/>
                    <w:right w:val="none" w:sz="0" w:space="0" w:color="auto"/>
                  </w:tcBorders>
                  <w:textDirection w:val="lrTb"/>
                  <w:vAlign w:val="top"/>
                </w:tcPr>
                <w:p w:rsidR="00150BE9" w:rsidRPr="004D262D" w:rsidP="003D6C0C">
                  <w:pPr>
                    <w:bidi w:val="0"/>
                    <w:jc w:val="center"/>
                    <w:rPr>
                      <w:rFonts w:ascii="Times New Roman" w:hAnsi="Times New Roman"/>
                      <w:sz w:val="22"/>
                      <w:szCs w:val="22"/>
                      <w:lang w:eastAsia="en-US"/>
                    </w:rPr>
                  </w:pPr>
                  <w:r w:rsidRPr="004D262D">
                    <w:rPr>
                      <w:rFonts w:ascii="Segoe UI Symbol" w:eastAsia="MS Mincho" w:hAnsi="Segoe UI Symbol" w:cs="Segoe UI Symbol" w:hint="default"/>
                      <w:sz w:val="22"/>
                      <w:szCs w:val="22"/>
                      <w:lang w:eastAsia="en-US"/>
                    </w:rPr>
                    <w:t>☐</w:t>
                  </w:r>
                </w:p>
              </w:tc>
              <w:tc>
                <w:tcPr>
                  <w:tcW w:w="9087" w:type="dxa"/>
                  <w:tcBorders>
                    <w:top w:val="none" w:sz="0" w:space="0" w:color="auto"/>
                    <w:left w:val="none" w:sz="0" w:space="0" w:color="auto"/>
                    <w:bottom w:val="none" w:sz="0" w:space="0" w:color="auto"/>
                    <w:right w:val="none" w:sz="0" w:space="0" w:color="auto"/>
                  </w:tcBorders>
                  <w:textDirection w:val="lrTb"/>
                  <w:vAlign w:val="top"/>
                </w:tcPr>
                <w:p w:rsidR="00150BE9"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 xml:space="preserve">iba na MSP (0 - 249 zamestnancov) </w:t>
                  </w:r>
                </w:p>
              </w:tc>
            </w:tr>
            <w:tr>
              <w:tblPrEx>
                <w:tblW w:w="0" w:type="auto"/>
                <w:tblInd w:w="7" w:type="dxa"/>
                <w:tblLook w:val="04A0"/>
              </w:tblPrEx>
              <w:trPr>
                <w:trHeight w:val="132"/>
              </w:trPr>
              <w:tc>
                <w:tcPr>
                  <w:tcW w:w="463" w:type="dxa"/>
                  <w:tcBorders>
                    <w:top w:val="none" w:sz="0" w:space="0" w:color="auto"/>
                    <w:left w:val="none" w:sz="0" w:space="0" w:color="auto"/>
                    <w:bottom w:val="single" w:sz="4" w:space="0" w:color="auto"/>
                    <w:right w:val="none" w:sz="0" w:space="0" w:color="auto"/>
                  </w:tcBorders>
                  <w:textDirection w:val="lrTb"/>
                  <w:vAlign w:val="top"/>
                </w:tcPr>
                <w:p w:rsidR="00150BE9" w:rsidRPr="004D262D" w:rsidP="003D6C0C">
                  <w:pPr>
                    <w:bidi w:val="0"/>
                    <w:jc w:val="center"/>
                    <w:rPr>
                      <w:rFonts w:ascii="Times New Roman" w:hAnsi="Times New Roman"/>
                      <w:sz w:val="22"/>
                      <w:szCs w:val="22"/>
                      <w:lang w:eastAsia="en-US"/>
                    </w:rPr>
                  </w:pPr>
                  <w:r w:rsidRPr="004D262D">
                    <w:rPr>
                      <w:rFonts w:ascii="Segoe UI Symbol" w:eastAsia="MS Gothic" w:hAnsi="Segoe UI Symbol" w:cs="Segoe UI Symbol" w:hint="default"/>
                      <w:sz w:val="22"/>
                      <w:szCs w:val="22"/>
                      <w:lang w:eastAsia="en-US"/>
                    </w:rPr>
                    <w:t>☐</w:t>
                  </w:r>
                </w:p>
              </w:tc>
              <w:tc>
                <w:tcPr>
                  <w:tcW w:w="9087" w:type="dxa"/>
                  <w:tcBorders>
                    <w:top w:val="none" w:sz="0" w:space="0" w:color="auto"/>
                    <w:left w:val="none" w:sz="0" w:space="0" w:color="auto"/>
                    <w:bottom w:val="none" w:sz="0" w:space="0" w:color="auto"/>
                    <w:right w:val="none" w:sz="0" w:space="0" w:color="auto"/>
                  </w:tcBorders>
                  <w:textDirection w:val="lrTb"/>
                  <w:vAlign w:val="top"/>
                </w:tcPr>
                <w:p w:rsidR="00150BE9"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iba na veľké podniky (250 a viac zamestnancov)</w:t>
                  </w:r>
                </w:p>
              </w:tc>
            </w:tr>
            <w:tr>
              <w:tblPrEx>
                <w:tblW w:w="0" w:type="auto"/>
                <w:tblInd w:w="7" w:type="dxa"/>
                <w:tblLook w:val="04A0"/>
              </w:tblPrEx>
              <w:trPr>
                <w:trHeight w:val="132"/>
              </w:trPr>
              <w:tc>
                <w:tcPr>
                  <w:tcW w:w="463" w:type="dxa"/>
                  <w:tcBorders>
                    <w:top w:val="single" w:sz="4" w:space="0" w:color="auto"/>
                    <w:left w:val="single" w:sz="4" w:space="0" w:color="auto"/>
                    <w:bottom w:val="single" w:sz="4" w:space="0" w:color="auto"/>
                    <w:right w:val="single" w:sz="4" w:space="0" w:color="auto"/>
                  </w:tcBorders>
                  <w:textDirection w:val="lrTb"/>
                  <w:vAlign w:val="top"/>
                </w:tcPr>
                <w:p w:rsidR="00150BE9" w:rsidRPr="004D262D" w:rsidP="003D6C0C">
                  <w:pPr>
                    <w:bidi w:val="0"/>
                    <w:jc w:val="center"/>
                    <w:rPr>
                      <w:rFonts w:ascii="Times New Roman" w:hAnsi="Times New Roman"/>
                      <w:sz w:val="22"/>
                      <w:szCs w:val="22"/>
                      <w:lang w:eastAsia="en-US"/>
                    </w:rPr>
                  </w:pPr>
                  <w:r w:rsidRPr="004D262D">
                    <w:rPr>
                      <w:rFonts w:ascii="Times New Roman" w:hAnsi="Times New Roman"/>
                      <w:sz w:val="22"/>
                      <w:szCs w:val="22"/>
                      <w:lang w:eastAsia="en-US"/>
                    </w:rPr>
                    <w:t>x</w:t>
                  </w:r>
                </w:p>
              </w:tc>
              <w:tc>
                <w:tcPr>
                  <w:tcW w:w="9087" w:type="dxa"/>
                  <w:tcBorders>
                    <w:top w:val="none" w:sz="0" w:space="0" w:color="auto"/>
                    <w:left w:val="single" w:sz="4" w:space="0" w:color="auto"/>
                    <w:bottom w:val="none" w:sz="0" w:space="0" w:color="auto"/>
                    <w:right w:val="none" w:sz="0" w:space="0" w:color="auto"/>
                  </w:tcBorders>
                  <w:textDirection w:val="lrTb"/>
                  <w:vAlign w:val="top"/>
                </w:tcPr>
                <w:p w:rsidR="00150BE9" w:rsidRPr="004D262D" w:rsidP="003D6C0C">
                  <w:pPr>
                    <w:bidi w:val="0"/>
                    <w:rPr>
                      <w:rFonts w:ascii="Times New Roman" w:hAnsi="Times New Roman"/>
                      <w:sz w:val="22"/>
                      <w:szCs w:val="22"/>
                      <w:lang w:eastAsia="en-US"/>
                    </w:rPr>
                  </w:pPr>
                  <w:r w:rsidRPr="004D262D">
                    <w:rPr>
                      <w:rFonts w:ascii="Times New Roman" w:hAnsi="Times New Roman"/>
                      <w:b/>
                      <w:sz w:val="22"/>
                      <w:szCs w:val="22"/>
                      <w:lang w:eastAsia="en-US"/>
                    </w:rPr>
                    <w:t>na všetky kategórie podnikov</w:t>
                  </w:r>
                </w:p>
              </w:tc>
            </w:tr>
          </w:tbl>
          <w:p w:rsidR="00150BE9" w:rsidRPr="004D262D" w:rsidP="003D6C0C">
            <w:pPr>
              <w:bidi w:val="0"/>
              <w:rPr>
                <w:rFonts w:ascii="Times New Roman" w:hAnsi="Times New Roman"/>
                <w:b/>
                <w:sz w:val="22"/>
                <w:szCs w:val="22"/>
                <w:lang w:eastAsia="en-US"/>
              </w:rPr>
            </w:pPr>
          </w:p>
        </w:tc>
      </w:tr>
      <w:tr>
        <w:tblPrEx>
          <w:tblW w:w="9797" w:type="dxa"/>
          <w:tblLook w:val="04A0"/>
        </w:tblPrEx>
        <w:trPr>
          <w:trHeight w:val="132"/>
        </w:trPr>
        <w:tc>
          <w:tcPr>
            <w:tcW w:w="979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50BE9"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3.1 Dotknuté podnikateľské subjekty</w:t>
            </w:r>
          </w:p>
          <w:p w:rsidR="00150BE9" w:rsidRPr="00F04CCD" w:rsidP="003D6C0C">
            <w:pPr>
              <w:bidi w:val="0"/>
              <w:ind w:left="284"/>
              <w:rPr>
                <w:rFonts w:ascii="Calibri" w:hAnsi="Calibri"/>
                <w:b/>
                <w:sz w:val="22"/>
                <w:szCs w:val="22"/>
                <w:lang w:eastAsia="en-US"/>
              </w:rPr>
            </w:pPr>
            <w:r w:rsidRPr="004D262D">
              <w:rPr>
                <w:rFonts w:ascii="Times New Roman" w:hAnsi="Times New Roman"/>
                <w:sz w:val="22"/>
                <w:szCs w:val="22"/>
                <w:lang w:eastAsia="en-US"/>
              </w:rPr>
              <w:t xml:space="preserve"> - </w:t>
            </w:r>
            <w:r w:rsidRPr="004D262D">
              <w:rPr>
                <w:rFonts w:ascii="Times New Roman" w:hAnsi="Times New Roman"/>
                <w:b/>
                <w:sz w:val="22"/>
                <w:szCs w:val="22"/>
                <w:lang w:eastAsia="en-US"/>
              </w:rPr>
              <w:t>z toho MSP</w:t>
            </w:r>
          </w:p>
        </w:tc>
      </w:tr>
      <w:tr>
        <w:tblPrEx>
          <w:tblW w:w="9797" w:type="dxa"/>
          <w:tblLook w:val="04A0"/>
        </w:tblPrEx>
        <w:trPr>
          <w:trHeight w:val="132"/>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Uveďte, aké podnikateľské subjekty budú predkladaným návrhom ovplyvnené.</w:t>
            </w:r>
          </w:p>
          <w:p w:rsidR="00150BE9" w:rsidP="003D6C0C">
            <w:pPr>
              <w:bidi w:val="0"/>
              <w:rPr>
                <w:rFonts w:ascii="Calibri" w:hAnsi="Calibri"/>
                <w:i/>
                <w:sz w:val="22"/>
                <w:szCs w:val="22"/>
                <w:lang w:eastAsia="en-US"/>
              </w:rPr>
            </w:pPr>
            <w:r w:rsidRPr="00F04CCD">
              <w:rPr>
                <w:rFonts w:ascii="Calibri" w:hAnsi="Calibri"/>
                <w:i/>
                <w:sz w:val="22"/>
                <w:szCs w:val="22"/>
                <w:lang w:eastAsia="en-US"/>
              </w:rPr>
              <w:t>Aký je ich počet?</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Poisťovňa, poisťovňa z iného členského štátu a pobočka zahraničnej poisťovne 37</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Samostatní finanční agenti v sektore poistenia alebo zaistenia 459</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Podriadení finanční agenti v sektore poistenia alebo zaistenia 16527</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Viazaní finanční agenti v sektore poistenia alebo zaistenia 8826</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Návrhom na úpravu ročných príspevkov samostatných finančných agentov bude dotknutých približne 551 subjektov, z toho 67 fyzických osôb</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Veritelia poskytujúci spotrebiteľské úvery a úvery na bývanie (nebankoví veritelia) 31</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Banky a pobočky zahraničných bánk 26</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Samostatní finanční agenti v sektore poskytovania úverov a spotrebiteľských úverov 233</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Podriadení finanční agenti v sektore poskytovania úverov a spotrebiteľských úverov 9244</w:t>
            </w:r>
          </w:p>
          <w:p w:rsidR="00150BE9" w:rsidRPr="00CD278C" w:rsidP="003D6C0C">
            <w:pPr>
              <w:bidi w:val="0"/>
              <w:rPr>
                <w:rFonts w:ascii="Times New Roman" w:hAnsi="Times New Roman"/>
                <w:sz w:val="20"/>
                <w:szCs w:val="20"/>
                <w:lang w:eastAsia="en-US"/>
              </w:rPr>
            </w:pPr>
            <w:r w:rsidRPr="00CD278C">
              <w:rPr>
                <w:rFonts w:ascii="Times New Roman" w:hAnsi="Times New Roman"/>
                <w:sz w:val="20"/>
                <w:szCs w:val="20"/>
                <w:lang w:eastAsia="en-US"/>
              </w:rPr>
              <w:t>Viazaní finanční agenti v sektore poskytovania úverov a spotrebiteľských úverov 3599</w:t>
            </w:r>
          </w:p>
          <w:p w:rsidR="00150BE9" w:rsidRPr="000F7C39" w:rsidP="003D6C0C">
            <w:pPr>
              <w:bidi w:val="0"/>
              <w:rPr>
                <w:rFonts w:ascii="Calibri" w:hAnsi="Calibri"/>
                <w:i/>
                <w:lang w:eastAsia="en-US"/>
              </w:rPr>
            </w:pPr>
          </w:p>
        </w:tc>
      </w:tr>
      <w:tr>
        <w:tblPrEx>
          <w:tblW w:w="9797" w:type="dxa"/>
          <w:tblLook w:val="04A0"/>
        </w:tblPrEx>
        <w:trPr>
          <w:trHeight w:val="1327"/>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p>
        </w:tc>
      </w:tr>
      <w:tr>
        <w:tblPrEx>
          <w:tblW w:w="9797" w:type="dxa"/>
          <w:tblLook w:val="04A0"/>
        </w:tblPrEx>
        <w:trPr>
          <w:trHeight w:val="312"/>
        </w:trPr>
        <w:tc>
          <w:tcPr>
            <w:tcW w:w="979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50BE9"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3.2 Vyhodnotenie konzultácií</w:t>
            </w:r>
          </w:p>
          <w:p w:rsidR="00150BE9" w:rsidRPr="00F04CCD" w:rsidP="003D6C0C">
            <w:pPr>
              <w:bidi w:val="0"/>
              <w:rPr>
                <w:rFonts w:ascii="Calibri" w:hAnsi="Calibri"/>
                <w:b/>
                <w:sz w:val="22"/>
                <w:szCs w:val="22"/>
                <w:lang w:eastAsia="en-US"/>
              </w:rPr>
            </w:pPr>
            <w:r w:rsidRPr="004D262D">
              <w:rPr>
                <w:rFonts w:ascii="Times New Roman" w:hAnsi="Times New Roman"/>
                <w:sz w:val="22"/>
                <w:szCs w:val="22"/>
                <w:lang w:eastAsia="en-US"/>
              </w:rPr>
              <w:t xml:space="preserve">       - </w:t>
            </w:r>
            <w:r w:rsidRPr="004D262D">
              <w:rPr>
                <w:rFonts w:ascii="Times New Roman" w:hAnsi="Times New Roman"/>
                <w:b/>
                <w:sz w:val="22"/>
                <w:szCs w:val="22"/>
                <w:lang w:eastAsia="en-US"/>
              </w:rPr>
              <w:t>z toho MSP</w:t>
            </w:r>
          </w:p>
        </w:tc>
      </w:tr>
      <w:tr>
        <w:tblPrEx>
          <w:tblW w:w="9797" w:type="dxa"/>
          <w:tblLook w:val="04A0"/>
        </w:tblPrEx>
        <w:trPr>
          <w:trHeight w:val="513"/>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Uveďte, akou formou (verejné alebo cielené konzultácie a prečo)</w:t>
            </w:r>
            <w:r>
              <w:rPr>
                <w:rFonts w:ascii="Calibri" w:hAnsi="Calibri"/>
                <w:i/>
                <w:sz w:val="22"/>
                <w:szCs w:val="22"/>
                <w:lang w:eastAsia="en-US"/>
              </w:rPr>
              <w:t xml:space="preserve"> a </w:t>
            </w:r>
            <w:r w:rsidRPr="00F04CCD">
              <w:rPr>
                <w:rFonts w:ascii="Calibri" w:hAnsi="Calibri"/>
                <w:i/>
                <w:sz w:val="22"/>
                <w:szCs w:val="22"/>
                <w:lang w:eastAsia="en-US"/>
              </w:rPr>
              <w:t>s kým bol návrh konzultovaný.</w:t>
            </w:r>
          </w:p>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Ako dlho trvali konzultácie?</w:t>
            </w:r>
          </w:p>
          <w:p w:rsidR="00150BE9" w:rsidRPr="000D2622" w:rsidP="003D6C0C">
            <w:pPr>
              <w:bidi w:val="0"/>
              <w:rPr>
                <w:rFonts w:ascii="Calibri" w:hAnsi="Calibri"/>
                <w:i/>
                <w:sz w:val="22"/>
                <w:szCs w:val="22"/>
                <w:lang w:eastAsia="en-US"/>
              </w:rPr>
            </w:pPr>
            <w:r w:rsidRPr="00F04CCD">
              <w:rPr>
                <w:rFonts w:ascii="Calibri" w:hAnsi="Calibri"/>
                <w:i/>
                <w:sz w:val="22"/>
                <w:szCs w:val="22"/>
                <w:lang w:eastAsia="en-US"/>
              </w:rPr>
              <w:t xml:space="preserve">Uveďte hlavné body konzultácií a výsledky konzultácií. </w:t>
            </w:r>
          </w:p>
        </w:tc>
      </w:tr>
      <w:tr>
        <w:tblPrEx>
          <w:tblW w:w="9797" w:type="dxa"/>
          <w:tblLook w:val="04A0"/>
        </w:tblPrEx>
        <w:trPr>
          <w:trHeight w:val="1327"/>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P="003D6C0C">
            <w:pPr>
              <w:pStyle w:val="BodyText"/>
              <w:bidi w:val="0"/>
              <w:jc w:val="both"/>
              <w:rPr>
                <w:rFonts w:ascii="Times New Roman" w:hAnsi="Times New Roman"/>
                <w:bCs/>
                <w:sz w:val="20"/>
                <w:szCs w:val="20"/>
                <w:lang w:eastAsia="en-US"/>
              </w:rPr>
            </w:pPr>
            <w:r w:rsidRPr="00F73812">
              <w:rPr>
                <w:rFonts w:ascii="Times New Roman" w:hAnsi="Times New Roman"/>
                <w:sz w:val="20"/>
                <w:szCs w:val="20"/>
                <w:lang w:eastAsia="en-US"/>
              </w:rPr>
              <w:t xml:space="preserve">Predkladateľ požiadal </w:t>
            </w:r>
            <w:r w:rsidRPr="00F73812">
              <w:rPr>
                <w:rFonts w:ascii="Times New Roman" w:hAnsi="Times New Roman"/>
                <w:bCs/>
                <w:sz w:val="20"/>
                <w:szCs w:val="20"/>
                <w:lang w:eastAsia="en-US"/>
              </w:rPr>
              <w:t xml:space="preserve">v súlade s bodom 5.8. Jednotnej metodiky na posudzovanie vybraných vplyvov (schválená uznesením vlády SR č. 24 zo 14. januára 2015 v znení uznesenia vlády SR uznesenia vlády SR č. 513 zo 16. septembra 2015 a uznesenia vlády SR č. 76 z 24. februára 2016) o konzultáciu  legislatívneho návrhu zákona, ktorým sa </w:t>
            </w:r>
            <w:r>
              <w:rPr>
                <w:rFonts w:ascii="Times New Roman" w:hAnsi="Times New Roman"/>
                <w:bCs/>
                <w:sz w:val="20"/>
                <w:szCs w:val="20"/>
                <w:lang w:eastAsia="en-US"/>
              </w:rPr>
              <w:t xml:space="preserve">mení a </w:t>
            </w:r>
            <w:r w:rsidRPr="00F73812">
              <w:rPr>
                <w:rFonts w:ascii="Times New Roman" w:hAnsi="Times New Roman"/>
                <w:bCs/>
                <w:sz w:val="20"/>
                <w:szCs w:val="20"/>
                <w:lang w:eastAsia="en-US"/>
              </w:rPr>
              <w:t>dopĺňa zákon č. 39/2015 Z. z. o poisťovníctve a o zmene a doplnení niektorých zákonov v znení neskorších predpisov</w:t>
            </w:r>
            <w:r w:rsidRPr="00F73812">
              <w:rPr>
                <w:rFonts w:ascii="Times New Roman" w:hAnsi="Times New Roman"/>
                <w:bCs/>
                <w:sz w:val="22"/>
                <w:szCs w:val="22"/>
                <w:lang w:eastAsia="en-US"/>
              </w:rPr>
              <w:t xml:space="preserve"> </w:t>
            </w:r>
            <w:r w:rsidRPr="00F73812">
              <w:rPr>
                <w:rFonts w:ascii="Times New Roman" w:hAnsi="Times New Roman"/>
                <w:sz w:val="20"/>
                <w:szCs w:val="20"/>
                <w:lang w:eastAsia="en-US"/>
              </w:rPr>
              <w:t xml:space="preserve"> a ktorým sa menia a dopĺňajú niektoré zákony, </w:t>
            </w:r>
            <w:r w:rsidRPr="00F73812">
              <w:rPr>
                <w:rFonts w:ascii="Times New Roman" w:hAnsi="Times New Roman"/>
                <w:bCs/>
                <w:sz w:val="20"/>
                <w:szCs w:val="20"/>
                <w:lang w:eastAsia="en-US"/>
              </w:rPr>
              <w:t>ku ktorému bola zverejnená predbežná informácia pod č. PI/2017/26.</w:t>
            </w:r>
          </w:p>
          <w:p w:rsidR="00150BE9" w:rsidRPr="00F73812" w:rsidP="003D6C0C">
            <w:pPr>
              <w:bidi w:val="0"/>
              <w:rPr>
                <w:rFonts w:ascii="Calibri" w:hAnsi="Calibri"/>
                <w:sz w:val="22"/>
                <w:szCs w:val="22"/>
                <w:lang w:eastAsia="en-US"/>
              </w:rPr>
            </w:pPr>
            <w:r w:rsidRPr="00F73812">
              <w:rPr>
                <w:rFonts w:ascii="Calibri" w:hAnsi="Calibri"/>
                <w:sz w:val="22"/>
                <w:szCs w:val="22"/>
                <w:lang w:eastAsia="en-US"/>
              </w:rPr>
              <w:t>O osobnú konzultáciu prejavili záujem nasledovné subjekt</w:t>
            </w:r>
            <w:r>
              <w:rPr>
                <w:rFonts w:ascii="Calibri" w:hAnsi="Calibri"/>
                <w:sz w:val="22"/>
                <w:szCs w:val="22"/>
                <w:lang w:eastAsia="en-US"/>
              </w:rPr>
              <w:t>y:</w:t>
            </w:r>
          </w:p>
          <w:p w:rsidR="00150BE9" w:rsidRPr="00F73812" w:rsidP="00150BE9">
            <w:pPr>
              <w:pStyle w:val="ListParagraph"/>
              <w:numPr>
                <w:numId w:val="6"/>
              </w:numPr>
              <w:suppressAutoHyphens w:val="0"/>
              <w:bidi w:val="0"/>
              <w:spacing w:after="200" w:line="276" w:lineRule="auto"/>
              <w:contextualSpacing/>
              <w:rPr>
                <w:rFonts w:ascii="Times New Roman" w:hAnsi="Times New Roman"/>
                <w:sz w:val="20"/>
                <w:szCs w:val="20"/>
              </w:rPr>
            </w:pPr>
            <w:r w:rsidRPr="00F73812">
              <w:rPr>
                <w:rFonts w:ascii="Times New Roman" w:hAnsi="Times New Roman"/>
                <w:sz w:val="20"/>
                <w:szCs w:val="20"/>
              </w:rPr>
              <w:t>Asociácia leasingových spoločností</w:t>
            </w:r>
          </w:p>
          <w:p w:rsidR="00150BE9" w:rsidRPr="00F73812" w:rsidP="00150BE9">
            <w:pPr>
              <w:pStyle w:val="ListParagraph"/>
              <w:numPr>
                <w:numId w:val="6"/>
              </w:numPr>
              <w:suppressAutoHyphens w:val="0"/>
              <w:bidi w:val="0"/>
              <w:spacing w:after="200" w:line="276" w:lineRule="auto"/>
              <w:contextualSpacing/>
              <w:rPr>
                <w:rFonts w:ascii="Times New Roman" w:hAnsi="Times New Roman"/>
                <w:sz w:val="20"/>
                <w:szCs w:val="20"/>
              </w:rPr>
            </w:pPr>
            <w:r w:rsidRPr="00F73812">
              <w:rPr>
                <w:rFonts w:ascii="Times New Roman" w:hAnsi="Times New Roman"/>
                <w:sz w:val="20"/>
                <w:szCs w:val="20"/>
              </w:rPr>
              <w:t>Slovenská banková asociácia</w:t>
            </w:r>
          </w:p>
          <w:p w:rsidR="00150BE9" w:rsidRPr="00F73812" w:rsidP="00150BE9">
            <w:pPr>
              <w:pStyle w:val="ListParagraph"/>
              <w:numPr>
                <w:numId w:val="6"/>
              </w:numPr>
              <w:suppressAutoHyphens w:val="0"/>
              <w:bidi w:val="0"/>
              <w:spacing w:after="200" w:line="276" w:lineRule="auto"/>
              <w:contextualSpacing/>
              <w:rPr>
                <w:rFonts w:ascii="Times New Roman" w:hAnsi="Times New Roman"/>
                <w:sz w:val="20"/>
                <w:szCs w:val="20"/>
              </w:rPr>
            </w:pPr>
            <w:r w:rsidRPr="00F73812">
              <w:rPr>
                <w:rFonts w:ascii="Times New Roman" w:hAnsi="Times New Roman"/>
                <w:sz w:val="20"/>
                <w:szCs w:val="20"/>
              </w:rPr>
              <w:t>Asociácia poskytovateľov spotrebiteľských úverov SR</w:t>
            </w:r>
          </w:p>
          <w:p w:rsidR="00150BE9" w:rsidRPr="00F73812" w:rsidP="00150BE9">
            <w:pPr>
              <w:pStyle w:val="ListParagraph"/>
              <w:numPr>
                <w:numId w:val="6"/>
              </w:numPr>
              <w:suppressAutoHyphens w:val="0"/>
              <w:bidi w:val="0"/>
              <w:spacing w:after="200" w:line="276" w:lineRule="auto"/>
              <w:contextualSpacing/>
              <w:rPr>
                <w:rFonts w:ascii="Times New Roman" w:hAnsi="Times New Roman"/>
                <w:sz w:val="20"/>
                <w:szCs w:val="20"/>
              </w:rPr>
            </w:pPr>
            <w:r w:rsidRPr="00F73812">
              <w:rPr>
                <w:rFonts w:ascii="Times New Roman" w:hAnsi="Times New Roman"/>
                <w:sz w:val="20"/>
                <w:szCs w:val="20"/>
              </w:rPr>
              <w:t>Slovenská asociácia sprostredkovateľov v poisťovníctve</w:t>
            </w:r>
          </w:p>
          <w:p w:rsidR="00150BE9" w:rsidRPr="00F73812" w:rsidP="00150BE9">
            <w:pPr>
              <w:pStyle w:val="ListParagraph"/>
              <w:numPr>
                <w:numId w:val="6"/>
              </w:numPr>
              <w:suppressAutoHyphens w:val="0"/>
              <w:bidi w:val="0"/>
              <w:spacing w:after="200" w:line="276" w:lineRule="auto"/>
              <w:contextualSpacing/>
              <w:rPr>
                <w:rFonts w:ascii="Times New Roman" w:hAnsi="Times New Roman"/>
                <w:sz w:val="20"/>
                <w:szCs w:val="20"/>
              </w:rPr>
            </w:pPr>
            <w:r w:rsidRPr="00F73812">
              <w:rPr>
                <w:rFonts w:ascii="Times New Roman" w:hAnsi="Times New Roman"/>
                <w:sz w:val="20"/>
                <w:szCs w:val="20"/>
              </w:rPr>
              <w:t>Slovenská asociácia rizikového manažmentu</w:t>
            </w:r>
          </w:p>
          <w:p w:rsidR="00150BE9" w:rsidRPr="00F73812" w:rsidP="003D6C0C">
            <w:pPr>
              <w:bidi w:val="0"/>
              <w:jc w:val="both"/>
              <w:rPr>
                <w:rFonts w:ascii="Calibri" w:hAnsi="Calibri"/>
                <w:sz w:val="22"/>
                <w:szCs w:val="22"/>
                <w:lang w:eastAsia="en-US"/>
              </w:rPr>
            </w:pPr>
            <w:r w:rsidRPr="00F73812">
              <w:rPr>
                <w:rFonts w:ascii="Calibri" w:hAnsi="Calibri"/>
                <w:sz w:val="22"/>
                <w:szCs w:val="22"/>
                <w:lang w:eastAsia="en-US"/>
              </w:rPr>
              <w:t>Uvedené konzultácie sa uskutočnili formou osobných rokovaní.</w:t>
            </w:r>
          </w:p>
          <w:p w:rsidR="00150BE9" w:rsidRPr="00CE7BAB" w:rsidP="003D6C0C">
            <w:pPr>
              <w:bidi w:val="0"/>
              <w:jc w:val="both"/>
              <w:rPr>
                <w:rFonts w:ascii="Calibri" w:hAnsi="Calibri"/>
                <w:i/>
                <w:sz w:val="22"/>
                <w:szCs w:val="22"/>
                <w:lang w:eastAsia="en-US"/>
              </w:rPr>
            </w:pPr>
          </w:p>
        </w:tc>
      </w:tr>
      <w:tr>
        <w:tblPrEx>
          <w:tblW w:w="9797" w:type="dxa"/>
          <w:tblLook w:val="04A0"/>
        </w:tblPrEx>
        <w:trPr>
          <w:trHeight w:val="132"/>
        </w:trPr>
        <w:tc>
          <w:tcPr>
            <w:tcW w:w="979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50BE9" w:rsidRPr="004D262D" w:rsidP="003D6C0C">
            <w:pPr>
              <w:bidi w:val="0"/>
              <w:rPr>
                <w:rFonts w:ascii="Times New Roman" w:hAnsi="Times New Roman"/>
                <w:b/>
                <w:sz w:val="22"/>
                <w:szCs w:val="22"/>
                <w:lang w:eastAsia="en-US"/>
              </w:rPr>
            </w:pPr>
            <w:r w:rsidRPr="004D262D">
              <w:rPr>
                <w:rFonts w:ascii="Times New Roman" w:hAnsi="Times New Roman"/>
                <w:b/>
                <w:sz w:val="22"/>
                <w:szCs w:val="22"/>
                <w:lang w:eastAsia="en-US"/>
              </w:rPr>
              <w:t>3.3 Náklady regulácie</w:t>
            </w:r>
          </w:p>
          <w:p w:rsidR="00150BE9" w:rsidRPr="00F04CCD" w:rsidP="003D6C0C">
            <w:pPr>
              <w:bidi w:val="0"/>
              <w:rPr>
                <w:rFonts w:ascii="Calibri" w:hAnsi="Calibri"/>
                <w:b/>
                <w:sz w:val="22"/>
                <w:szCs w:val="22"/>
                <w:lang w:eastAsia="en-US"/>
              </w:rPr>
            </w:pPr>
            <w:r w:rsidRPr="00042C66">
              <w:rPr>
                <w:rFonts w:ascii="Calibri" w:hAnsi="Calibri"/>
                <w:szCs w:val="22"/>
                <w:lang w:eastAsia="en-US"/>
              </w:rPr>
              <w:t xml:space="preserve">      - </w:t>
            </w:r>
            <w:r w:rsidRPr="00042C66">
              <w:rPr>
                <w:rFonts w:ascii="Calibri" w:hAnsi="Calibri"/>
                <w:b/>
                <w:szCs w:val="22"/>
                <w:lang w:eastAsia="en-US"/>
              </w:rPr>
              <w:t>z toho MSP</w:t>
            </w:r>
          </w:p>
        </w:tc>
      </w:tr>
      <w:tr>
        <w:tblPrEx>
          <w:tblW w:w="9797" w:type="dxa"/>
          <w:tblLook w:val="04A0"/>
        </w:tblPrEx>
        <w:trPr>
          <w:trHeight w:val="733"/>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b/>
                <w:i/>
                <w:sz w:val="22"/>
                <w:szCs w:val="22"/>
                <w:lang w:eastAsia="en-US"/>
              </w:rPr>
            </w:pPr>
            <w:r>
              <w:rPr>
                <w:rFonts w:ascii="Calibri" w:hAnsi="Calibri"/>
                <w:b/>
                <w:i/>
                <w:sz w:val="22"/>
                <w:szCs w:val="22"/>
                <w:lang w:eastAsia="en-US"/>
              </w:rPr>
              <w:t>3</w:t>
            </w:r>
            <w:r w:rsidRPr="00F04CCD">
              <w:rPr>
                <w:rFonts w:ascii="Calibri" w:hAnsi="Calibri"/>
                <w:b/>
                <w:i/>
                <w:sz w:val="22"/>
                <w:szCs w:val="22"/>
                <w:lang w:eastAsia="en-US"/>
              </w:rPr>
              <w:t>.3.1 Priame finančné náklady</w:t>
            </w:r>
          </w:p>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 xml:space="preserve">Dochádza k zvýšeniu/zníženiu priamych finančných nákladov (poplatky, odvody, dane clá...)? Ak áno, popíšte a vyčíslite ich. Uveďte tiež spôsob ich výpočtu. </w:t>
            </w:r>
          </w:p>
        </w:tc>
      </w:tr>
      <w:tr>
        <w:tblPrEx>
          <w:tblW w:w="9797" w:type="dxa"/>
          <w:tblLook w:val="04A0"/>
        </w:tblPrEx>
        <w:trPr>
          <w:trHeight w:val="8340"/>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b/>
                <w:i/>
                <w:sz w:val="22"/>
                <w:szCs w:val="22"/>
                <w:lang w:eastAsia="en-US"/>
              </w:rPr>
            </w:pPr>
          </w:p>
          <w:p w:rsidR="00150BE9" w:rsidRPr="00CD278C" w:rsidP="003D6C0C">
            <w:pPr>
              <w:bidi w:val="0"/>
              <w:jc w:val="both"/>
              <w:rPr>
                <w:rFonts w:ascii="Times New Roman" w:hAnsi="Times New Roman"/>
                <w:sz w:val="20"/>
                <w:szCs w:val="20"/>
                <w:lang w:eastAsia="en-US"/>
              </w:rPr>
            </w:pPr>
            <w:r w:rsidRPr="00CD278C">
              <w:rPr>
                <w:rFonts w:ascii="Times New Roman" w:hAnsi="Times New Roman"/>
                <w:sz w:val="20"/>
                <w:szCs w:val="20"/>
                <w:lang w:eastAsia="en-US"/>
              </w:rPr>
              <w:t>Vo vzťahu k navrhovanej úprave § 40 zákona č. 747/2004 Z.z. v znení neskorších predpisov (ohľadom ročných príspevkov príslušných dohliadaných subjektov finančného trhu) si dovoľujeme uviesť nasledovné:</w:t>
            </w:r>
          </w:p>
          <w:p w:rsidR="00150BE9" w:rsidRPr="00CD278C" w:rsidP="003D6C0C">
            <w:pPr>
              <w:bidi w:val="0"/>
              <w:jc w:val="both"/>
              <w:rPr>
                <w:rFonts w:ascii="Times New Roman" w:hAnsi="Times New Roman"/>
                <w:sz w:val="20"/>
                <w:szCs w:val="20"/>
                <w:lang w:eastAsia="en-US"/>
              </w:rPr>
            </w:pPr>
          </w:p>
          <w:p w:rsidR="00150BE9" w:rsidRPr="00CD278C" w:rsidP="003D6C0C">
            <w:pPr>
              <w:bidi w:val="0"/>
              <w:jc w:val="both"/>
              <w:rPr>
                <w:rFonts w:ascii="Times New Roman" w:hAnsi="Times New Roman"/>
                <w:b/>
                <w:sz w:val="20"/>
                <w:szCs w:val="20"/>
                <w:lang w:eastAsia="en-US"/>
              </w:rPr>
            </w:pPr>
            <w:r w:rsidRPr="00CD278C">
              <w:rPr>
                <w:rFonts w:ascii="Times New Roman" w:hAnsi="Times New Roman"/>
                <w:sz w:val="20"/>
                <w:szCs w:val="20"/>
                <w:lang w:eastAsia="en-US"/>
              </w:rPr>
              <w:t>Návrh zákona bude mať za následok zvýšenie celkového objemu ročných príspevkov vybratých od samostatných finančných agentov; na jednotlivých samostatných finančných agentov môže mať aj pozitívny aj negatívny vplyv, pričom väčšie zaťaženie sa sústreďuje na subjekty s vysokým rozdielom kladných a záporných finančných tokov.</w:t>
            </w:r>
            <w:r w:rsidRPr="00CD278C">
              <w:rPr>
                <w:rFonts w:ascii="Times New Roman" w:hAnsi="Times New Roman"/>
                <w:b/>
                <w:sz w:val="20"/>
                <w:szCs w:val="20"/>
                <w:lang w:eastAsia="en-US"/>
              </w:rPr>
              <w:t xml:space="preserve"> </w:t>
            </w:r>
          </w:p>
          <w:p w:rsidR="00150BE9" w:rsidRPr="00CD278C" w:rsidP="003D6C0C">
            <w:pPr>
              <w:bidi w:val="0"/>
              <w:jc w:val="both"/>
              <w:rPr>
                <w:rFonts w:ascii="Times New Roman" w:hAnsi="Times New Roman"/>
                <w:sz w:val="20"/>
                <w:szCs w:val="20"/>
                <w:lang w:eastAsia="en-US"/>
              </w:rPr>
            </w:pPr>
          </w:p>
          <w:p w:rsidR="00150BE9" w:rsidRPr="00CD278C" w:rsidP="003D6C0C">
            <w:pPr>
              <w:bidi w:val="0"/>
              <w:jc w:val="both"/>
              <w:rPr>
                <w:rFonts w:ascii="Times New Roman" w:hAnsi="Times New Roman"/>
                <w:sz w:val="20"/>
                <w:szCs w:val="20"/>
                <w:lang w:eastAsia="en-US"/>
              </w:rPr>
            </w:pPr>
            <w:r w:rsidRPr="00CD278C">
              <w:rPr>
                <w:rFonts w:ascii="Times New Roman" w:hAnsi="Times New Roman"/>
                <w:sz w:val="20"/>
                <w:szCs w:val="20"/>
                <w:lang w:eastAsia="en-US"/>
              </w:rPr>
              <w:t>Namiesto pevnej sumy z rozsahu 50 až 1000 eur pre právnické osoby a 50 až 200 eur pre fyzické osoby budú samostatní finanční agenti uhrádzať ročný príspevok, ktorý sa vypočíta ako rozdiel kladných a záporných finančných tokov vynásobených sadzbou z rozmedzia 0,001 promile a 0,5 percenta, pričom minimálny príspevok týchto subjektov je určený v rozmedziach doterajších paušálnych príspevkov.</w:t>
            </w:r>
          </w:p>
          <w:p w:rsidR="00150BE9" w:rsidRPr="00CD278C" w:rsidP="003D6C0C">
            <w:pPr>
              <w:bidi w:val="0"/>
              <w:jc w:val="both"/>
              <w:rPr>
                <w:rFonts w:ascii="Times New Roman" w:hAnsi="Times New Roman"/>
                <w:sz w:val="20"/>
                <w:szCs w:val="20"/>
                <w:lang w:eastAsia="en-US"/>
              </w:rPr>
            </w:pPr>
          </w:p>
          <w:p w:rsidR="00150BE9" w:rsidRPr="00CD278C" w:rsidP="003D6C0C">
            <w:pPr>
              <w:bidi w:val="0"/>
              <w:jc w:val="both"/>
              <w:rPr>
                <w:rFonts w:ascii="Times New Roman" w:hAnsi="Times New Roman"/>
                <w:sz w:val="20"/>
                <w:szCs w:val="20"/>
                <w:lang w:eastAsia="en-US"/>
              </w:rPr>
            </w:pPr>
            <w:r w:rsidRPr="00CD278C">
              <w:rPr>
                <w:rFonts w:ascii="Times New Roman" w:hAnsi="Times New Roman"/>
                <w:sz w:val="20"/>
                <w:szCs w:val="20"/>
                <w:lang w:eastAsia="en-US"/>
              </w:rPr>
              <w:t>V roku 2018 bol ročný príspevok vyrubený 68 samostatným finančným agentom fyzickým osobám a 495 právnickým osobám, pričom ročný príspevok stanovený Rozhodnutím Národnej banky Slovenska o určení ročných príspevkov a o osobitnom príspevku dohliadaných subjektov finančného trhu na rok 2018 bol 100 eur pre fyzické osoby a 500 eur pre právnické osoby. Celkový príspevok samostatných finančných agentov teda predstavoval čiastku 254 300 eur. Pri minimálnom príspevku 50 eur pre fyzické aj právnické osoby by sa v roku 2018 vybralo 28 150eur a pri maximálnom príspevku (200 eur pre fyzické osoby a 1000 eur pre právnické osoby) by sa vybralo 508 600 eur.</w:t>
            </w:r>
          </w:p>
          <w:p w:rsidR="00150BE9" w:rsidRPr="00CD278C" w:rsidP="003D6C0C">
            <w:pPr>
              <w:bidi w:val="0"/>
              <w:jc w:val="both"/>
              <w:rPr>
                <w:rFonts w:ascii="Times New Roman" w:hAnsi="Times New Roman"/>
                <w:sz w:val="20"/>
                <w:szCs w:val="20"/>
                <w:lang w:eastAsia="en-US"/>
              </w:rPr>
            </w:pPr>
          </w:p>
          <w:p w:rsidR="00150BE9" w:rsidRPr="00CD278C" w:rsidP="003D6C0C">
            <w:pPr>
              <w:bidi w:val="0"/>
              <w:jc w:val="both"/>
              <w:rPr>
                <w:rFonts w:ascii="Times New Roman" w:hAnsi="Times New Roman"/>
                <w:b/>
                <w:sz w:val="20"/>
                <w:szCs w:val="20"/>
                <w:lang w:eastAsia="en-US"/>
              </w:rPr>
            </w:pPr>
            <w:r w:rsidRPr="00CD278C">
              <w:rPr>
                <w:rFonts w:ascii="Times New Roman" w:hAnsi="Times New Roman"/>
                <w:sz w:val="20"/>
                <w:szCs w:val="20"/>
                <w:lang w:eastAsia="en-US"/>
              </w:rPr>
              <w:t>Pri uplatnení návrhu úpravy zákona by bol minimálny celkový príspevok od samostatných finančných agentov na rok 2019 rovný 27 550 eur (minimálny príspevok 50 eur a sadzba 0,001 promile) – mierny pokles je spôsobený zmenou počtu samostatných finančných agentov k aktuálnemu dátumu. Maximálny celkový príspevok (minimálny príspevok 1000 eur pre právnické osoby a 200 eur pre fyzické osoby a sadzba 0,5%) na rok 2019 by bol (pri počte 484 právnických osôb a 67 fyzických osôb) približne 2 248 861 eur. Oproti maximálnemu celkovému príspevku v roku 2018 je to nárast o 1 740 261 eur. Pri nastavení minimálneho príspevku pre fyzické osoby na 50 eur a pre právnické osoby na 200 eur a sadzby na 0,2%, celkový príspevok samostatných finančných agentov na rok 2019 by bol 833 336 eur, čo predstavuje nárast o 579 036 eur oproti celkovému príspevku vybratému v roku 2018.</w:t>
            </w:r>
          </w:p>
          <w:p w:rsidR="00150BE9" w:rsidRPr="00CD278C" w:rsidP="003D6C0C">
            <w:pPr>
              <w:bidi w:val="0"/>
              <w:jc w:val="both"/>
              <w:rPr>
                <w:rFonts w:ascii="Times New Roman" w:hAnsi="Times New Roman"/>
                <w:sz w:val="20"/>
                <w:szCs w:val="20"/>
                <w:lang w:eastAsia="en-US"/>
              </w:rPr>
            </w:pPr>
          </w:p>
          <w:p w:rsidR="00150BE9" w:rsidRPr="00CD278C" w:rsidP="003D6C0C">
            <w:pPr>
              <w:bidi w:val="0"/>
              <w:jc w:val="both"/>
              <w:rPr>
                <w:rFonts w:ascii="Times New Roman" w:hAnsi="Times New Roman"/>
                <w:sz w:val="20"/>
                <w:szCs w:val="20"/>
                <w:lang w:eastAsia="en-US"/>
              </w:rPr>
            </w:pPr>
            <w:r w:rsidRPr="00CD278C">
              <w:rPr>
                <w:rFonts w:ascii="Times New Roman" w:hAnsi="Times New Roman"/>
                <w:sz w:val="20"/>
                <w:szCs w:val="20"/>
                <w:lang w:eastAsia="en-US"/>
              </w:rPr>
              <w:t>Dovoľujeme si poukázať na skutočnosť, že v prípade jednotlivých samostatných finančných agentov môže dôjsť k poklesu ich ročného príspevku v prípade, že sa u nich uplatní minimálna sadzba, ktorá by bola nižšia, ako ich paušálny príspevok v roku 2018.</w:t>
            </w:r>
            <w:r w:rsidRPr="00CD278C">
              <w:rPr>
                <w:rFonts w:ascii="Times New Roman" w:hAnsi="Times New Roman"/>
                <w:b/>
                <w:sz w:val="20"/>
                <w:szCs w:val="20"/>
                <w:lang w:eastAsia="en-US"/>
              </w:rPr>
              <w:t xml:space="preserve"> </w:t>
            </w:r>
            <w:r w:rsidRPr="00CD278C">
              <w:rPr>
                <w:rFonts w:ascii="Times New Roman" w:hAnsi="Times New Roman"/>
                <w:sz w:val="20"/>
                <w:szCs w:val="20"/>
                <w:lang w:eastAsia="en-US"/>
              </w:rPr>
              <w:t>Pri modelovom prípade (minimálny príspevok pre fyzické osoby 50 eur, pre právnické osoby 200 eur a sadzba 0,2%) by k poklesu príspevku došlo v prípade 412 subjektov. Zvyšným 139 subjektom by ročný príspevok vzrástol.</w:t>
            </w:r>
          </w:p>
          <w:p w:rsidR="00150BE9" w:rsidRPr="00CD278C" w:rsidP="003D6C0C">
            <w:pPr>
              <w:bidi w:val="0"/>
              <w:rPr>
                <w:rFonts w:ascii="Times New Roman" w:hAnsi="Times New Roman"/>
                <w:sz w:val="20"/>
                <w:szCs w:val="20"/>
                <w:lang w:eastAsia="en-US"/>
              </w:rPr>
            </w:pPr>
          </w:p>
          <w:p w:rsidR="00150BE9" w:rsidRPr="00B266CD" w:rsidP="003D6C0C">
            <w:pPr>
              <w:bidi w:val="0"/>
              <w:jc w:val="both"/>
              <w:rPr>
                <w:rFonts w:ascii="Calibri" w:hAnsi="Calibri"/>
                <w:b/>
                <w:sz w:val="22"/>
                <w:szCs w:val="22"/>
                <w:lang w:eastAsia="en-US"/>
              </w:rPr>
            </w:pPr>
          </w:p>
        </w:tc>
      </w:tr>
      <w:tr>
        <w:tblPrEx>
          <w:tblW w:w="9797" w:type="dxa"/>
          <w:tblLook w:val="04A0"/>
        </w:tblPrEx>
        <w:trPr>
          <w:trHeight w:val="982"/>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4D262D" w:rsidP="003D6C0C">
            <w:pPr>
              <w:bidi w:val="0"/>
              <w:rPr>
                <w:rFonts w:ascii="Times New Roman" w:hAnsi="Times New Roman"/>
                <w:b/>
                <w:i/>
                <w:sz w:val="22"/>
                <w:szCs w:val="22"/>
                <w:lang w:eastAsia="en-US"/>
              </w:rPr>
            </w:pPr>
            <w:r w:rsidRPr="004D262D">
              <w:rPr>
                <w:rFonts w:ascii="Times New Roman" w:hAnsi="Times New Roman"/>
                <w:b/>
                <w:i/>
                <w:sz w:val="22"/>
                <w:szCs w:val="22"/>
                <w:lang w:eastAsia="en-US"/>
              </w:rPr>
              <w:t>3.3.2 Nepriame finančné náklady</w:t>
            </w:r>
          </w:p>
          <w:p w:rsidR="00150BE9" w:rsidRPr="00F04CCD" w:rsidP="003D6C0C">
            <w:pPr>
              <w:bidi w:val="0"/>
              <w:rPr>
                <w:rFonts w:ascii="Calibri" w:hAnsi="Calibri"/>
                <w:i/>
                <w:sz w:val="22"/>
                <w:szCs w:val="22"/>
                <w:lang w:eastAsia="en-US"/>
              </w:rPr>
            </w:pPr>
            <w:r w:rsidRPr="004D262D">
              <w:rPr>
                <w:rFonts w:ascii="Times New Roman" w:hAnsi="Times New Roman"/>
                <w:i/>
                <w:sz w:val="22"/>
                <w:szCs w:val="22"/>
                <w:lang w:eastAsia="en-US"/>
              </w:rPr>
              <w:t>Vyžaduje si predkladaný návrh dodatočné náklady na nákup tovarov alebo služieb? Zvyšuje predkladaný návrh náklady súvisiace so zamestnávaním? Ak áno, popíšte a vyčíslite ich. Uveďte tiež spôsob ich výpočtu.</w:t>
            </w:r>
          </w:p>
        </w:tc>
      </w:tr>
      <w:tr>
        <w:tblPrEx>
          <w:tblW w:w="9797" w:type="dxa"/>
          <w:tblLook w:val="04A0"/>
        </w:tblPrEx>
        <w:trPr>
          <w:trHeight w:val="2323"/>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CD278C" w:rsidP="003D6C0C">
            <w:pPr>
              <w:bidi w:val="0"/>
              <w:jc w:val="both"/>
              <w:rPr>
                <w:rFonts w:ascii="Times New Roman" w:hAnsi="Times New Roman"/>
                <w:sz w:val="20"/>
                <w:szCs w:val="20"/>
                <w:lang w:eastAsia="en-US"/>
              </w:rPr>
            </w:pPr>
            <w:r w:rsidRPr="00CD278C">
              <w:rPr>
                <w:rFonts w:ascii="Times New Roman" w:hAnsi="Times New Roman"/>
                <w:sz w:val="20"/>
                <w:szCs w:val="20"/>
                <w:lang w:eastAsia="en-US"/>
              </w:rPr>
              <w:t>Navrhuje sa zavedenie investičných limitov a minimálnych odkupných hodnôt. Minimálne investičné limity sa zavádzajú pri poisteniach spojených s investičnými fondmi (investičné životné poistenie), pri ktorých výška investovaných prostriedkov priamo determinuje výšku odkupnej hodnoty ako aj výšku samotného poistného plnenia. Minimálne odkupné hodnoty sa zavádzajú pri kapitálových životných poisteniach, pri ktorých poisťovňa, poisťovňa z iného členského štátu a pobočka zahraničnej poisťovne bude garantovať vyplatenie odkupnej hodnoty v stanovených minimálnych výškach.</w:t>
            </w:r>
          </w:p>
          <w:p w:rsidR="00150BE9" w:rsidRPr="00CD278C" w:rsidP="003D6C0C">
            <w:pPr>
              <w:bidi w:val="0"/>
              <w:jc w:val="both"/>
              <w:rPr>
                <w:rFonts w:ascii="Times New Roman" w:hAnsi="Times New Roman"/>
                <w:sz w:val="20"/>
                <w:szCs w:val="20"/>
                <w:lang w:eastAsia="en-US"/>
              </w:rPr>
            </w:pPr>
          </w:p>
          <w:p w:rsidR="00150BE9" w:rsidRPr="00CD278C" w:rsidP="003D6C0C">
            <w:pPr>
              <w:bidi w:val="0"/>
              <w:jc w:val="both"/>
              <w:rPr>
                <w:rFonts w:ascii="Times New Roman" w:hAnsi="Times New Roman"/>
                <w:sz w:val="20"/>
                <w:szCs w:val="20"/>
                <w:lang w:eastAsia="en-US"/>
              </w:rPr>
            </w:pPr>
            <w:r w:rsidRPr="00CD278C">
              <w:rPr>
                <w:rFonts w:ascii="Times New Roman" w:hAnsi="Times New Roman"/>
                <w:sz w:val="20"/>
                <w:szCs w:val="20"/>
                <w:lang w:eastAsia="en-US"/>
              </w:rPr>
              <w:t>Z uvedeného dôvodu sa poisťovni, poisťovni z iného členského štátu a pobočke zahraničnej poisťovni zvýšia náklady v súvislosti vyplácaním odkupnej hodnoty.</w:t>
            </w:r>
          </w:p>
          <w:p w:rsidR="00150BE9" w:rsidRPr="00CD278C" w:rsidP="003D6C0C">
            <w:pPr>
              <w:bidi w:val="0"/>
              <w:rPr>
                <w:rFonts w:ascii="Times New Roman" w:hAnsi="Times New Roman"/>
                <w:b/>
                <w:sz w:val="20"/>
                <w:szCs w:val="20"/>
                <w:lang w:eastAsia="en-US"/>
              </w:rPr>
            </w:pPr>
          </w:p>
          <w:p w:rsidR="00150BE9" w:rsidRPr="00CD278C" w:rsidP="003D6C0C">
            <w:pPr>
              <w:bidi w:val="0"/>
              <w:rPr>
                <w:rFonts w:ascii="Times New Roman" w:hAnsi="Times New Roman"/>
                <w:b/>
                <w:i/>
                <w:sz w:val="20"/>
                <w:szCs w:val="20"/>
                <w:lang w:eastAsia="en-US"/>
              </w:rPr>
            </w:pPr>
          </w:p>
        </w:tc>
      </w:tr>
      <w:tr>
        <w:tblPrEx>
          <w:tblW w:w="9797" w:type="dxa"/>
          <w:tblLook w:val="04A0"/>
        </w:tblPrEx>
        <w:trPr>
          <w:trHeight w:val="746"/>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DA01C6" w:rsidP="003D6C0C">
            <w:pPr>
              <w:bidi w:val="0"/>
              <w:rPr>
                <w:rFonts w:ascii="Times New Roman" w:hAnsi="Times New Roman"/>
                <w:b/>
                <w:i/>
                <w:sz w:val="22"/>
                <w:szCs w:val="22"/>
                <w:lang w:eastAsia="en-US"/>
              </w:rPr>
            </w:pPr>
            <w:r w:rsidRPr="00DA01C6">
              <w:rPr>
                <w:rFonts w:ascii="Times New Roman" w:hAnsi="Times New Roman"/>
                <w:b/>
                <w:i/>
                <w:sz w:val="22"/>
                <w:szCs w:val="22"/>
                <w:lang w:eastAsia="en-US"/>
              </w:rPr>
              <w:t>3.3.3 Administratívne náklady</w:t>
            </w:r>
          </w:p>
          <w:p w:rsidR="00150BE9" w:rsidRPr="00F04CCD" w:rsidP="003D6C0C">
            <w:pPr>
              <w:bidi w:val="0"/>
              <w:rPr>
                <w:rFonts w:ascii="Calibri" w:hAnsi="Calibri"/>
                <w:i/>
                <w:sz w:val="22"/>
                <w:szCs w:val="22"/>
                <w:lang w:eastAsia="en-US"/>
              </w:rPr>
            </w:pPr>
            <w:r w:rsidRPr="00DA01C6">
              <w:rPr>
                <w:rFonts w:ascii="Times New Roman" w:hAnsi="Times New Roman"/>
                <w:i/>
                <w:sz w:val="22"/>
                <w:szCs w:val="22"/>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9797" w:type="dxa"/>
          <w:tblLook w:val="04A0"/>
        </w:tblPrEx>
        <w:trPr>
          <w:trHeight w:val="2794"/>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P="003D6C0C">
            <w:pPr>
              <w:pStyle w:val="BodyText"/>
              <w:bidi w:val="0"/>
              <w:jc w:val="both"/>
              <w:rPr>
                <w:rFonts w:ascii="Times New Roman" w:hAnsi="Times New Roman"/>
                <w:sz w:val="20"/>
                <w:szCs w:val="20"/>
                <w:lang w:eastAsia="en-US"/>
              </w:rPr>
            </w:pPr>
            <w:r>
              <w:rPr>
                <w:rFonts w:ascii="Times New Roman" w:hAnsi="Times New Roman"/>
                <w:sz w:val="20"/>
                <w:szCs w:val="20"/>
                <w:lang w:eastAsia="en-US"/>
              </w:rPr>
              <w:t>V zákone č. 39/2015 Z. z. sa z</w:t>
            </w:r>
            <w:r w:rsidRPr="00EC46FB">
              <w:rPr>
                <w:rFonts w:ascii="Times New Roman" w:hAnsi="Times New Roman"/>
                <w:sz w:val="20"/>
                <w:szCs w:val="20"/>
                <w:lang w:eastAsia="en-US"/>
              </w:rPr>
              <w:t xml:space="preserve">avádzajú dva typy informačného formulára, ktoré budú poskytovať súhrnné informácie o jednotlivých zložkách poistného pri uzatváranej poistnej zmluve. </w:t>
            </w:r>
            <w:r>
              <w:rPr>
                <w:rFonts w:ascii="Times New Roman" w:hAnsi="Times New Roman"/>
                <w:sz w:val="20"/>
                <w:szCs w:val="20"/>
                <w:lang w:eastAsia="en-US"/>
              </w:rPr>
              <w:t>Ak ide</w:t>
            </w:r>
            <w:r w:rsidRPr="00EC46FB">
              <w:rPr>
                <w:rFonts w:ascii="Times New Roman" w:hAnsi="Times New Roman"/>
                <w:sz w:val="20"/>
                <w:szCs w:val="20"/>
                <w:lang w:eastAsia="en-US"/>
              </w:rPr>
              <w:t xml:space="preserve"> rezervotvorné poisteni</w:t>
            </w:r>
            <w:r>
              <w:rPr>
                <w:rFonts w:ascii="Times New Roman" w:hAnsi="Times New Roman"/>
                <w:sz w:val="20"/>
                <w:szCs w:val="20"/>
                <w:lang w:eastAsia="en-US"/>
              </w:rPr>
              <w:t>e</w:t>
            </w:r>
            <w:r w:rsidRPr="00EC46FB">
              <w:rPr>
                <w:rFonts w:ascii="Times New Roman" w:hAnsi="Times New Roman"/>
                <w:sz w:val="20"/>
                <w:szCs w:val="20"/>
                <w:lang w:eastAsia="en-US"/>
              </w:rPr>
              <w:t>, pri ktorom investičné riziko nesie poistník (investičné životné poistenie) alebo pri ktorom poisťovňa garantuje vyplatenie poistnej sumy pri dožití (kapitálové životné poistenie) obdrží potencion</w:t>
            </w:r>
            <w:r>
              <w:rPr>
                <w:rFonts w:ascii="Times New Roman" w:hAnsi="Times New Roman"/>
                <w:sz w:val="20"/>
                <w:szCs w:val="20"/>
                <w:lang w:eastAsia="en-US"/>
              </w:rPr>
              <w:t>álny klient informačný formulár, ktorého</w:t>
            </w:r>
            <w:r w:rsidRPr="00EC46FB">
              <w:rPr>
                <w:rFonts w:ascii="Times New Roman" w:hAnsi="Times New Roman"/>
                <w:sz w:val="20"/>
                <w:szCs w:val="20"/>
                <w:lang w:eastAsia="en-US"/>
              </w:rPr>
              <w:t xml:space="preserve"> </w:t>
            </w:r>
            <w:r>
              <w:rPr>
                <w:rFonts w:ascii="Times New Roman" w:hAnsi="Times New Roman"/>
                <w:sz w:val="20"/>
                <w:szCs w:val="20"/>
                <w:lang w:eastAsia="en-US"/>
              </w:rPr>
              <w:t>c</w:t>
            </w:r>
            <w:r w:rsidRPr="00EC46FB">
              <w:rPr>
                <w:rFonts w:ascii="Times New Roman" w:hAnsi="Times New Roman"/>
                <w:sz w:val="20"/>
                <w:szCs w:val="20"/>
                <w:lang w:eastAsia="en-US"/>
              </w:rPr>
              <w:t xml:space="preserve">ieľom je poskytnúť klientovi </w:t>
            </w:r>
            <w:r>
              <w:rPr>
                <w:rFonts w:ascii="Times New Roman" w:hAnsi="Times New Roman"/>
                <w:sz w:val="20"/>
                <w:szCs w:val="20"/>
                <w:lang w:eastAsia="en-US"/>
              </w:rPr>
              <w:t xml:space="preserve">stručnú, </w:t>
            </w:r>
            <w:r w:rsidRPr="00EC46FB">
              <w:rPr>
                <w:rFonts w:ascii="Times New Roman" w:hAnsi="Times New Roman"/>
                <w:sz w:val="20"/>
                <w:szCs w:val="20"/>
                <w:lang w:eastAsia="en-US"/>
              </w:rPr>
              <w:t>prehľadnú a zrozumiteľnú informáciu o jednotlivých zložkách nákladov súvisiacich s ponúkaným rezervotvorným poistením. Obdobný formulár sa zavádza aj v prípade nerezervotvorných poistení, kde klient dostane informáciu o tom, koľko reálne platí za krytie rizík a koľko sú náklady súvisiace s di</w:t>
            </w:r>
            <w:r>
              <w:rPr>
                <w:rFonts w:ascii="Times New Roman" w:hAnsi="Times New Roman"/>
                <w:sz w:val="20"/>
                <w:szCs w:val="20"/>
                <w:lang w:eastAsia="en-US"/>
              </w:rPr>
              <w:t xml:space="preserve">stribúciou a ostatné náklady. </w:t>
            </w:r>
          </w:p>
          <w:p w:rsidR="00150BE9" w:rsidRPr="00F4176A" w:rsidP="003D6C0C">
            <w:pPr>
              <w:pStyle w:val="BodyText"/>
              <w:bidi w:val="0"/>
              <w:jc w:val="both"/>
              <w:rPr>
                <w:rFonts w:ascii="Times New Roman" w:hAnsi="Times New Roman"/>
                <w:sz w:val="20"/>
                <w:szCs w:val="20"/>
                <w:lang w:eastAsia="en-US"/>
              </w:rPr>
            </w:pPr>
            <w:r w:rsidRPr="00F4176A">
              <w:rPr>
                <w:rFonts w:ascii="Times New Roman" w:hAnsi="Times New Roman"/>
                <w:sz w:val="20"/>
                <w:szCs w:val="20"/>
                <w:lang w:eastAsia="en-US"/>
              </w:rPr>
              <w:t>Návrhy noviel zákonov č 129/2010 Z. z. a č. 90/2016 Z. z. reflektujú povinnosť finančného agenta predkladať informáciu k sprostredkovanému spotrebiteľskému úveru, resp. úveru na bývanie týkajúcu sa výšky odmeny finančného agenta. V týchto zákonoch sa preto zavádza nový formulár s cieľom zvýšiť informovanosť klientov o výške odmeny finančného agenta pred sprostredkovaním spotrebiteľského úveru, resp. úveru na bývanie.</w:t>
            </w:r>
          </w:p>
          <w:p w:rsidR="00150BE9" w:rsidRPr="00F04CCD" w:rsidP="003D6C0C">
            <w:pPr>
              <w:tabs>
                <w:tab w:val="center" w:pos="6379"/>
              </w:tabs>
              <w:suppressAutoHyphens/>
              <w:bidi w:val="0"/>
              <w:spacing w:line="100" w:lineRule="atLeast"/>
              <w:ind w:right="-2"/>
              <w:jc w:val="both"/>
              <w:rPr>
                <w:rFonts w:ascii="Calibri" w:hAnsi="Calibri"/>
                <w:b/>
                <w:i/>
                <w:sz w:val="22"/>
                <w:szCs w:val="22"/>
                <w:lang w:eastAsia="en-US"/>
              </w:rPr>
            </w:pPr>
          </w:p>
        </w:tc>
      </w:tr>
      <w:tr>
        <w:tblPrEx>
          <w:tblW w:w="9797" w:type="dxa"/>
          <w:tblLook w:val="04A0"/>
        </w:tblPrEx>
        <w:trPr>
          <w:trHeight w:val="2137"/>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DA01C6" w:rsidP="003D6C0C">
            <w:pPr>
              <w:bidi w:val="0"/>
              <w:rPr>
                <w:rFonts w:ascii="Times New Roman" w:hAnsi="Times New Roman"/>
                <w:i/>
                <w:sz w:val="22"/>
                <w:szCs w:val="22"/>
                <w:lang w:eastAsia="en-US"/>
              </w:rPr>
            </w:pPr>
            <w:r w:rsidRPr="00DA01C6">
              <w:rPr>
                <w:rFonts w:ascii="Times New Roman" w:hAnsi="Times New Roman"/>
                <w:b/>
                <w:i/>
                <w:sz w:val="22"/>
                <w:szCs w:val="22"/>
                <w:lang w:eastAsia="en-US"/>
              </w:rPr>
              <w:t>3.3.4 Súhrnná tabuľka nákladov regulácie</w:t>
            </w:r>
          </w:p>
          <w:p w:rsidR="00150BE9" w:rsidRPr="00CD278C" w:rsidP="003D6C0C">
            <w:pPr>
              <w:bidi w:val="0"/>
              <w:jc w:val="both"/>
              <w:rPr>
                <w:rFonts w:ascii="Times New Roman" w:hAnsi="Times New Roman"/>
                <w:i/>
                <w:sz w:val="20"/>
                <w:szCs w:val="20"/>
                <w:lang w:eastAsia="en-US"/>
              </w:rPr>
            </w:pPr>
            <w:r w:rsidRPr="00CD278C">
              <w:rPr>
                <w:rFonts w:ascii="Times New Roman" w:hAnsi="Times New Roman"/>
                <w:i/>
                <w:sz w:val="20"/>
                <w:szCs w:val="20"/>
                <w:lang w:eastAsia="en-US"/>
              </w:rPr>
              <w:t xml:space="preserve">Súhrnné náklady nie je možné špecifikovať nakoľko náklady príslušných subjektov finančného trhu súvisiace s navrhovanou reguláciou budú závisieť na konkrétnych skutočnostiach (najmä sadzbách), ktoré má podľa § 40 zákona č. 747/2004 Z.z. v znení neskorších predpisov určiť Banková rada Národnej banky Slovenska  v svojom rozhodnutí (vopred na celý rok), pričom Banková rada má podľa § 40 ods. 2 zákona povinnosť určiť predmetné skutočnosti najneskôr do 20. decembra predchádzajúceho roka. </w:t>
            </w:r>
          </w:p>
          <w:p w:rsidR="00150BE9" w:rsidRPr="00CD278C" w:rsidP="003D6C0C">
            <w:pPr>
              <w:bidi w:val="0"/>
              <w:rPr>
                <w:rFonts w:ascii="Times New Roman" w:hAnsi="Times New Roman"/>
                <w:i/>
                <w:sz w:val="20"/>
                <w:szCs w:val="20"/>
                <w:lang w:eastAsia="en-US"/>
              </w:rPr>
            </w:pPr>
          </w:p>
          <w:tbl>
            <w:tblPr>
              <w:tblStyle w:val="TableGrid"/>
              <w:tblW w:w="0" w:type="auto"/>
              <w:tblInd w:w="7" w:type="dxa"/>
              <w:tblLook w:val="04A0"/>
            </w:tblPr>
            <w:tblGrid>
              <w:gridCol w:w="3183"/>
              <w:gridCol w:w="3184"/>
              <w:gridCol w:w="3184"/>
            </w:tblGrid>
            <w:tr>
              <w:tblPrEx>
                <w:tblW w:w="0" w:type="auto"/>
                <w:tblInd w:w="7" w:type="dxa"/>
                <w:tblLook w:val="04A0"/>
              </w:tblPrEx>
              <w:trPr>
                <w:trHeight w:val="497"/>
              </w:trPr>
              <w:tc>
                <w:tcPr>
                  <w:tcW w:w="3183"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sidRPr="00F04CCD">
                    <w:rPr>
                      <w:rFonts w:ascii="Calibri" w:hAnsi="Calibri"/>
                      <w:i/>
                      <w:sz w:val="22"/>
                      <w:szCs w:val="22"/>
                      <w:lang w:eastAsia="en-US"/>
                    </w:rPr>
                    <w:t>Náklady na 1 podnikateľa</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sidRPr="00F04CCD">
                    <w:rPr>
                      <w:rFonts w:ascii="Calibri" w:hAnsi="Calibri"/>
                      <w:i/>
                      <w:sz w:val="22"/>
                      <w:szCs w:val="22"/>
                      <w:lang w:eastAsia="en-US"/>
                    </w:rPr>
                    <w:t>Náklady na celé podnikateľské prostredie</w:t>
                  </w:r>
                </w:p>
              </w:tc>
            </w:tr>
            <w:tr>
              <w:tblPrEx>
                <w:tblW w:w="0" w:type="auto"/>
                <w:tblInd w:w="7" w:type="dxa"/>
                <w:tblLook w:val="04A0"/>
              </w:tblPrEx>
              <w:trPr>
                <w:trHeight w:val="235"/>
              </w:trPr>
              <w:tc>
                <w:tcPr>
                  <w:tcW w:w="3183"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Priame finančné náklady</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Pr>
                      <w:rFonts w:ascii="Calibri" w:hAnsi="Calibri"/>
                      <w:i/>
                      <w:sz w:val="22"/>
                      <w:szCs w:val="22"/>
                      <w:lang w:eastAsia="en-US"/>
                    </w:rPr>
                    <w:t>0</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Pr>
                      <w:rFonts w:ascii="Calibri" w:hAnsi="Calibri"/>
                      <w:i/>
                      <w:sz w:val="22"/>
                      <w:szCs w:val="22"/>
                      <w:lang w:eastAsia="en-US"/>
                    </w:rPr>
                    <w:t>0</w:t>
                  </w:r>
                </w:p>
              </w:tc>
            </w:tr>
            <w:tr>
              <w:tblPrEx>
                <w:tblW w:w="0" w:type="auto"/>
                <w:tblInd w:w="7" w:type="dxa"/>
                <w:tblLook w:val="04A0"/>
              </w:tblPrEx>
              <w:trPr>
                <w:trHeight w:val="248"/>
              </w:trPr>
              <w:tc>
                <w:tcPr>
                  <w:tcW w:w="3183"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Nepriame finančné náklady</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sidRPr="00F04CCD">
                    <w:rPr>
                      <w:rFonts w:ascii="Calibri" w:hAnsi="Calibri"/>
                      <w:i/>
                      <w:sz w:val="22"/>
                      <w:szCs w:val="22"/>
                      <w:lang w:eastAsia="en-US"/>
                    </w:rPr>
                    <w:t>0</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Pr>
                      <w:rFonts w:ascii="Calibri" w:hAnsi="Calibri"/>
                      <w:i/>
                      <w:sz w:val="22"/>
                      <w:szCs w:val="22"/>
                      <w:lang w:eastAsia="en-US"/>
                    </w:rPr>
                    <w:t>0</w:t>
                  </w:r>
                </w:p>
              </w:tc>
            </w:tr>
            <w:tr>
              <w:tblPrEx>
                <w:tblW w:w="0" w:type="auto"/>
                <w:tblInd w:w="7" w:type="dxa"/>
                <w:tblLook w:val="04A0"/>
              </w:tblPrEx>
              <w:trPr>
                <w:trHeight w:val="235"/>
              </w:trPr>
              <w:tc>
                <w:tcPr>
                  <w:tcW w:w="3183"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Administratívne náklady</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Pr>
                      <w:rFonts w:ascii="Calibri" w:hAnsi="Calibri"/>
                      <w:i/>
                      <w:sz w:val="22"/>
                      <w:szCs w:val="22"/>
                      <w:lang w:eastAsia="en-US"/>
                    </w:rPr>
                    <w:t>0</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i/>
                      <w:sz w:val="22"/>
                      <w:szCs w:val="22"/>
                      <w:lang w:eastAsia="en-US"/>
                    </w:rPr>
                  </w:pPr>
                  <w:r>
                    <w:rPr>
                      <w:rFonts w:ascii="Calibri" w:hAnsi="Calibri"/>
                      <w:i/>
                      <w:sz w:val="22"/>
                      <w:szCs w:val="22"/>
                      <w:lang w:eastAsia="en-US"/>
                    </w:rPr>
                    <w:t>0</w:t>
                  </w:r>
                </w:p>
              </w:tc>
            </w:tr>
            <w:tr>
              <w:tblPrEx>
                <w:tblW w:w="0" w:type="auto"/>
                <w:tblInd w:w="7" w:type="dxa"/>
                <w:tblLook w:val="04A0"/>
              </w:tblPrEx>
              <w:trPr>
                <w:trHeight w:val="248"/>
              </w:trPr>
              <w:tc>
                <w:tcPr>
                  <w:tcW w:w="3183"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b/>
                      <w:i/>
                      <w:sz w:val="22"/>
                      <w:szCs w:val="22"/>
                      <w:lang w:eastAsia="en-US"/>
                    </w:rPr>
                  </w:pPr>
                  <w:r w:rsidRPr="00F04CCD">
                    <w:rPr>
                      <w:rFonts w:ascii="Calibri" w:hAnsi="Calibri"/>
                      <w:b/>
                      <w:i/>
                      <w:sz w:val="22"/>
                      <w:szCs w:val="22"/>
                      <w:lang w:eastAsia="en-US"/>
                    </w:rPr>
                    <w:t>Celkové náklady regulácie</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b/>
                      <w:i/>
                      <w:sz w:val="22"/>
                      <w:szCs w:val="22"/>
                      <w:lang w:eastAsia="en-US"/>
                    </w:rPr>
                  </w:pPr>
                  <w:r>
                    <w:rPr>
                      <w:rFonts w:ascii="Calibri" w:hAnsi="Calibri"/>
                      <w:b/>
                      <w:i/>
                      <w:sz w:val="22"/>
                      <w:szCs w:val="22"/>
                      <w:lang w:eastAsia="en-US"/>
                    </w:rPr>
                    <w:t>0</w:t>
                  </w:r>
                </w:p>
              </w:tc>
              <w:tc>
                <w:tcPr>
                  <w:tcW w:w="3184"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jc w:val="center"/>
                    <w:rPr>
                      <w:rFonts w:ascii="Calibri" w:hAnsi="Calibri"/>
                      <w:b/>
                      <w:i/>
                      <w:sz w:val="22"/>
                      <w:szCs w:val="22"/>
                      <w:lang w:eastAsia="en-US"/>
                    </w:rPr>
                  </w:pPr>
                  <w:r>
                    <w:rPr>
                      <w:rFonts w:ascii="Calibri" w:hAnsi="Calibri"/>
                      <w:b/>
                      <w:i/>
                      <w:sz w:val="22"/>
                      <w:szCs w:val="22"/>
                      <w:lang w:eastAsia="en-US"/>
                    </w:rPr>
                    <w:t>0</w:t>
                  </w:r>
                </w:p>
              </w:tc>
            </w:tr>
          </w:tbl>
          <w:p w:rsidR="00150BE9" w:rsidRPr="00F04CCD" w:rsidP="003D6C0C">
            <w:pPr>
              <w:bidi w:val="0"/>
              <w:rPr>
                <w:rFonts w:ascii="Calibri" w:hAnsi="Calibri"/>
                <w:i/>
                <w:sz w:val="22"/>
                <w:szCs w:val="22"/>
                <w:lang w:eastAsia="en-US"/>
              </w:rPr>
            </w:pPr>
          </w:p>
        </w:tc>
      </w:tr>
      <w:tr>
        <w:tblPrEx>
          <w:tblW w:w="9797" w:type="dxa"/>
          <w:tblLook w:val="04A0"/>
        </w:tblPrEx>
        <w:trPr>
          <w:trHeight w:val="525"/>
        </w:trPr>
        <w:tc>
          <w:tcPr>
            <w:tcW w:w="979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50BE9" w:rsidRPr="00DA01C6" w:rsidP="003D6C0C">
            <w:pPr>
              <w:bidi w:val="0"/>
              <w:rPr>
                <w:rFonts w:ascii="Times New Roman" w:hAnsi="Times New Roman"/>
                <w:b/>
                <w:sz w:val="22"/>
                <w:szCs w:val="22"/>
                <w:lang w:eastAsia="en-US"/>
              </w:rPr>
            </w:pPr>
            <w:r w:rsidRPr="00DA01C6">
              <w:rPr>
                <w:rFonts w:ascii="Times New Roman" w:hAnsi="Times New Roman"/>
                <w:b/>
                <w:sz w:val="22"/>
                <w:szCs w:val="22"/>
                <w:lang w:eastAsia="en-US"/>
              </w:rPr>
              <w:t>3.4 Konkurencieschopnosť a správanie sa podnikov na trhu</w:t>
            </w:r>
          </w:p>
          <w:p w:rsidR="00150BE9" w:rsidRPr="00DA01C6" w:rsidP="003D6C0C">
            <w:pPr>
              <w:bidi w:val="0"/>
              <w:rPr>
                <w:rFonts w:ascii="Times New Roman" w:hAnsi="Times New Roman"/>
                <w:sz w:val="22"/>
                <w:szCs w:val="22"/>
                <w:lang w:eastAsia="en-US"/>
              </w:rPr>
            </w:pPr>
            <w:r w:rsidRPr="00DA01C6">
              <w:rPr>
                <w:rFonts w:ascii="Times New Roman" w:hAnsi="Times New Roman"/>
                <w:b/>
                <w:sz w:val="22"/>
                <w:szCs w:val="22"/>
                <w:lang w:eastAsia="en-US"/>
              </w:rPr>
              <w:t xml:space="preserve">       </w:t>
            </w:r>
            <w:r w:rsidRPr="00DA01C6">
              <w:rPr>
                <w:rFonts w:ascii="Times New Roman" w:hAnsi="Times New Roman"/>
                <w:sz w:val="22"/>
                <w:szCs w:val="22"/>
                <w:lang w:eastAsia="en-US"/>
              </w:rPr>
              <w:t xml:space="preserve">- </w:t>
            </w:r>
            <w:r w:rsidRPr="00DA01C6">
              <w:rPr>
                <w:rFonts w:ascii="Times New Roman" w:hAnsi="Times New Roman"/>
                <w:b/>
                <w:sz w:val="22"/>
                <w:szCs w:val="22"/>
                <w:lang w:eastAsia="en-US"/>
              </w:rPr>
              <w:t>z toho MSP</w:t>
            </w:r>
          </w:p>
        </w:tc>
      </w:tr>
      <w:tr>
        <w:tblPrEx>
          <w:tblW w:w="9797" w:type="dxa"/>
          <w:tblLook w:val="04A0"/>
        </w:tblPrEx>
        <w:trPr>
          <w:trHeight w:val="1908"/>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CD278C" w:rsidP="003D6C0C">
            <w:pPr>
              <w:bidi w:val="0"/>
              <w:rPr>
                <w:rFonts w:ascii="Times New Roman" w:hAnsi="Times New Roman"/>
                <w:i/>
                <w:sz w:val="20"/>
                <w:szCs w:val="20"/>
                <w:lang w:eastAsia="en-US"/>
              </w:rPr>
            </w:pPr>
            <w:r w:rsidRPr="00CD278C">
              <w:rPr>
                <w:rFonts w:ascii="Times New Roman" w:hAnsi="Times New Roman"/>
                <w:i/>
                <w:sz w:val="20"/>
                <w:szCs w:val="20"/>
                <w:lang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150BE9" w:rsidRPr="00CD278C" w:rsidP="003D6C0C">
            <w:pPr>
              <w:bidi w:val="0"/>
              <w:rPr>
                <w:rFonts w:ascii="Times New Roman" w:hAnsi="Times New Roman"/>
                <w:i/>
                <w:sz w:val="20"/>
                <w:szCs w:val="20"/>
                <w:lang w:eastAsia="en-US"/>
              </w:rPr>
            </w:pPr>
            <w:r w:rsidRPr="00CD278C">
              <w:rPr>
                <w:rFonts w:ascii="Times New Roman" w:hAnsi="Times New Roman"/>
                <w:i/>
                <w:sz w:val="20"/>
                <w:szCs w:val="20"/>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150BE9" w:rsidRPr="00CD278C" w:rsidP="003D6C0C">
            <w:pPr>
              <w:bidi w:val="0"/>
              <w:rPr>
                <w:rFonts w:ascii="Times New Roman" w:hAnsi="Times New Roman"/>
                <w:i/>
                <w:sz w:val="20"/>
                <w:szCs w:val="20"/>
                <w:lang w:eastAsia="en-US"/>
              </w:rPr>
            </w:pPr>
            <w:r w:rsidRPr="00CD278C">
              <w:rPr>
                <w:rFonts w:ascii="Times New Roman" w:hAnsi="Times New Roman"/>
                <w:i/>
                <w:sz w:val="20"/>
                <w:szCs w:val="20"/>
                <w:lang w:eastAsia="en-US"/>
              </w:rPr>
              <w:t>Ako ovplyvní cenu alebo dostupnosť základných zdrojov (suroviny, mechanizmy, pracovná sila, energie atď.)?</w:t>
            </w:r>
          </w:p>
          <w:p w:rsidR="00150BE9" w:rsidRPr="00CD278C" w:rsidP="003D6C0C">
            <w:pPr>
              <w:bidi w:val="0"/>
              <w:rPr>
                <w:rFonts w:ascii="Times New Roman" w:hAnsi="Times New Roman"/>
                <w:i/>
                <w:sz w:val="20"/>
                <w:szCs w:val="20"/>
                <w:lang w:eastAsia="en-US"/>
              </w:rPr>
            </w:pPr>
            <w:r w:rsidRPr="00CD278C">
              <w:rPr>
                <w:rFonts w:ascii="Times New Roman" w:hAnsi="Times New Roman"/>
                <w:i/>
                <w:sz w:val="20"/>
                <w:szCs w:val="20"/>
                <w:lang w:eastAsia="en-US"/>
              </w:rPr>
              <w:t>Ovplyvňuje prístup k financiám? Ak áno, ako?</w:t>
            </w:r>
          </w:p>
        </w:tc>
      </w:tr>
      <w:tr>
        <w:tblPrEx>
          <w:tblW w:w="9797" w:type="dxa"/>
          <w:tblLook w:val="04A0"/>
        </w:tblPrEx>
        <w:trPr>
          <w:trHeight w:val="1182"/>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CD278C" w:rsidP="003D6C0C">
            <w:pPr>
              <w:bidi w:val="0"/>
              <w:jc w:val="both"/>
              <w:rPr>
                <w:rFonts w:ascii="Times New Roman" w:hAnsi="Times New Roman"/>
                <w:i/>
                <w:sz w:val="20"/>
                <w:szCs w:val="20"/>
                <w:lang w:eastAsia="en-US"/>
              </w:rPr>
            </w:pPr>
            <w:r w:rsidRPr="00CD278C">
              <w:rPr>
                <w:rFonts w:ascii="Times New Roman" w:hAnsi="Times New Roman"/>
                <w:sz w:val="20"/>
                <w:szCs w:val="20"/>
                <w:lang w:eastAsia="en-US"/>
              </w:rPr>
              <w:t>Všeobecne možno konštatovať, že návrh zákona nebude mať vyššie uvedené dopady. Úpravou ročných príspevkov samostatných finančných agentov by malo dôjsť k spravodlivejšiemu prerozdeleniu finančného zaťaženia spojeného s úhradou ročných príspevkov, pričom nové bariéry pre vstup na trh by nemali vzniknúť.</w:t>
            </w:r>
          </w:p>
        </w:tc>
      </w:tr>
      <w:tr>
        <w:tblPrEx>
          <w:tblW w:w="9797" w:type="dxa"/>
          <w:tblLook w:val="04A0"/>
        </w:tblPrEx>
        <w:trPr>
          <w:trHeight w:val="539"/>
        </w:trPr>
        <w:tc>
          <w:tcPr>
            <w:tcW w:w="979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50BE9" w:rsidRPr="00DA01C6" w:rsidP="003D6C0C">
            <w:pPr>
              <w:bidi w:val="0"/>
              <w:rPr>
                <w:rFonts w:ascii="Times New Roman" w:hAnsi="Times New Roman"/>
                <w:b/>
                <w:sz w:val="22"/>
                <w:szCs w:val="22"/>
                <w:lang w:eastAsia="en-US"/>
              </w:rPr>
            </w:pPr>
            <w:r w:rsidRPr="00DA01C6">
              <w:rPr>
                <w:rFonts w:ascii="Times New Roman" w:hAnsi="Times New Roman"/>
                <w:b/>
                <w:sz w:val="22"/>
                <w:szCs w:val="22"/>
                <w:lang w:eastAsia="en-US"/>
              </w:rPr>
              <w:t xml:space="preserve">3.5 Inovácie </w:t>
            </w:r>
          </w:p>
          <w:p w:rsidR="00150BE9" w:rsidRPr="00DA01C6" w:rsidP="003D6C0C">
            <w:pPr>
              <w:bidi w:val="0"/>
              <w:rPr>
                <w:rFonts w:ascii="Times New Roman" w:hAnsi="Times New Roman"/>
                <w:b/>
                <w:sz w:val="22"/>
                <w:szCs w:val="22"/>
                <w:lang w:eastAsia="en-US"/>
              </w:rPr>
            </w:pPr>
            <w:r w:rsidRPr="00DA01C6">
              <w:rPr>
                <w:rFonts w:ascii="Times New Roman" w:hAnsi="Times New Roman"/>
                <w:sz w:val="22"/>
                <w:szCs w:val="22"/>
                <w:lang w:eastAsia="en-US"/>
              </w:rPr>
              <w:t xml:space="preserve">       - </w:t>
            </w:r>
            <w:r w:rsidRPr="00DA01C6">
              <w:rPr>
                <w:rFonts w:ascii="Times New Roman" w:hAnsi="Times New Roman"/>
                <w:b/>
                <w:sz w:val="22"/>
                <w:szCs w:val="22"/>
                <w:lang w:eastAsia="en-US"/>
              </w:rPr>
              <w:t>z toho MSP</w:t>
            </w:r>
          </w:p>
        </w:tc>
      </w:tr>
      <w:tr>
        <w:tblPrEx>
          <w:tblW w:w="9797" w:type="dxa"/>
          <w:tblLook w:val="04A0"/>
        </w:tblPrEx>
        <w:trPr>
          <w:trHeight w:val="1493"/>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Uveďte, ako podporuje navrhovaná zmena inovácie.</w:t>
            </w:r>
          </w:p>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Zjednodušuje uvedenie alebo rozšírenie nových výrobných metód, technológií a výrobkov na trh?</w:t>
            </w:r>
          </w:p>
          <w:p w:rsidR="00150BE9" w:rsidRPr="00F04CCD" w:rsidP="003D6C0C">
            <w:pPr>
              <w:bidi w:val="0"/>
              <w:rPr>
                <w:rFonts w:ascii="Calibri" w:hAnsi="Calibri"/>
                <w:i/>
                <w:sz w:val="22"/>
                <w:szCs w:val="22"/>
                <w:lang w:eastAsia="en-US"/>
              </w:rPr>
            </w:pPr>
            <w:r w:rsidRPr="00F04CCD">
              <w:rPr>
                <w:rFonts w:ascii="Calibri" w:hAnsi="Calibri"/>
                <w:i/>
                <w:sz w:val="22"/>
                <w:szCs w:val="22"/>
                <w:lang w:eastAsia="en-US"/>
              </w:rPr>
              <w:t xml:space="preserve">Uveďte, ako vplýva navrhovaná zmena na </w:t>
            </w:r>
            <w:r>
              <w:rPr>
                <w:rFonts w:ascii="Calibri" w:hAnsi="Calibri"/>
                <w:i/>
                <w:sz w:val="22"/>
                <w:szCs w:val="22"/>
                <w:lang w:eastAsia="en-US"/>
              </w:rPr>
              <w:t xml:space="preserve">jednotlivé </w:t>
            </w:r>
            <w:r w:rsidRPr="00F04CCD">
              <w:rPr>
                <w:rFonts w:ascii="Calibri" w:hAnsi="Calibri"/>
                <w:i/>
                <w:sz w:val="22"/>
                <w:szCs w:val="22"/>
                <w:lang w:eastAsia="en-US"/>
              </w:rPr>
              <w:t>práva duševného vlastníctva (</w:t>
            </w:r>
            <w:r>
              <w:rPr>
                <w:rFonts w:ascii="Calibri" w:hAnsi="Calibri"/>
                <w:i/>
                <w:sz w:val="22"/>
                <w:szCs w:val="22"/>
                <w:lang w:eastAsia="en-US"/>
              </w:rPr>
              <w:t xml:space="preserve">napr. </w:t>
            </w:r>
            <w:r w:rsidRPr="00F04CCD">
              <w:rPr>
                <w:rFonts w:ascii="Calibri" w:hAnsi="Calibri"/>
                <w:i/>
                <w:sz w:val="22"/>
                <w:szCs w:val="22"/>
                <w:lang w:eastAsia="en-US"/>
              </w:rPr>
              <w:t xml:space="preserve">patenty, ochranné známky, </w:t>
            </w:r>
            <w:r>
              <w:rPr>
                <w:rFonts w:ascii="Calibri" w:hAnsi="Calibri"/>
                <w:i/>
                <w:sz w:val="22"/>
                <w:szCs w:val="22"/>
                <w:lang w:eastAsia="en-US"/>
              </w:rPr>
              <w:t>autorské práva</w:t>
            </w:r>
            <w:r w:rsidRPr="00F04CCD">
              <w:rPr>
                <w:rFonts w:ascii="Calibri" w:hAnsi="Calibri"/>
                <w:i/>
                <w:sz w:val="22"/>
                <w:szCs w:val="22"/>
                <w:lang w:eastAsia="en-US"/>
              </w:rPr>
              <w:t>, vlastníctvo know-how).</w:t>
            </w:r>
          </w:p>
          <w:p w:rsidR="00150BE9" w:rsidP="003D6C0C">
            <w:pPr>
              <w:bidi w:val="0"/>
              <w:rPr>
                <w:rFonts w:ascii="Calibri" w:hAnsi="Calibri"/>
                <w:i/>
                <w:sz w:val="22"/>
                <w:szCs w:val="22"/>
                <w:lang w:eastAsia="en-US"/>
              </w:rPr>
            </w:pPr>
            <w:r w:rsidRPr="00F04CCD">
              <w:rPr>
                <w:rFonts w:ascii="Calibri" w:hAnsi="Calibri"/>
                <w:i/>
                <w:sz w:val="22"/>
                <w:szCs w:val="22"/>
                <w:lang w:eastAsia="en-US"/>
              </w:rPr>
              <w:t>Podporuje vyššiu efektivitu výroby/využívania zdrojov? Ak áno, ako?</w:t>
            </w:r>
          </w:p>
          <w:p w:rsidR="00150BE9" w:rsidRPr="00F04CCD" w:rsidP="003D6C0C">
            <w:pPr>
              <w:bidi w:val="0"/>
              <w:rPr>
                <w:rFonts w:ascii="Calibri" w:hAnsi="Calibri"/>
                <w:sz w:val="22"/>
                <w:szCs w:val="22"/>
                <w:lang w:eastAsia="en-US"/>
              </w:rPr>
            </w:pPr>
            <w:r w:rsidRPr="00154881">
              <w:rPr>
                <w:rFonts w:ascii="Calibri" w:hAnsi="Calibri"/>
                <w:i/>
                <w:sz w:val="22"/>
                <w:szCs w:val="22"/>
                <w:lang w:eastAsia="en-US"/>
              </w:rPr>
              <w:t>Vytvorí zmena nové pracovné miesta pre zamestnancov výskumu a vývoja v</w:t>
            </w:r>
            <w:r>
              <w:rPr>
                <w:rFonts w:ascii="Calibri" w:hAnsi="Calibri"/>
                <w:i/>
                <w:sz w:val="22"/>
                <w:szCs w:val="22"/>
                <w:lang w:eastAsia="en-US"/>
              </w:rPr>
              <w:t> </w:t>
            </w:r>
            <w:r w:rsidRPr="00154881">
              <w:rPr>
                <w:rFonts w:ascii="Calibri" w:hAnsi="Calibri"/>
                <w:i/>
                <w:sz w:val="22"/>
                <w:szCs w:val="22"/>
                <w:lang w:eastAsia="en-US"/>
              </w:rPr>
              <w:t>SR</w:t>
            </w:r>
            <w:r>
              <w:rPr>
                <w:rFonts w:ascii="Calibri" w:hAnsi="Calibri"/>
                <w:i/>
                <w:sz w:val="22"/>
                <w:szCs w:val="22"/>
                <w:lang w:eastAsia="en-US"/>
              </w:rPr>
              <w:t>?</w:t>
            </w:r>
          </w:p>
        </w:tc>
      </w:tr>
      <w:tr>
        <w:tblPrEx>
          <w:tblW w:w="9797" w:type="dxa"/>
          <w:tblLook w:val="04A0"/>
        </w:tblPrEx>
        <w:trPr>
          <w:trHeight w:val="1610"/>
        </w:trPr>
        <w:tc>
          <w:tcPr>
            <w:tcW w:w="9797" w:type="dxa"/>
            <w:tcBorders>
              <w:top w:val="single" w:sz="4" w:space="0" w:color="auto"/>
              <w:left w:val="single" w:sz="4" w:space="0" w:color="auto"/>
              <w:bottom w:val="single" w:sz="4" w:space="0" w:color="auto"/>
              <w:right w:val="single" w:sz="4" w:space="0" w:color="auto"/>
            </w:tcBorders>
            <w:textDirection w:val="lrTb"/>
            <w:vAlign w:val="top"/>
          </w:tcPr>
          <w:p w:rsidR="00150BE9" w:rsidRPr="00F04CCD" w:rsidP="003D6C0C">
            <w:pPr>
              <w:bidi w:val="0"/>
              <w:rPr>
                <w:rFonts w:ascii="Calibri" w:hAnsi="Calibri"/>
                <w:i/>
                <w:sz w:val="22"/>
                <w:szCs w:val="22"/>
                <w:lang w:eastAsia="en-US"/>
              </w:rPr>
            </w:pPr>
          </w:p>
        </w:tc>
      </w:tr>
    </w:tbl>
    <w:p w:rsidR="00150BE9" w:rsidRPr="00F04CCD" w:rsidP="00150BE9">
      <w:pPr>
        <w:bidi w:val="0"/>
        <w:rPr>
          <w:rFonts w:ascii="Times New Roman" w:hAnsi="Times New Roman"/>
        </w:rPr>
      </w:pPr>
    </w:p>
    <w:p w:rsidR="00150BE9" w:rsidP="00CD278C">
      <w:pPr>
        <w:pStyle w:val="Title"/>
        <w:bidi w:val="0"/>
        <w:jc w:val="left"/>
        <w:rPr>
          <w:rFonts w:ascii="Times New Roman" w:hAnsi="Times New Roman"/>
        </w:rPr>
      </w:pPr>
    </w:p>
    <w:p w:rsidR="00150BE9" w:rsidP="00150BE9">
      <w:pPr>
        <w:pStyle w:val="Title"/>
        <w:bidi w:val="0"/>
        <w:rPr>
          <w:rFonts w:ascii="Times New Roman" w:hAnsi="Times New Roman"/>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F10DC" w:rsidRPr="00CD4982" w:rsidP="003D6C0C">
            <w:pPr>
              <w:bidi w:val="0"/>
              <w:ind w:left="-284" w:firstLine="284"/>
              <w:jc w:val="center"/>
              <w:rPr>
                <w:rFonts w:ascii="Times New Roman" w:hAnsi="Times New Roman"/>
                <w:b/>
              </w:rPr>
            </w:pPr>
            <w:r>
              <w:rPr>
                <w:rFonts w:ascii="Times New Roman" w:hAnsi="Times New Roman"/>
                <w:b/>
                <w:sz w:val="28"/>
              </w:rPr>
              <w:t>Analýza s</w:t>
            </w:r>
            <w:r w:rsidRPr="00CD4982">
              <w:rPr>
                <w:rFonts w:ascii="Times New Roman" w:hAnsi="Times New Roman"/>
                <w:b/>
                <w:sz w:val="28"/>
              </w:rPr>
              <w:t>ociáln</w:t>
            </w:r>
            <w:r>
              <w:rPr>
                <w:rFonts w:ascii="Times New Roman" w:hAnsi="Times New Roman"/>
                <w:b/>
                <w:sz w:val="28"/>
              </w:rPr>
              <w:t>ych</w:t>
            </w:r>
            <w:r w:rsidRPr="00CD4982">
              <w:rPr>
                <w:rFonts w:ascii="Times New Roman" w:hAnsi="Times New Roman"/>
                <w:b/>
                <w:sz w:val="28"/>
              </w:rPr>
              <w:t xml:space="preserve"> vplyv</w:t>
            </w:r>
            <w:r>
              <w:rPr>
                <w:rFonts w:ascii="Times New Roman" w:hAnsi="Times New Roman"/>
                <w:b/>
                <w:sz w:val="28"/>
              </w:rPr>
              <w:t>ov</w:t>
            </w:r>
          </w:p>
          <w:p w:rsidR="00AF10DC" w:rsidRPr="00CD4982" w:rsidP="003D6C0C">
            <w:pPr>
              <w:bidi w:val="0"/>
              <w:jc w:val="center"/>
              <w:rPr>
                <w:rFonts w:ascii="Times New Roman" w:hAnsi="Times New Roman"/>
                <w:b/>
              </w:rPr>
            </w:pPr>
            <w:r w:rsidRPr="00CD4982">
              <w:rPr>
                <w:rFonts w:ascii="Times New Roman" w:hAnsi="Times New Roman"/>
                <w:b/>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AF10DC" w:rsidRPr="0040544D" w:rsidP="003D6C0C">
            <w:pPr>
              <w:bidi w:val="0"/>
              <w:rPr>
                <w:rFonts w:ascii="Times New Roman" w:hAnsi="Times New Roman"/>
                <w:b/>
              </w:rPr>
            </w:pPr>
            <w:r w:rsidRPr="00CD4982">
              <w:rPr>
                <w:rFonts w:ascii="Times New Roman" w:hAnsi="Times New Roman"/>
                <w:b/>
              </w:rPr>
              <w:t>4.1 Identifikujte, popíšte a kvantifikujte vplyv na hospodárenie domácností a špecifikujte ovplyvnené skupiny domácností, ktoré budú pozitívne/negatívne ovplyvnené.</w:t>
            </w:r>
          </w:p>
        </w:tc>
      </w:tr>
    </w:tbl>
    <w:p w:rsidR="00AF10DC" w:rsidP="00AF10DC">
      <w:pPr>
        <w:shd w:val="clear" w:color="auto" w:fill="F2F2F2"/>
        <w:bidi w:val="0"/>
        <w:rPr>
          <w:rFonts w:ascii="Times New Roman" w:hAnsi="Times New Roman"/>
          <w:i/>
        </w:rPr>
        <w:sectPr w:rsidSect="00FC1495">
          <w:headerReference w:type="default" r:id="rId5"/>
          <w:footerReference w:type="default" r:id="rId6"/>
          <w:footnotePr>
            <w:numFmt w:val="chicago"/>
          </w:footnotePr>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F10DC" w:rsidRPr="00CD4982" w:rsidP="003D6C0C">
            <w:pPr>
              <w:shd w:val="clear" w:color="auto" w:fill="F2F2F2"/>
              <w:bidi w:val="0"/>
              <w:rPr>
                <w:rFonts w:ascii="Times New Roman" w:hAnsi="Times New Roman"/>
                <w:i/>
              </w:rPr>
            </w:pPr>
            <w:r w:rsidRPr="00CD4982">
              <w:rPr>
                <w:rFonts w:ascii="Times New Roman" w:hAnsi="Times New Roman"/>
                <w:i/>
              </w:rPr>
              <w:t xml:space="preserve">Vedie návrh k zvýšeniu alebo zníženiu príjmov alebo výdavkov domácností? </w:t>
            </w:r>
          </w:p>
          <w:p w:rsidR="00AF10DC" w:rsidRPr="00CD4982" w:rsidP="003D6C0C">
            <w:pPr>
              <w:shd w:val="clear" w:color="auto" w:fill="F2F2F2"/>
              <w:bidi w:val="0"/>
              <w:rPr>
                <w:rFonts w:ascii="Times New Roman" w:hAnsi="Times New Roman"/>
                <w:i/>
              </w:rPr>
            </w:pPr>
            <w:r w:rsidRPr="00CD4982">
              <w:rPr>
                <w:rFonts w:ascii="Times New Roman" w:hAnsi="Times New Roman"/>
                <w:i/>
              </w:rPr>
              <w:t xml:space="preserve">Ktoré skupiny domácností/obyvateľstva sú takto ovplyvnené a akým spôsobom? </w:t>
            </w:r>
          </w:p>
          <w:p w:rsidR="00AF10DC" w:rsidRPr="00CD4982" w:rsidP="003D6C0C">
            <w:pPr>
              <w:shd w:val="clear" w:color="auto" w:fill="F2F2F2"/>
              <w:bidi w:val="0"/>
              <w:rPr>
                <w:rFonts w:ascii="Calibri" w:hAnsi="Calibri"/>
                <w:i/>
              </w:rPr>
            </w:pPr>
            <w:r w:rsidRPr="00CD4982">
              <w:rPr>
                <w:rFonts w:ascii="Times New Roman" w:hAnsi="Times New Roman"/>
                <w:i/>
              </w:rPr>
              <w:t>Sú medzi potenciálne ovplyvnenými skupinami skupiny v riziku chudoby alebo sociálneho vylúčenia?</w:t>
            </w:r>
          </w:p>
        </w:tc>
      </w:tr>
    </w:tbl>
    <w:p w:rsidR="00AF10DC" w:rsidP="00AF10DC">
      <w:pPr>
        <w:bidi w:val="0"/>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AF10DC" w:rsidRPr="00170011" w:rsidP="003D6C0C">
            <w:pPr>
              <w:bidi w:val="0"/>
              <w:rPr>
                <w:rFonts w:ascii="Times New Roman" w:hAnsi="Times New Roman"/>
                <w:i/>
              </w:rPr>
            </w:pPr>
            <w:r w:rsidRPr="00170011">
              <w:rPr>
                <w:rFonts w:ascii="Times New Roman" w:hAnsi="Times New Roman"/>
                <w:i/>
              </w:rPr>
              <w:t xml:space="preserve">Popíšte </w:t>
            </w:r>
            <w:r w:rsidRPr="00170011">
              <w:rPr>
                <w:rFonts w:ascii="Times New Roman" w:hAnsi="Times New Roman"/>
                <w:b/>
                <w:i/>
              </w:rPr>
              <w:t>pozitívny</w:t>
            </w:r>
            <w:r w:rsidRPr="00170011">
              <w:rPr>
                <w:rFonts w:ascii="Times New Roman" w:hAnsi="Times New Roman"/>
                <w:i/>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AF10DC" w:rsidP="003D6C0C">
            <w:pPr>
              <w:bidi w:val="0"/>
              <w:jc w:val="both"/>
              <w:rPr>
                <w:rFonts w:ascii="Times New Roman" w:hAnsi="Times New Roman"/>
                <w:sz w:val="20"/>
                <w:szCs w:val="20"/>
              </w:rPr>
            </w:pPr>
            <w:r>
              <w:rPr>
                <w:rFonts w:ascii="Times New Roman" w:hAnsi="Times New Roman"/>
                <w:sz w:val="20"/>
                <w:szCs w:val="20"/>
              </w:rPr>
              <w:t>K zákonu č. 39/2015 Z. z.:</w:t>
            </w:r>
          </w:p>
          <w:p w:rsidR="00AF10DC" w:rsidP="003D6C0C">
            <w:pPr>
              <w:bidi w:val="0"/>
              <w:jc w:val="both"/>
              <w:rPr>
                <w:rFonts w:ascii="Times New Roman" w:hAnsi="Times New Roman"/>
                <w:sz w:val="20"/>
                <w:szCs w:val="20"/>
              </w:rPr>
            </w:pPr>
            <w:r>
              <w:rPr>
                <w:rFonts w:ascii="Times New Roman" w:hAnsi="Times New Roman"/>
                <w:sz w:val="20"/>
                <w:szCs w:val="20"/>
              </w:rPr>
              <w:t xml:space="preserve">zavádza pravidlá pre výpočet odkupnej hodnoty </w:t>
            </w:r>
            <w:r w:rsidRPr="00D274D6">
              <w:rPr>
                <w:rFonts w:ascii="Times New Roman" w:hAnsi="Times New Roman"/>
                <w:sz w:val="20"/>
                <w:szCs w:val="20"/>
              </w:rPr>
              <w:t xml:space="preserve">pri predčasnom ukončení zmluvného vzťahu v životnom poistení, </w:t>
            </w:r>
            <w:r>
              <w:rPr>
                <w:rFonts w:ascii="Times New Roman" w:hAnsi="Times New Roman"/>
                <w:sz w:val="20"/>
                <w:szCs w:val="20"/>
              </w:rPr>
              <w:t xml:space="preserve">keď </w:t>
            </w:r>
            <w:r w:rsidRPr="00D274D6">
              <w:rPr>
                <w:rFonts w:ascii="Times New Roman" w:hAnsi="Times New Roman"/>
                <w:sz w:val="20"/>
                <w:szCs w:val="20"/>
              </w:rPr>
              <w:t>nie je poistníkovi vyplatená žiadna odkupná hodnota alebo je odkupná hodnota vyplatená len vo veľmi nízkej výške. Z uvedeného dôvodu je potrebné zabezpečiť ochranu poistníka v tejto oblasti. Cieľom regulácie je, aby distribučné náklady neniesol v prvých rokoch trvania poistenia výlučne poistník, z uvedeného dôvodu sa navrhuje zavedenie investičných limitov a minimálnych odkupných hodnôt.</w:t>
            </w:r>
          </w:p>
          <w:p w:rsidR="00AF10DC" w:rsidRPr="00D274D6" w:rsidP="003D6C0C">
            <w:pPr>
              <w:bidi w:val="0"/>
              <w:jc w:val="both"/>
              <w:rPr>
                <w:rFonts w:ascii="Times New Roman" w:hAnsi="Times New Roman"/>
                <w:sz w:val="20"/>
                <w:szCs w:val="20"/>
              </w:rPr>
            </w:pPr>
            <w:r>
              <w:rPr>
                <w:rFonts w:ascii="Times New Roman" w:hAnsi="Times New Roman"/>
                <w:sz w:val="20"/>
                <w:szCs w:val="20"/>
              </w:rPr>
              <w:t>Zvyšuje sa informovanosť spotrebiteľov v súvislosti s návrhmi na zavedenie jednotlivých informačných formulárov.</w:t>
            </w:r>
          </w:p>
          <w:p w:rsidR="00AF10DC" w:rsidP="003D6C0C">
            <w:pPr>
              <w:bidi w:val="0"/>
              <w:rPr>
                <w:rFonts w:ascii="Times New Roman" w:hAnsi="Times New Roman"/>
                <w:sz w:val="20"/>
                <w:szCs w:val="20"/>
              </w:rPr>
            </w:pPr>
          </w:p>
          <w:p w:rsidR="00DA01C6" w:rsidP="003D6C0C">
            <w:pPr>
              <w:bidi w:val="0"/>
              <w:rPr>
                <w:rFonts w:ascii="Times New Roman" w:hAnsi="Times New Roman"/>
                <w:sz w:val="20"/>
                <w:szCs w:val="20"/>
              </w:rPr>
            </w:pPr>
            <w:r w:rsidR="00AF10DC">
              <w:rPr>
                <w:rFonts w:ascii="Times New Roman" w:hAnsi="Times New Roman"/>
                <w:sz w:val="20"/>
                <w:szCs w:val="20"/>
              </w:rPr>
              <w:t xml:space="preserve">K zákonom č. 129/2010 Z. z. a 90/2016 Z. z.: </w:t>
            </w:r>
          </w:p>
          <w:p w:rsidR="00AF10DC" w:rsidRPr="00170011" w:rsidP="003D6C0C">
            <w:pPr>
              <w:bidi w:val="0"/>
              <w:rPr>
                <w:rFonts w:ascii="Times New Roman" w:hAnsi="Times New Roman"/>
              </w:rPr>
            </w:pPr>
            <w:r>
              <w:rPr>
                <w:rFonts w:ascii="Times New Roman" w:hAnsi="Times New Roman"/>
                <w:sz w:val="20"/>
                <w:szCs w:val="20"/>
              </w:rPr>
              <w:t>Očakáva sa zvýšenie transparentnosti a informovanosti spotrebiteľa.</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AF10DC" w:rsidRPr="00170011" w:rsidP="003D6C0C">
            <w:pPr>
              <w:bidi w:val="0"/>
              <w:rPr>
                <w:rFonts w:ascii="Times New Roman" w:hAnsi="Times New Roman"/>
                <w:i/>
              </w:rPr>
            </w:pPr>
            <w:r w:rsidRPr="00170011">
              <w:rPr>
                <w:rFonts w:ascii="Times New Roman" w:hAnsi="Times New Roman"/>
                <w:i/>
              </w:rPr>
              <w:t xml:space="preserve">Špecifikujte </w:t>
            </w:r>
            <w:r w:rsidRPr="00170011">
              <w:rPr>
                <w:rFonts w:ascii="Times New Roman" w:hAnsi="Times New Roman"/>
                <w:b/>
                <w:i/>
              </w:rPr>
              <w:t>pozitívne</w:t>
            </w:r>
            <w:r w:rsidRPr="00170011">
              <w:rPr>
                <w:rFonts w:ascii="Times New Roman" w:hAnsi="Times New Roman"/>
                <w:i/>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AF10DC" w:rsidP="003D6C0C">
            <w:pPr>
              <w:bidi w:val="0"/>
              <w:rPr>
                <w:rFonts w:ascii="Times New Roman" w:hAnsi="Times New Roman"/>
                <w:sz w:val="20"/>
                <w:szCs w:val="20"/>
              </w:rPr>
            </w:pPr>
            <w:r>
              <w:rPr>
                <w:rFonts w:ascii="Times New Roman" w:hAnsi="Times New Roman"/>
                <w:sz w:val="20"/>
                <w:szCs w:val="20"/>
              </w:rPr>
              <w:t>Poistníci – poistné zmluvy</w:t>
            </w:r>
          </w:p>
          <w:p w:rsidR="00AF10DC" w:rsidRPr="00170011" w:rsidP="003D6C0C">
            <w:pPr>
              <w:bidi w:val="0"/>
              <w:rPr>
                <w:rFonts w:ascii="Times New Roman" w:hAnsi="Times New Roman"/>
              </w:rPr>
            </w:pPr>
            <w:r>
              <w:rPr>
                <w:rFonts w:ascii="Times New Roman" w:hAnsi="Times New Roman"/>
                <w:sz w:val="20"/>
                <w:szCs w:val="20"/>
              </w:rPr>
              <w:t>Spotrebitelia- zmluvy o spotrebiteľských úveroch a úveroch na bývanie.</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AF10DC" w:rsidRPr="00170011" w:rsidP="003D6C0C">
            <w:pPr>
              <w:bidi w:val="0"/>
              <w:rPr>
                <w:rFonts w:ascii="Times New Roman" w:hAnsi="Times New Roman"/>
                <w:i/>
              </w:rPr>
            </w:pPr>
            <w:r w:rsidRPr="00170011">
              <w:rPr>
                <w:rFonts w:ascii="Times New Roman" w:hAnsi="Times New Roman"/>
                <w:i/>
              </w:rPr>
              <w:t xml:space="preserve">Popíšte </w:t>
            </w:r>
            <w:r w:rsidRPr="00170011">
              <w:rPr>
                <w:rFonts w:ascii="Times New Roman" w:hAnsi="Times New Roman"/>
                <w:b/>
                <w:i/>
              </w:rPr>
              <w:t xml:space="preserve">negatívny </w:t>
            </w:r>
            <w:r w:rsidRPr="00170011">
              <w:rPr>
                <w:rFonts w:ascii="Times New Roman" w:hAnsi="Times New Roman"/>
                <w:i/>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AF10DC" w:rsidRPr="00170011" w:rsidP="003D6C0C">
            <w:pPr>
              <w:bidi w:val="0"/>
              <w:jc w:val="both"/>
              <w:rPr>
                <w:rFonts w:ascii="Times New Roman" w:hAnsi="Times New Roman"/>
              </w:rPr>
            </w:pPr>
            <w:r>
              <w:rPr>
                <w:rFonts w:ascii="Times New Roman" w:hAnsi="Times New Roman"/>
              </w:rPr>
              <w:t>N/A</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AF10DC" w:rsidRPr="00170011" w:rsidP="003D6C0C">
            <w:pPr>
              <w:bidi w:val="0"/>
              <w:rPr>
                <w:rFonts w:ascii="Times New Roman" w:hAnsi="Times New Roman"/>
                <w:i/>
              </w:rPr>
            </w:pPr>
            <w:r w:rsidRPr="00170011">
              <w:rPr>
                <w:rFonts w:ascii="Times New Roman" w:hAnsi="Times New Roman"/>
                <w:i/>
              </w:rPr>
              <w:t xml:space="preserve">Špecifikujte </w:t>
            </w:r>
            <w:r w:rsidRPr="00170011">
              <w:rPr>
                <w:rFonts w:ascii="Times New Roman" w:hAnsi="Times New Roman"/>
                <w:b/>
                <w:i/>
              </w:rPr>
              <w:t>negatívne</w:t>
            </w:r>
            <w:r w:rsidRPr="00170011">
              <w:rPr>
                <w:rFonts w:ascii="Times New Roman" w:hAnsi="Times New Roman"/>
                <w:i/>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AF10DC" w:rsidRPr="00170011" w:rsidP="003D6C0C">
            <w:pPr>
              <w:bidi w:val="0"/>
              <w:jc w:val="both"/>
              <w:rPr>
                <w:rFonts w:ascii="Times New Roman" w:hAnsi="Times New Roman"/>
              </w:rPr>
            </w:pPr>
            <w:r>
              <w:rPr>
                <w:rFonts w:ascii="Times New Roman" w:hAnsi="Times New Roman"/>
              </w:rPr>
              <w:t>N/A</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AF10DC" w:rsidRPr="00170011" w:rsidP="003D6C0C">
            <w:pPr>
              <w:bidi w:val="0"/>
              <w:rPr>
                <w:rFonts w:ascii="Times New Roman" w:hAnsi="Times New Roman"/>
                <w:i/>
              </w:rPr>
            </w:pPr>
            <w:r w:rsidRPr="00170011">
              <w:rPr>
                <w:rFonts w:ascii="Times New Roman" w:hAnsi="Times New Roman"/>
                <w:i/>
              </w:rPr>
              <w:t xml:space="preserve">Špecifikujte ovplyvnené skupiny </w:t>
            </w:r>
            <w:r w:rsidRPr="00170011">
              <w:rPr>
                <w:rFonts w:ascii="Times New Roman" w:hAnsi="Times New Roman"/>
                <w:b/>
                <w:i/>
              </w:rPr>
              <w:t>v riziku chudoby alebo sociálneho vylúčenia</w:t>
            </w:r>
            <w:r w:rsidRPr="00170011">
              <w:rPr>
                <w:rFonts w:ascii="Times New Roman" w:hAnsi="Times New Roman"/>
                <w:i/>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AF10DC" w:rsidRPr="00170011" w:rsidP="003D6C0C">
            <w:pPr>
              <w:bidi w:val="0"/>
              <w:rPr>
                <w:rFonts w:ascii="Times New Roman" w:hAnsi="Times New Roman"/>
              </w:rPr>
            </w:pPr>
            <w:r>
              <w:rPr>
                <w:rFonts w:ascii="Times New Roman" w:hAnsi="Times New Roman"/>
              </w:rPr>
              <w:t>N/A</w:t>
            </w:r>
          </w:p>
        </w:tc>
      </w:tr>
    </w:tbl>
    <w:p w:rsidR="00AF10DC" w:rsidP="00AF10DC">
      <w:pPr>
        <w:bidi w:val="0"/>
        <w:jc w:val="both"/>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F10DC" w:rsidP="003D6C0C">
            <w:pPr>
              <w:bidi w:val="0"/>
              <w:jc w:val="both"/>
              <w:rPr>
                <w:rFonts w:ascii="Times New Roman" w:hAnsi="Times New Roman"/>
                <w:i/>
              </w:rPr>
            </w:pPr>
            <w:r w:rsidRPr="00CD4982">
              <w:rPr>
                <w:rFonts w:ascii="Times New Roman" w:hAnsi="Times New Roman"/>
                <w:i/>
              </w:rPr>
              <w:t>Kvantifikujte rast alebo pokles príjmov/výdavkov za jednotlivé ovplyvnené skupiny domácností / skupiny jednotlivcov a počet obyvateľstva/domácností ovplyvnených predkladaným materiálom.</w:t>
            </w:r>
          </w:p>
          <w:p w:rsidR="00AF10DC" w:rsidRPr="00CD4982" w:rsidP="003D6C0C">
            <w:pPr>
              <w:bidi w:val="0"/>
              <w:jc w:val="both"/>
              <w:rPr>
                <w:rFonts w:ascii="Times New Roman" w:hAnsi="Times New Roman"/>
                <w:i/>
              </w:rPr>
            </w:pPr>
            <w:r>
              <w:rPr>
                <w:rFonts w:ascii="Times New Roman" w:hAnsi="Times New Roman"/>
                <w:i/>
              </w:rPr>
              <w:t>V prípade vyššieho počtu ovplyvnených skupín doplňte do tabuľky ďalšie riadky.</w:t>
            </w:r>
          </w:p>
          <w:p w:rsidR="00AF10DC" w:rsidRPr="0040544D" w:rsidP="003D6C0C">
            <w:pPr>
              <w:tabs>
                <w:tab w:val="left" w:pos="3505"/>
              </w:tabs>
              <w:bidi w:val="0"/>
              <w:rPr>
                <w:rFonts w:ascii="Times New Roman" w:hAnsi="Times New Roman"/>
              </w:rPr>
            </w:pPr>
            <w:r w:rsidRPr="00CD4982">
              <w:rPr>
                <w:rFonts w:ascii="Times New Roman" w:hAnsi="Times New Roman"/>
                <w:i/>
              </w:rPr>
              <w:t>V prípade, ak neuvádzate kvantifikáciu, uveďte dôvod.</w:t>
            </w:r>
          </w:p>
        </w:tc>
      </w:tr>
    </w:tbl>
    <w:p w:rsidR="00AF10DC" w:rsidP="00AF10DC">
      <w:pPr>
        <w:bidi w:val="0"/>
        <w:jc w:val="both"/>
        <w:rPr>
          <w:rFonts w:ascii="Times New Roman" w:hAnsi="Times New Roman"/>
          <w:b/>
          <w:i/>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AF10DC" w:rsidRPr="00170011" w:rsidP="003D6C0C">
            <w:pPr>
              <w:bidi w:val="0"/>
              <w:jc w:val="both"/>
              <w:rPr>
                <w:rFonts w:ascii="Times New Roman" w:hAnsi="Times New Roman"/>
                <w:i/>
              </w:rPr>
            </w:pPr>
            <w:r w:rsidRPr="00170011">
              <w:rPr>
                <w:rFonts w:ascii="Times New Roman" w:hAnsi="Times New Roman"/>
                <w:b/>
                <w:i/>
              </w:rPr>
              <w:t xml:space="preserve">Ovplyvnená skupina č. 1:  </w:t>
            </w:r>
            <w:r w:rsidRPr="00170011">
              <w:rPr>
                <w:rFonts w:ascii="Times New Roman" w:hAnsi="Times New Roman"/>
              </w:rPr>
              <w:t>Poistníci poistení v odvetviach neživotného</w:t>
            </w:r>
            <w:r>
              <w:rPr>
                <w:rFonts w:ascii="Times New Roman" w:hAnsi="Times New Roman"/>
              </w:rPr>
              <w:t xml:space="preserve"> </w:t>
            </w:r>
            <w:r w:rsidRPr="00170011">
              <w:rPr>
                <w:rFonts w:ascii="Times New Roman" w:hAnsi="Times New Roman"/>
              </w:rPr>
              <w:t>poistenia</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AF10DC" w:rsidRPr="00170011" w:rsidP="003D6C0C">
            <w:pPr>
              <w:bidi w:val="0"/>
              <w:rPr>
                <w:rFonts w:ascii="Times New Roman" w:hAnsi="Times New Roman"/>
                <w:i/>
              </w:rPr>
            </w:pPr>
            <w:r w:rsidRPr="00170011">
              <w:rPr>
                <w:rFonts w:ascii="Times New Roman" w:hAnsi="Times New Roman"/>
                <w:i/>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AF10DC" w:rsidRPr="00170011" w:rsidP="003D6C0C">
            <w:pPr>
              <w:bidi w:val="0"/>
              <w:jc w:val="both"/>
              <w:rPr>
                <w:rFonts w:ascii="Times New Roman" w:hAnsi="Times New Roman"/>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AF10DC" w:rsidRPr="00170011" w:rsidP="003D6C0C">
            <w:pPr>
              <w:bidi w:val="0"/>
              <w:rPr>
                <w:rFonts w:ascii="Calibri" w:hAnsi="Calibri"/>
                <w:i/>
              </w:rPr>
            </w:pPr>
            <w:r w:rsidRPr="00170011">
              <w:rPr>
                <w:rFonts w:ascii="Times New Roman" w:hAnsi="Times New Roman"/>
                <w:i/>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AF10DC" w:rsidRPr="00170011" w:rsidP="003D6C0C">
            <w:pPr>
              <w:bidi w:val="0"/>
              <w:jc w:val="both"/>
              <w:rPr>
                <w:rFonts w:ascii="Times New Roman" w:hAnsi="Times New Roman"/>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AF10DC" w:rsidRPr="00170011" w:rsidP="003D6C0C">
            <w:pPr>
              <w:bidi w:val="0"/>
              <w:rPr>
                <w:rFonts w:ascii="Calibri" w:hAnsi="Calibri"/>
                <w:i/>
              </w:rPr>
            </w:pPr>
            <w:r w:rsidRPr="00170011">
              <w:rPr>
                <w:rFonts w:ascii="Times New Roman" w:hAnsi="Times New Roman"/>
                <w:i/>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AF10DC" w:rsidRPr="00170011" w:rsidP="003D6C0C">
            <w:pPr>
              <w:bidi w:val="0"/>
              <w:jc w:val="both"/>
              <w:rPr>
                <w:rFonts w:ascii="Times New Roman"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AF10DC" w:rsidRPr="00170011" w:rsidP="003D6C0C">
            <w:pPr>
              <w:bidi w:val="0"/>
              <w:rPr>
                <w:rFonts w:ascii="Calibri" w:hAnsi="Calibri"/>
                <w:i/>
              </w:rPr>
            </w:pPr>
            <w:r w:rsidRPr="00170011">
              <w:rPr>
                <w:rFonts w:ascii="Times New Roman" w:hAnsi="Times New Roman"/>
                <w:i/>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AF10DC" w:rsidRPr="00170011" w:rsidP="003D6C0C">
            <w:pPr>
              <w:bidi w:val="0"/>
              <w:jc w:val="both"/>
              <w:rPr>
                <w:rFonts w:ascii="Times New Roman"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AF10DC" w:rsidRPr="00170011" w:rsidP="003D6C0C">
            <w:pPr>
              <w:bidi w:val="0"/>
              <w:jc w:val="both"/>
              <w:rPr>
                <w:rFonts w:ascii="Times New Roman" w:hAnsi="Times New Roman"/>
                <w:i/>
              </w:rPr>
            </w:pPr>
            <w:r w:rsidRPr="00170011">
              <w:rPr>
                <w:rFonts w:ascii="Times New Roman" w:hAnsi="Times New Roman"/>
                <w:i/>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AF10DC" w:rsidRPr="00170011" w:rsidP="003D6C0C">
            <w:pPr>
              <w:bidi w:val="0"/>
              <w:jc w:val="both"/>
              <w:rPr>
                <w:rFonts w:ascii="Times New Roman" w:hAnsi="Times New Roman"/>
              </w:rPr>
            </w:pPr>
          </w:p>
        </w:tc>
      </w:tr>
    </w:tbl>
    <w:p w:rsidR="00AF10DC" w:rsidRPr="00A30F1C" w:rsidP="00AF10DC">
      <w:pPr>
        <w:bidi w:val="0"/>
        <w:rPr>
          <w:rFonts w:ascii="Times New Roman" w:hAnsi="Times New Roman"/>
        </w:rPr>
      </w:pPr>
    </w:p>
    <w:p w:rsidR="00AF10DC" w:rsidP="00AF10DC">
      <w:pPr>
        <w:bidi w:val="0"/>
        <w:rPr>
          <w:rFonts w:ascii="Times New Roman" w:hAnsi="Times New Roman"/>
          <w:b/>
        </w:rPr>
      </w:pPr>
    </w:p>
    <w:p w:rsidR="00AF10DC" w:rsidP="00AF10DC">
      <w:pPr>
        <w:bidi w:val="0"/>
        <w:rPr>
          <w:rFonts w:ascii="Times New Roman" w:hAnsi="Times New Roman"/>
          <w:b/>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F10DC" w:rsidRPr="00CD4982" w:rsidP="003D6C0C">
            <w:pPr>
              <w:bidi w:val="0"/>
              <w:rPr>
                <w:rFonts w:ascii="Times New Roman" w:hAnsi="Times New Roman"/>
                <w:b/>
              </w:rPr>
            </w:pPr>
            <w:r w:rsidRPr="00CD4982">
              <w:rPr>
                <w:rFonts w:ascii="Times New Roman" w:hAnsi="Times New Roman"/>
                <w:b/>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F10DC" w:rsidRPr="00CD4982" w:rsidP="003D6C0C">
            <w:pPr>
              <w:bidi w:val="0"/>
              <w:jc w:val="both"/>
              <w:rPr>
                <w:rFonts w:ascii="Times New Roman" w:hAnsi="Times New Roman"/>
                <w:i/>
              </w:rPr>
            </w:pPr>
            <w:r w:rsidRPr="00CD4982">
              <w:rPr>
                <w:rFonts w:ascii="Times New Roman" w:hAnsi="Times New Roman"/>
                <w:i/>
              </w:rPr>
              <w:t xml:space="preserve">Má návrh vplyv na prístup k zdrojom, právam, tovarom a službám? </w:t>
            </w:r>
          </w:p>
          <w:p w:rsidR="00AF10DC" w:rsidRPr="00CD4982" w:rsidP="003D6C0C">
            <w:pPr>
              <w:bidi w:val="0"/>
              <w:jc w:val="both"/>
              <w:rPr>
                <w:rFonts w:ascii="Calibri" w:hAnsi="Calibri"/>
                <w:i/>
              </w:rPr>
            </w:pPr>
            <w:r w:rsidRPr="00CD4982">
              <w:rPr>
                <w:rFonts w:ascii="Times New Roman" w:hAnsi="Times New Roman"/>
                <w:i/>
              </w:rPr>
              <w:t>Špecifikujete ovplyvnené skupiny obyvateľstva a charakter zmeny v prístupnosti s ohľadom na dostupnosť finančnú, geografickú, kvalitu, organizovanie a pod. Uveďte veľkosť jednotlivých ovplyvnených skupín.</w:t>
            </w:r>
          </w:p>
        </w:tc>
      </w:tr>
    </w:tbl>
    <w:p w:rsidR="00AF10DC" w:rsidP="00AF10DC">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AF10DC" w:rsidRPr="00DA01C6" w:rsidP="003D6C0C">
            <w:pPr>
              <w:bidi w:val="0"/>
              <w:jc w:val="both"/>
              <w:rPr>
                <w:rFonts w:ascii="Times New Roman" w:hAnsi="Times New Roman"/>
                <w:i/>
                <w:sz w:val="20"/>
                <w:szCs w:val="20"/>
              </w:rPr>
            </w:pPr>
            <w:r w:rsidRPr="00DA01C6">
              <w:rPr>
                <w:rFonts w:ascii="Times New Roman" w:hAnsi="Times New Roman"/>
                <w:i/>
                <w:sz w:val="20"/>
                <w:szCs w:val="20"/>
              </w:rPr>
              <w:t>Rozumie sa najmä na prístup k:</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 xml:space="preserve">sociálnej ochrane, sociálno-právnej ochrane, sociálnym službám (vrátane služieb starostlivosti o deti, starších ľudí a ľudí so zdravotným postihnutím), </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kvalitnej práci, ochrane zdravia, dôstojnosti a bezpečnosti pri práci pre zamestnancov a existujúcim zamestnaneckým právam,</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 xml:space="preserve">pomoci pri úhrade výdavkov súvisiacich so zdravotným postihnutím, </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zamestnaniu, na trh práce (napr. uľahčenie zosúladenia rodinných a pracovných povinností, služby zamestnanosti), k školeniam, odbornému vzdelávaniu a príprave na trh práce,</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 xml:space="preserve">zdravotnej starostlivosti vrátane cenovo dostupných pomôcok pre občanov so zdravotným postihnutím, </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k formálnemu i neformálnemu vzdelávaniu a celo</w:t>
            </w:r>
            <w:r w:rsidRPr="00DA01C6">
              <w:rPr>
                <w:rFonts w:ascii="Times New Roman" w:hAnsi="Times New Roman"/>
                <w:i/>
                <w:sz w:val="20"/>
                <w:szCs w:val="20"/>
              </w:rPr>
              <w:softHyphen/>
              <w:t xml:space="preserve">životnému vzdelávaniu, </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bývaniu a súvisiacim základným komunálnym službám,</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doprave,</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ďalším službám najmä službám všeobecného záujmu a tovarom,</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spravodlivosti, právnej ochrane, právnym službám,</w:t>
            </w:r>
          </w:p>
          <w:p w:rsidR="00AF10DC" w:rsidRPr="00DA01C6" w:rsidP="00AF10DC">
            <w:pPr>
              <w:numPr>
                <w:numId w:val="12"/>
              </w:numPr>
              <w:bidi w:val="0"/>
              <w:jc w:val="both"/>
              <w:rPr>
                <w:rFonts w:ascii="Times New Roman" w:hAnsi="Times New Roman"/>
                <w:i/>
                <w:sz w:val="20"/>
                <w:szCs w:val="20"/>
              </w:rPr>
            </w:pPr>
            <w:r w:rsidRPr="00DA01C6">
              <w:rPr>
                <w:rFonts w:ascii="Times New Roman" w:hAnsi="Times New Roman"/>
                <w:i/>
                <w:sz w:val="20"/>
                <w:szCs w:val="20"/>
              </w:rPr>
              <w:t>informáciám</w:t>
            </w:r>
          </w:p>
          <w:p w:rsidR="00AF10DC" w:rsidRPr="00170011" w:rsidP="00AF10DC">
            <w:pPr>
              <w:numPr>
                <w:numId w:val="12"/>
              </w:numPr>
              <w:bidi w:val="0"/>
              <w:jc w:val="both"/>
              <w:rPr>
                <w:rFonts w:ascii="Calibri" w:hAnsi="Calibri"/>
                <w:i/>
              </w:rPr>
            </w:pPr>
            <w:r w:rsidRPr="00DA01C6">
              <w:rPr>
                <w:rFonts w:ascii="Times New Roman" w:hAnsi="Times New Roman"/>
                <w:i/>
                <w:sz w:val="20"/>
                <w:szCs w:val="20"/>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AF10DC" w:rsidRPr="00170011" w:rsidP="003D6C0C">
            <w:pPr>
              <w:bidi w:val="0"/>
              <w:rPr>
                <w:rFonts w:ascii="Times New Roman" w:hAnsi="Times New Roman"/>
              </w:rPr>
            </w:pPr>
          </w:p>
          <w:p w:rsidR="00AF10DC" w:rsidRPr="008057A9" w:rsidP="003D6C0C">
            <w:pPr>
              <w:bidi w:val="0"/>
              <w:jc w:val="both"/>
              <w:rPr>
                <w:rFonts w:ascii="Times New Roman" w:hAnsi="Times New Roman"/>
                <w:sz w:val="20"/>
                <w:szCs w:val="20"/>
              </w:rPr>
            </w:pPr>
            <w:r w:rsidRPr="008057A9">
              <w:rPr>
                <w:rFonts w:ascii="Times New Roman" w:hAnsi="Times New Roman"/>
                <w:sz w:val="20"/>
                <w:szCs w:val="20"/>
              </w:rPr>
              <w:t>K zákonu č. 39/2015 Z. z.:</w:t>
            </w:r>
          </w:p>
          <w:p w:rsidR="00AF10DC" w:rsidRPr="008057A9" w:rsidP="003D6C0C">
            <w:pPr>
              <w:bidi w:val="0"/>
              <w:jc w:val="both"/>
              <w:rPr>
                <w:rFonts w:ascii="Times New Roman" w:hAnsi="Times New Roman"/>
                <w:sz w:val="20"/>
                <w:szCs w:val="20"/>
              </w:rPr>
            </w:pPr>
            <w:r w:rsidRPr="008057A9">
              <w:rPr>
                <w:rFonts w:ascii="Times New Roman" w:hAnsi="Times New Roman"/>
                <w:sz w:val="20"/>
                <w:szCs w:val="20"/>
              </w:rPr>
              <w:t>V prípade predčasného ukončenia poistnej zmluvy bude poistníkovi vyplatená poisťovňou, poisťovňou z iného členského štátu a pobočkou zahraničnej poisťo</w:t>
            </w:r>
            <w:r>
              <w:rPr>
                <w:rFonts w:ascii="Times New Roman" w:hAnsi="Times New Roman"/>
                <w:sz w:val="20"/>
                <w:szCs w:val="20"/>
              </w:rPr>
              <w:t>vne garantovaná odkupná hodnota a zvýšenie informovanosti v súvislosti s návrhmi na zavedenie jednotlivých informačných formulárov.</w:t>
            </w:r>
            <w:r w:rsidRPr="008057A9">
              <w:rPr>
                <w:rFonts w:ascii="Times New Roman" w:hAnsi="Times New Roman"/>
                <w:sz w:val="20"/>
                <w:szCs w:val="20"/>
              </w:rPr>
              <w:t xml:space="preserve"> </w:t>
            </w:r>
          </w:p>
          <w:p w:rsidR="00AF10DC" w:rsidP="003D6C0C">
            <w:pPr>
              <w:bidi w:val="0"/>
              <w:jc w:val="both"/>
              <w:rPr>
                <w:rFonts w:ascii="Times New Roman" w:hAnsi="Times New Roman"/>
                <w:sz w:val="20"/>
                <w:szCs w:val="20"/>
              </w:rPr>
            </w:pPr>
          </w:p>
          <w:p w:rsidR="00DA01C6" w:rsidP="003D6C0C">
            <w:pPr>
              <w:bidi w:val="0"/>
              <w:rPr>
                <w:rFonts w:ascii="Times New Roman" w:hAnsi="Times New Roman"/>
                <w:sz w:val="20"/>
                <w:szCs w:val="20"/>
              </w:rPr>
            </w:pPr>
            <w:r w:rsidRPr="008057A9" w:rsidR="00AF10DC">
              <w:rPr>
                <w:rFonts w:ascii="Times New Roman" w:hAnsi="Times New Roman"/>
                <w:sz w:val="20"/>
                <w:szCs w:val="20"/>
              </w:rPr>
              <w:t xml:space="preserve">K zákonom č. 129/2010 Z. z. a 90/2016 Z. z.: </w:t>
            </w:r>
          </w:p>
          <w:p w:rsidR="00AF10DC" w:rsidRPr="00170011" w:rsidP="003D6C0C">
            <w:pPr>
              <w:bidi w:val="0"/>
              <w:rPr>
                <w:rFonts w:ascii="Times New Roman" w:hAnsi="Times New Roman"/>
              </w:rPr>
            </w:pPr>
            <w:r w:rsidRPr="006F3EEF">
              <w:rPr>
                <w:rFonts w:ascii="Times New Roman" w:hAnsi="Times New Roman"/>
                <w:sz w:val="20"/>
                <w:szCs w:val="20"/>
              </w:rPr>
              <w:t>Očakáva sa zvýšenie transparentnosti a informovanosti spotrebiteľa</w:t>
            </w:r>
          </w:p>
        </w:tc>
      </w:tr>
    </w:tbl>
    <w:p w:rsidR="00AF10DC" w:rsidP="00AF10DC">
      <w:pPr>
        <w:bidi w:val="0"/>
        <w:jc w:val="both"/>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F10DC" w:rsidRPr="00CD4982" w:rsidP="003D6C0C">
            <w:pPr>
              <w:bidi w:val="0"/>
              <w:jc w:val="both"/>
              <w:rPr>
                <w:rFonts w:ascii="Times New Roman" w:hAnsi="Times New Roman"/>
                <w:i/>
              </w:rPr>
            </w:pPr>
            <w:r w:rsidRPr="00CD4982">
              <w:rPr>
                <w:rFonts w:ascii="Times New Roman" w:hAnsi="Times New Roman"/>
                <w:i/>
              </w:rPr>
              <w:t xml:space="preserve">Má návrh významný vplyv na niektorú zo zraniteľných skupín obyvateľstva alebo skupín v riziku chudoby alebo sociálneho vylúčenia? </w:t>
            </w:r>
          </w:p>
          <w:p w:rsidR="00AF10DC" w:rsidRPr="00CD4982" w:rsidP="003D6C0C">
            <w:pPr>
              <w:bidi w:val="0"/>
              <w:jc w:val="both"/>
              <w:rPr>
                <w:rFonts w:ascii="Calibri" w:hAnsi="Calibri"/>
                <w:i/>
              </w:rPr>
            </w:pPr>
            <w:r w:rsidRPr="00CD4982">
              <w:rPr>
                <w:rFonts w:ascii="Times New Roman" w:hAnsi="Times New Roman"/>
                <w:i/>
              </w:rPr>
              <w:t>Špecifikujte ovplyvnené skupiny v riziku chudoby a sociálneho vylúčenia a popíšte vplyv na ne. Je tento vplyv väčší ako vplyv na iné skupiny či subjekty? Uveďte veľkosť jednotlivých ovplyvnených skupín.</w:t>
            </w:r>
          </w:p>
        </w:tc>
      </w:tr>
    </w:tbl>
    <w:p w:rsidR="00AF10DC" w:rsidP="00AF10DC">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AF10DC" w:rsidRPr="00DA01C6" w:rsidP="003D6C0C">
            <w:pPr>
              <w:bidi w:val="0"/>
              <w:jc w:val="both"/>
              <w:rPr>
                <w:rFonts w:ascii="Times New Roman" w:hAnsi="Times New Roman"/>
                <w:i/>
                <w:sz w:val="20"/>
                <w:szCs w:val="20"/>
              </w:rPr>
            </w:pPr>
            <w:r w:rsidRPr="00DA01C6">
              <w:rPr>
                <w:rFonts w:ascii="Times New Roman" w:hAnsi="Times New Roman"/>
                <w:i/>
                <w:sz w:val="20"/>
                <w:szCs w:val="20"/>
              </w:rPr>
              <w:t>Zraniteľné skupiny alebo skupiny v riziku chudoby alebo sociálneho vylúčenia sú napr.:</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domácnosti s nízkym príjmom (napr. žijúce iba zo sociálnych príjmov, alebo z príjmov pod hranicou rizika chudoby, alebo s príjmom pod životným minimom, alebo patriace medzi 25% domácností s najnižším príjmom),</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nezamestnaní, najmä dlhodobo nezamestnaní, mladí nezamestnaní a nezamestnaní nad 50 rokov,</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deti (0 – 17),</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mladí ľudia (18 – 25 rokov),</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starší ľudia, napr. ľudia vo veku nad 65 rokov alebo dôchodcovia,</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ľudia so zdravotným postihnutím,</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 xml:space="preserve">marginalizované rómske komunity </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domácnosti s 3 a viac deťmi,</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jednorodičovské domácnosti s deťmi (neúplné rodiny, ktoré tvoria najmä osamelé matky s deťmi),</w:t>
            </w:r>
          </w:p>
          <w:p w:rsidR="00AF10DC" w:rsidRPr="00DA01C6" w:rsidP="00AF10DC">
            <w:pPr>
              <w:numPr>
                <w:numId w:val="13"/>
              </w:numPr>
              <w:bidi w:val="0"/>
              <w:jc w:val="both"/>
              <w:rPr>
                <w:rFonts w:ascii="Times New Roman" w:hAnsi="Times New Roman"/>
                <w:i/>
                <w:sz w:val="20"/>
                <w:szCs w:val="20"/>
              </w:rPr>
            </w:pPr>
            <w:r w:rsidRPr="00DA01C6">
              <w:rPr>
                <w:rFonts w:ascii="Times New Roman" w:hAnsi="Times New Roman"/>
                <w:i/>
                <w:sz w:val="20"/>
                <w:szCs w:val="20"/>
              </w:rPr>
              <w:t>príslušníci tretích krajín, azylanti, žiadatelia o azyl,</w:t>
            </w:r>
          </w:p>
          <w:p w:rsidR="00AF10DC" w:rsidRPr="00170011" w:rsidP="00AF10DC">
            <w:pPr>
              <w:numPr>
                <w:numId w:val="13"/>
              </w:numPr>
              <w:bidi w:val="0"/>
              <w:jc w:val="both"/>
              <w:rPr>
                <w:rFonts w:ascii="Calibri" w:hAnsi="Calibri"/>
                <w:i/>
              </w:rPr>
            </w:pPr>
            <w:r w:rsidRPr="00DA01C6">
              <w:rPr>
                <w:rFonts w:ascii="Times New Roman" w:hAnsi="Times New Roman"/>
                <w:i/>
                <w:sz w:val="20"/>
                <w:szCs w:val="20"/>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AF10DC" w:rsidRPr="00170011" w:rsidP="003D6C0C">
            <w:pPr>
              <w:bidi w:val="0"/>
              <w:rPr>
                <w:rFonts w:ascii="Times New Roman" w:hAnsi="Times New Roman"/>
              </w:rPr>
            </w:pPr>
          </w:p>
          <w:p w:rsidR="00AF10DC" w:rsidRPr="00170011" w:rsidP="003D6C0C">
            <w:pPr>
              <w:bidi w:val="0"/>
              <w:rPr>
                <w:rFonts w:ascii="Times New Roman" w:hAnsi="Times New Roman"/>
              </w:rPr>
            </w:pPr>
            <w:r>
              <w:rPr>
                <w:rFonts w:ascii="Times New Roman" w:hAnsi="Times New Roman"/>
              </w:rPr>
              <w:t>N/A</w:t>
            </w:r>
          </w:p>
        </w:tc>
      </w:tr>
    </w:tbl>
    <w:p w:rsidR="00AF10DC" w:rsidP="00AF10DC">
      <w:pPr>
        <w:bidi w:val="0"/>
        <w:rPr>
          <w:rFonts w:ascii="Times New Roman" w:hAnsi="Times New Roman"/>
        </w:rPr>
      </w:pPr>
    </w:p>
    <w:p w:rsidR="00AF10DC" w:rsidP="00AF10DC">
      <w:pPr>
        <w:bidi w:val="0"/>
        <w:rPr>
          <w:rFonts w:ascii="Times New Roman" w:hAnsi="Times New Roman"/>
          <w:b/>
        </w:rPr>
        <w:sectPr w:rsidSect="0040544D">
          <w:headerReference w:type="default" r:id="rId7"/>
          <w:footerReference w:type="default" r:id="rId8"/>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F10DC" w:rsidRPr="00CD4982" w:rsidP="003D6C0C">
            <w:pPr>
              <w:bidi w:val="0"/>
              <w:rPr>
                <w:rFonts w:ascii="Times New Roman" w:hAnsi="Times New Roman"/>
                <w:b/>
              </w:rPr>
            </w:pPr>
            <w:r w:rsidRPr="00CD4982">
              <w:rPr>
                <w:rFonts w:ascii="Times New Roman" w:hAnsi="Times New Roman"/>
                <w:b/>
              </w:rPr>
              <w:t>4.3 Identifikujte a popíšte vplyv na rovnosť príležitostí.</w:t>
            </w:r>
          </w:p>
          <w:p w:rsidR="00AF10DC" w:rsidRPr="00CD4982" w:rsidP="003D6C0C">
            <w:pPr>
              <w:bidi w:val="0"/>
              <w:ind w:left="340"/>
              <w:jc w:val="both"/>
              <w:rPr>
                <w:rFonts w:ascii="Calibri" w:hAnsi="Calibri"/>
              </w:rPr>
            </w:pPr>
            <w:r w:rsidRPr="00CD4982">
              <w:rPr>
                <w:rFonts w:ascii="Times New Roman" w:hAnsi="Times New Roman"/>
                <w:b/>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F10DC" w:rsidRPr="00CD4982" w:rsidP="003D6C0C">
            <w:pPr>
              <w:bidi w:val="0"/>
              <w:jc w:val="both"/>
              <w:rPr>
                <w:rFonts w:ascii="Times New Roman" w:hAnsi="Times New Roman"/>
                <w:i/>
              </w:rPr>
            </w:pPr>
            <w:r w:rsidRPr="00CD4982">
              <w:rPr>
                <w:rFonts w:ascii="Times New Roman" w:hAnsi="Times New Roman"/>
                <w:i/>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AF10DC" w:rsidP="00AF10DC">
      <w:pPr>
        <w:bidi w:val="0"/>
        <w:rPr>
          <w:rFonts w:ascii="Times New Roman" w:hAnsi="Times New Roman"/>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713"/>
      </w:tblGrid>
      <w:tr>
        <w:tblPrEx>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49"/>
          <w:jc w:val="center"/>
        </w:trPr>
        <w:tc>
          <w:tcPr>
            <w:tcW w:w="5000" w:type="pct"/>
            <w:tcBorders>
              <w:top w:val="nil"/>
              <w:left w:val="single" w:sz="4" w:space="0" w:color="auto"/>
              <w:bottom w:val="nil"/>
              <w:right w:val="single" w:sz="4" w:space="0" w:color="auto"/>
            </w:tcBorders>
            <w:textDirection w:val="lrTb"/>
            <w:vAlign w:val="top"/>
          </w:tcPr>
          <w:p w:rsidR="00AF10DC" w:rsidRPr="00170011" w:rsidP="003D6C0C">
            <w:pPr>
              <w:bidi w:val="0"/>
              <w:rPr>
                <w:rFonts w:ascii="Times New Roman" w:hAnsi="Times New Roman"/>
              </w:rPr>
            </w:pPr>
            <w:r>
              <w:rPr>
                <w:rFonts w:ascii="Times New Roman" w:hAnsi="Times New Roman"/>
              </w:rPr>
              <w:t>N/A</w:t>
            </w:r>
          </w:p>
        </w:tc>
      </w:tr>
    </w:tbl>
    <w:p w:rsidR="00AF10DC" w:rsidP="00AF10DC">
      <w:pPr>
        <w:bidi w:val="0"/>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AF10DC" w:rsidRPr="00CD4982" w:rsidP="003D6C0C">
            <w:pPr>
              <w:bidi w:val="0"/>
              <w:rPr>
                <w:rFonts w:ascii="Times New Roman" w:hAnsi="Times New Roman"/>
                <w:i/>
              </w:rPr>
            </w:pPr>
            <w:r w:rsidRPr="00CD4982">
              <w:rPr>
                <w:rFonts w:ascii="Times New Roman" w:hAnsi="Times New Roman"/>
                <w:i/>
              </w:rPr>
              <w:t>Môže mať návrh odlišný vplyv na ženy a mužov? Podporuje návrh rovnosť medzi ženami a mužmi alebo naopak bude viesť k zväčšovaniu rodových nerovností? Popíšte vplyvy.</w:t>
            </w:r>
          </w:p>
        </w:tc>
      </w:tr>
    </w:tbl>
    <w:p w:rsidR="00AF10DC" w:rsidP="00AF10DC">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2820"/>
        <w:gridCol w:w="6785"/>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646"/>
          <w:jc w:val="center"/>
        </w:trPr>
        <w:tc>
          <w:tcPr>
            <w:tcW w:w="1468" w:type="pct"/>
            <w:tcBorders>
              <w:top w:val="none" w:sz="0" w:space="0" w:color="auto"/>
              <w:left w:val="single" w:sz="4" w:space="0" w:color="auto"/>
              <w:bottom w:val="none" w:sz="0" w:space="0" w:color="auto"/>
              <w:right w:val="single" w:sz="4" w:space="0" w:color="auto"/>
            </w:tcBorders>
            <w:textDirection w:val="lrTb"/>
            <w:vAlign w:val="top"/>
          </w:tcPr>
          <w:p w:rsidR="00AF10DC" w:rsidRPr="00E33FF5" w:rsidP="003D6C0C">
            <w:pPr>
              <w:bidi w:val="0"/>
              <w:jc w:val="both"/>
              <w:rPr>
                <w:rFonts w:ascii="Times New Roman" w:hAnsi="Times New Roman"/>
                <w:i/>
                <w:sz w:val="20"/>
                <w:szCs w:val="20"/>
              </w:rPr>
            </w:pPr>
            <w:r w:rsidRPr="00E33FF5">
              <w:rPr>
                <w:rFonts w:ascii="Times New Roman" w:hAnsi="Times New Roman"/>
                <w:i/>
                <w:sz w:val="20"/>
                <w:szCs w:val="20"/>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AF10DC" w:rsidRPr="00E33FF5" w:rsidP="00AF10DC">
            <w:pPr>
              <w:numPr>
                <w:numId w:val="13"/>
              </w:numPr>
              <w:bidi w:val="0"/>
              <w:jc w:val="both"/>
              <w:rPr>
                <w:rFonts w:ascii="Times New Roman" w:hAnsi="Times New Roman"/>
                <w:i/>
                <w:sz w:val="20"/>
                <w:szCs w:val="20"/>
              </w:rPr>
            </w:pPr>
            <w:r w:rsidRPr="00E33FF5">
              <w:rPr>
                <w:rFonts w:ascii="Times New Roman" w:hAnsi="Times New Roman"/>
                <w:i/>
                <w:sz w:val="20"/>
                <w:szCs w:val="20"/>
              </w:rPr>
              <w:t xml:space="preserve">podpora vyrovnávania ekonomickej nezávislosti, </w:t>
            </w:r>
          </w:p>
          <w:p w:rsidR="00AF10DC" w:rsidRPr="00E33FF5" w:rsidP="00AF10DC">
            <w:pPr>
              <w:numPr>
                <w:numId w:val="13"/>
              </w:numPr>
              <w:bidi w:val="0"/>
              <w:jc w:val="both"/>
              <w:rPr>
                <w:rFonts w:ascii="Times New Roman" w:hAnsi="Times New Roman"/>
                <w:i/>
                <w:sz w:val="20"/>
                <w:szCs w:val="20"/>
              </w:rPr>
            </w:pPr>
            <w:r w:rsidRPr="00E33FF5">
              <w:rPr>
                <w:rFonts w:ascii="Times New Roman" w:hAnsi="Times New Roman"/>
                <w:i/>
                <w:sz w:val="20"/>
                <w:szCs w:val="20"/>
              </w:rPr>
              <w:t xml:space="preserve">zosúladenie pracovného, súkromného a rodinného života, </w:t>
            </w:r>
          </w:p>
          <w:p w:rsidR="00AF10DC" w:rsidRPr="00E33FF5" w:rsidP="00AF10DC">
            <w:pPr>
              <w:numPr>
                <w:numId w:val="13"/>
              </w:numPr>
              <w:bidi w:val="0"/>
              <w:jc w:val="both"/>
              <w:rPr>
                <w:rFonts w:ascii="Times New Roman" w:hAnsi="Times New Roman"/>
                <w:i/>
                <w:sz w:val="20"/>
                <w:szCs w:val="20"/>
              </w:rPr>
            </w:pPr>
            <w:r w:rsidRPr="00E33FF5">
              <w:rPr>
                <w:rFonts w:ascii="Times New Roman" w:hAnsi="Times New Roman"/>
                <w:i/>
                <w:sz w:val="20"/>
                <w:szCs w:val="20"/>
              </w:rPr>
              <w:t xml:space="preserve">podpora rovnej participácie na rozhodovaní, </w:t>
            </w:r>
          </w:p>
          <w:p w:rsidR="00AF10DC" w:rsidRPr="00E33FF5" w:rsidP="00AF10DC">
            <w:pPr>
              <w:numPr>
                <w:numId w:val="13"/>
              </w:numPr>
              <w:bidi w:val="0"/>
              <w:jc w:val="both"/>
              <w:rPr>
                <w:rFonts w:ascii="Times New Roman" w:hAnsi="Times New Roman"/>
                <w:i/>
                <w:sz w:val="20"/>
                <w:szCs w:val="20"/>
              </w:rPr>
            </w:pPr>
            <w:r w:rsidRPr="00E33FF5">
              <w:rPr>
                <w:rFonts w:ascii="Times New Roman" w:hAnsi="Times New Roman"/>
                <w:i/>
                <w:sz w:val="20"/>
                <w:szCs w:val="20"/>
              </w:rPr>
              <w:t xml:space="preserve">boj proti rodovo podmienenému násiliu a obchodovaniu s ľuďmi, </w:t>
            </w:r>
          </w:p>
          <w:p w:rsidR="00AF10DC" w:rsidRPr="00170011" w:rsidP="00AF10DC">
            <w:pPr>
              <w:numPr>
                <w:numId w:val="13"/>
              </w:numPr>
              <w:bidi w:val="0"/>
              <w:jc w:val="both"/>
              <w:rPr>
                <w:rFonts w:ascii="Times New Roman" w:hAnsi="Times New Roman"/>
                <w:i/>
              </w:rPr>
            </w:pPr>
            <w:r w:rsidRPr="00E33FF5">
              <w:rPr>
                <w:rFonts w:ascii="Times New Roman" w:hAnsi="Times New Roman"/>
                <w:i/>
                <w:sz w:val="20"/>
                <w:szCs w:val="20"/>
              </w:rPr>
              <w:t>eliminácia rodových stereotypov</w:t>
            </w:r>
            <w:r w:rsidRPr="00170011">
              <w:rPr>
                <w:rFonts w:ascii="Times New Roman" w:hAnsi="Times New Roman"/>
                <w:i/>
              </w:rPr>
              <w:t>.</w:t>
            </w:r>
          </w:p>
        </w:tc>
        <w:tc>
          <w:tcPr>
            <w:tcW w:w="3532" w:type="pct"/>
            <w:tcBorders>
              <w:top w:val="none" w:sz="0" w:space="0" w:color="auto"/>
              <w:left w:val="single" w:sz="4" w:space="0" w:color="auto"/>
              <w:bottom w:val="none" w:sz="0" w:space="0" w:color="auto"/>
              <w:right w:val="single" w:sz="4" w:space="0" w:color="auto"/>
            </w:tcBorders>
            <w:textDirection w:val="lrTb"/>
            <w:vAlign w:val="top"/>
          </w:tcPr>
          <w:p w:rsidR="00AF10DC" w:rsidRPr="00170011" w:rsidP="003D6C0C">
            <w:pPr>
              <w:bidi w:val="0"/>
              <w:rPr>
                <w:rFonts w:ascii="Times New Roman" w:hAnsi="Times New Roman"/>
              </w:rPr>
            </w:pPr>
          </w:p>
          <w:p w:rsidR="00AF10DC" w:rsidRPr="00170011" w:rsidP="003D6C0C">
            <w:pPr>
              <w:bidi w:val="0"/>
              <w:rPr>
                <w:rFonts w:ascii="Times New Roman" w:hAnsi="Times New Roman"/>
              </w:rPr>
            </w:pPr>
            <w:r>
              <w:rPr>
                <w:rFonts w:ascii="Times New Roman" w:hAnsi="Times New Roman"/>
              </w:rPr>
              <w:t>N/A</w:t>
            </w:r>
          </w:p>
          <w:p w:rsidR="00AF10DC" w:rsidRPr="00170011" w:rsidP="003D6C0C">
            <w:pPr>
              <w:bidi w:val="0"/>
              <w:rPr>
                <w:rFonts w:ascii="Times New Roman" w:hAnsi="Times New Roman"/>
              </w:rPr>
            </w:pPr>
          </w:p>
          <w:p w:rsidR="00AF10DC" w:rsidRPr="00170011" w:rsidP="003D6C0C">
            <w:pPr>
              <w:bidi w:val="0"/>
              <w:rPr>
                <w:rFonts w:ascii="Times New Roman" w:hAnsi="Times New Roman"/>
              </w:rPr>
            </w:pPr>
          </w:p>
        </w:tc>
      </w:tr>
    </w:tbl>
    <w:p w:rsidR="00AF10DC" w:rsidP="00AF10DC">
      <w:pPr>
        <w:bidi w:val="0"/>
        <w:rPr>
          <w:rFonts w:ascii="Times New Roman" w:hAnsi="Times New Roman"/>
          <w:b/>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F10DC" w:rsidRPr="00994C53" w:rsidP="003D6C0C">
            <w:pPr>
              <w:bidi w:val="0"/>
              <w:rPr>
                <w:rFonts w:ascii="Times New Roman" w:hAnsi="Times New Roman"/>
                <w:b/>
              </w:rPr>
            </w:pPr>
            <w:r w:rsidRPr="00CD4982">
              <w:rPr>
                <w:rFonts w:ascii="Times New Roman" w:hAnsi="Times New Roman"/>
                <w:b/>
              </w:rPr>
              <w:t xml:space="preserve">4.4 </w:t>
            </w:r>
            <w:r w:rsidRPr="00994C53">
              <w:rPr>
                <w:rFonts w:ascii="Times New Roman" w:hAnsi="Times New Roman"/>
                <w:b/>
              </w:rPr>
              <w:t>Identifikujte, popíšte a kvantifikujte vplyvy na zamestnanosť a na trh práce.</w:t>
            </w:r>
          </w:p>
          <w:p w:rsidR="00AF10DC" w:rsidRPr="00994C53" w:rsidP="003D6C0C">
            <w:pPr>
              <w:bidi w:val="0"/>
              <w:jc w:val="both"/>
              <w:rPr>
                <w:rFonts w:ascii="Times New Roman" w:hAnsi="Times New Roman"/>
                <w:i/>
              </w:rPr>
            </w:pPr>
            <w:r w:rsidRPr="00994C53">
              <w:rPr>
                <w:rFonts w:ascii="Times New Roman" w:hAnsi="Times New Roman"/>
                <w:i/>
              </w:rPr>
              <w:t xml:space="preserve">V prípade kladnej odpovede pripojte </w:t>
            </w:r>
            <w:r w:rsidRPr="00994C53">
              <w:rPr>
                <w:rFonts w:ascii="Times New Roman" w:hAnsi="Times New Roman"/>
                <w:b/>
                <w:i/>
              </w:rPr>
              <w:t>odôvodnenie</w:t>
            </w:r>
            <w:r w:rsidRPr="00994C53">
              <w:rPr>
                <w:rFonts w:ascii="Times New Roman" w:hAnsi="Times New Roman"/>
                <w:i/>
              </w:rPr>
              <w:t xml:space="preserve"> v súlade s Metodickým postupom pre analýzu sociálnych vplyvov.</w:t>
            </w:r>
          </w:p>
        </w:tc>
      </w:tr>
    </w:tbl>
    <w:p w:rsidR="00E33FF5" w:rsidP="00AF10DC">
      <w:pPr>
        <w:bidi w:val="0"/>
        <w:rPr>
          <w:rFonts w:ascii="Times New Roman" w:hAnsi="Times New Roman"/>
          <w:i/>
        </w:rPr>
      </w:pPr>
    </w:p>
    <w:tbl>
      <w:tblPr>
        <w:tblStyle w:val="TableNormal"/>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7054"/>
        <w:gridCol w:w="2551"/>
      </w:tblGrid>
      <w:tr>
        <w:tblPrEx>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1"/>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Uľahčuje návrh vznik nových pracovných miest? Ak áno, ako? Ak je to možné, doplňte kvantifikáciu.</w:t>
            </w:r>
          </w:p>
        </w:tc>
      </w:tr>
      <w:tr>
        <w:tblPrEx>
          <w:tblW w:w="5172" w:type="pct"/>
          <w:tblCellMar>
            <w:top w:w="28" w:type="dxa"/>
            <w:bottom w:w="28" w:type="dxa"/>
          </w:tblCellMar>
          <w:tblLook w:val="04A0"/>
        </w:tblPrEx>
        <w:trPr>
          <w:trHeight w:val="567"/>
        </w:trPr>
        <w:tc>
          <w:tcPr>
            <w:tcW w:w="3672" w:type="pct"/>
            <w:tcBorders>
              <w:top w:val="nil"/>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 xml:space="preserve">Identifikujte, v ktorých sektoroch a odvetviach ekonomiky, v ktorých regiónoch, pre aké skupiny zamestnancov, o aké typy zamestnania /pracovných úväzkov pôjde a pod. </w:t>
            </w:r>
          </w:p>
        </w:tc>
        <w:tc>
          <w:tcPr>
            <w:tcW w:w="1328" w:type="pct"/>
            <w:tcBorders>
              <w:top w:val="nil"/>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sz w:val="20"/>
                <w:szCs w:val="20"/>
              </w:rPr>
              <w:t>N/A</w:t>
            </w:r>
          </w:p>
        </w:tc>
      </w:tr>
      <w:tr>
        <w:tblPrEx>
          <w:tblW w:w="5172" w:type="pct"/>
          <w:tblCellMar>
            <w:top w:w="28" w:type="dxa"/>
            <w:bottom w:w="28" w:type="dxa"/>
          </w:tblCellMar>
          <w:tblLook w:val="04A0"/>
        </w:tblPrEx>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Vedie návrh k zániku pracovných miest?</w:t>
            </w:r>
            <w:r w:rsidRPr="00E33FF5">
              <w:rPr>
                <w:rFonts w:ascii="Times New Roman" w:hAnsi="Times New Roman"/>
                <w:sz w:val="20"/>
                <w:szCs w:val="20"/>
              </w:rPr>
              <w:t xml:space="preserve"> </w:t>
            </w:r>
            <w:r w:rsidRPr="00E33FF5">
              <w:rPr>
                <w:rFonts w:ascii="Times New Roman" w:hAnsi="Times New Roman"/>
                <w:i/>
                <w:sz w:val="20"/>
                <w:szCs w:val="20"/>
              </w:rPr>
              <w:t>Ak áno, ako a akých? Ak je to možné, doplňte kvantifikáciu.</w:t>
            </w:r>
          </w:p>
        </w:tc>
      </w:tr>
      <w:tr>
        <w:tblPrEx>
          <w:tblW w:w="5172" w:type="pct"/>
          <w:tblCellMar>
            <w:top w:w="28" w:type="dxa"/>
            <w:bottom w:w="28" w:type="dxa"/>
          </w:tblCellMar>
          <w:tblLook w:val="04A0"/>
        </w:tblPrEx>
        <w:trPr>
          <w:trHeight w:val="454"/>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Identifikujte, v ktorých sektoroch a odvetviach ekonomiky, v ktorých regiónoch, o aké typy zamestnania /pracovných úväzkov pôjde a pod. Identifikujte možné dôsledky, skupiny zamestnancov, ktoré budú viac ovplyvnené a rozsah vplyvu.</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sz w:val="20"/>
                <w:szCs w:val="20"/>
              </w:rPr>
              <w:t>N/A</w:t>
            </w:r>
          </w:p>
        </w:tc>
      </w:tr>
      <w:tr>
        <w:tblPrEx>
          <w:tblW w:w="5172" w:type="pct"/>
          <w:tblCellMar>
            <w:top w:w="28" w:type="dxa"/>
            <w:bottom w:w="28" w:type="dxa"/>
          </w:tblCellMar>
          <w:tblLook w:val="04A0"/>
        </w:tblPrEx>
        <w:trPr>
          <w:trHeight w:val="24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i/>
                <w:sz w:val="20"/>
                <w:szCs w:val="20"/>
              </w:rPr>
              <w:t>Ovplyvňuje návrh dopyt po práci?</w:t>
            </w:r>
            <w:r w:rsidRPr="00E33FF5">
              <w:rPr>
                <w:rFonts w:ascii="Times New Roman" w:hAnsi="Times New Roman"/>
                <w:sz w:val="20"/>
                <w:szCs w:val="20"/>
              </w:rPr>
              <w:t xml:space="preserve"> </w:t>
            </w:r>
            <w:r w:rsidRPr="00E33FF5">
              <w:rPr>
                <w:rFonts w:ascii="Times New Roman" w:hAnsi="Times New Roman"/>
                <w:i/>
                <w:sz w:val="20"/>
                <w:szCs w:val="20"/>
              </w:rPr>
              <w:t>Ak áno, ako?</w:t>
            </w:r>
          </w:p>
        </w:tc>
      </w:tr>
      <w:tr>
        <w:tblPrEx>
          <w:tblW w:w="5172" w:type="pct"/>
          <w:tblCellMar>
            <w:top w:w="28" w:type="dxa"/>
            <w:bottom w:w="28" w:type="dxa"/>
          </w:tblCellMar>
          <w:tblLook w:val="04A0"/>
        </w:tblPrEx>
        <w:trPr>
          <w:trHeight w:val="209"/>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Dopyt po práci závisí na jednej strane na produkcii tovarov a služieb v ekonomike a na druhej strane na cene práce.</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sz w:val="20"/>
                <w:szCs w:val="20"/>
              </w:rPr>
              <w:t>N/A</w:t>
            </w:r>
          </w:p>
        </w:tc>
      </w:tr>
      <w:tr>
        <w:tblPrEx>
          <w:tblW w:w="5172" w:type="pct"/>
          <w:tblCellMar>
            <w:top w:w="28" w:type="dxa"/>
            <w:bottom w:w="28" w:type="dxa"/>
          </w:tblCellMar>
          <w:tblLook w:val="04A0"/>
        </w:tblPrEx>
        <w:trPr>
          <w:trHeight w:val="20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i/>
                <w:sz w:val="20"/>
                <w:szCs w:val="20"/>
              </w:rPr>
              <w:t>Má návrh dosah na fungovanie trhu práce?</w:t>
            </w:r>
            <w:r w:rsidRPr="00E33FF5">
              <w:rPr>
                <w:rFonts w:ascii="Times New Roman" w:hAnsi="Times New Roman"/>
                <w:sz w:val="20"/>
                <w:szCs w:val="20"/>
              </w:rPr>
              <w:t xml:space="preserve"> </w:t>
            </w:r>
            <w:r w:rsidRPr="00E33FF5">
              <w:rPr>
                <w:rFonts w:ascii="Times New Roman" w:hAnsi="Times New Roman"/>
                <w:i/>
                <w:sz w:val="20"/>
                <w:szCs w:val="20"/>
              </w:rPr>
              <w:t>Ak áno, aký?</w:t>
            </w:r>
          </w:p>
        </w:tc>
      </w:tr>
      <w:tr>
        <w:tblPrEx>
          <w:tblW w:w="5172" w:type="pct"/>
          <w:tblCellMar>
            <w:top w:w="28" w:type="dxa"/>
            <w:bottom w:w="28" w:type="dxa"/>
          </w:tblCellMar>
          <w:tblLook w:val="04A0"/>
        </w:tblPrEx>
        <w:trPr>
          <w:trHeight w:val="794"/>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Týka sa makroekonomických dosahov ako je napr. participácia na trhu práce, dlhodobá nezamestnanosť, regionálne rozdiely v mierach zamestnanosti.</w:t>
            </w:r>
            <w:r w:rsidRPr="00E33FF5">
              <w:rPr>
                <w:rFonts w:ascii="Times New Roman" w:hAnsi="Times New Roman"/>
                <w:sz w:val="20"/>
                <w:szCs w:val="20"/>
              </w:rPr>
              <w:t xml:space="preserve"> </w:t>
            </w:r>
            <w:r w:rsidRPr="00E33FF5">
              <w:rPr>
                <w:rFonts w:ascii="Times New Roman" w:hAnsi="Times New Roman"/>
                <w:i/>
                <w:sz w:val="20"/>
                <w:szCs w:val="20"/>
              </w:rPr>
              <w:t>Ponuka práce môže byť ovplyvnená rôznymi premennými napr. úrovňou miezd, inštitucionálnym nastavením (napr.  zosúladenie pracovného a súkromného života alebo uľahčovanie rôznych foriem mobility).</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sz w:val="20"/>
                <w:szCs w:val="20"/>
              </w:rPr>
              <w:t>N/A</w:t>
            </w:r>
          </w:p>
        </w:tc>
      </w:tr>
      <w:tr>
        <w:tblPrEx>
          <w:tblW w:w="5172" w:type="pct"/>
          <w:tblCellMar>
            <w:top w:w="28" w:type="dxa"/>
            <w:bottom w:w="28" w:type="dxa"/>
          </w:tblCellMar>
          <w:tblLook w:val="04A0"/>
        </w:tblPrEx>
        <w:trPr>
          <w:trHeight w:val="32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i/>
                <w:sz w:val="20"/>
                <w:szCs w:val="20"/>
              </w:rPr>
              <w:t>Má návrh špecifické negatívne dôsledky pre isté skupiny profesií, skupín zamestnancov či živnostníkov?</w:t>
            </w:r>
            <w:r w:rsidRPr="00E33FF5">
              <w:rPr>
                <w:rFonts w:ascii="Times New Roman" w:hAnsi="Times New Roman"/>
                <w:sz w:val="20"/>
                <w:szCs w:val="20"/>
              </w:rPr>
              <w:t xml:space="preserve"> </w:t>
            </w:r>
            <w:r w:rsidRPr="00E33FF5">
              <w:rPr>
                <w:rFonts w:ascii="Times New Roman" w:hAnsi="Times New Roman"/>
                <w:i/>
                <w:sz w:val="20"/>
                <w:szCs w:val="20"/>
              </w:rPr>
              <w:t>Ak áno, aké a pre ktoré skupiny?</w:t>
            </w:r>
          </w:p>
        </w:tc>
      </w:tr>
      <w:tr>
        <w:tblPrEx>
          <w:tblW w:w="5172" w:type="pct"/>
          <w:tblCellMar>
            <w:top w:w="28" w:type="dxa"/>
            <w:bottom w:w="28" w:type="dxa"/>
          </w:tblCellMar>
          <w:tblLook w:val="04A0"/>
        </w:tblPrEx>
        <w:trPr>
          <w:trHeight w:val="216"/>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Návrh môže ohrozovať napr. pracovníkov istých profesií favorizovaním špecifických aktivít či technológií.</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sz w:val="20"/>
                <w:szCs w:val="20"/>
              </w:rPr>
              <w:t>N/A</w:t>
            </w:r>
          </w:p>
        </w:tc>
      </w:tr>
      <w:tr>
        <w:tblPrEx>
          <w:tblW w:w="5172" w:type="pct"/>
          <w:tblCellMar>
            <w:top w:w="28" w:type="dxa"/>
            <w:bottom w:w="28" w:type="dxa"/>
          </w:tblCellMar>
          <w:tblLook w:val="04A0"/>
        </w:tblPrEx>
        <w:trPr>
          <w:trHeight w:val="21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i/>
                <w:sz w:val="20"/>
                <w:szCs w:val="20"/>
              </w:rPr>
              <w:t>Ovplyvňuje návrh špecifické vekové skupiny zamestnancov? Ak áno, aké? Akým spôsobom?</w:t>
            </w:r>
          </w:p>
        </w:tc>
      </w:tr>
      <w:tr>
        <w:tblPrEx>
          <w:tblW w:w="5172" w:type="pct"/>
          <w:tblCellMar>
            <w:top w:w="28" w:type="dxa"/>
            <w:bottom w:w="28" w:type="dxa"/>
          </w:tblCellMar>
          <w:tblLook w:val="04A0"/>
        </w:tblPrEx>
        <w:trPr>
          <w:trHeight w:val="497"/>
        </w:trPr>
        <w:tc>
          <w:tcPr>
            <w:tcW w:w="3672"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i/>
                <w:sz w:val="20"/>
                <w:szCs w:val="20"/>
              </w:rPr>
            </w:pPr>
            <w:r w:rsidRPr="00E33FF5">
              <w:rPr>
                <w:rFonts w:ascii="Times New Roman" w:hAnsi="Times New Roman"/>
                <w:i/>
                <w:sz w:val="20"/>
                <w:szCs w:val="20"/>
              </w:rPr>
              <w:t>Identifikujte, či návrh môže ovplyvniť rozhodnutia zamestnancov alebo zamestnávateľov a môže byť zdrojom neskoršieho vstupu na trh práce alebo predčasného odchodu z trhu práce jednotlivcov.“</w:t>
            </w:r>
          </w:p>
        </w:tc>
        <w:tc>
          <w:tcPr>
            <w:tcW w:w="132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33FF5" w:rsidRPr="00E33FF5" w:rsidP="003D6C0C">
            <w:pPr>
              <w:bidi w:val="0"/>
              <w:rPr>
                <w:rFonts w:ascii="Times New Roman" w:hAnsi="Times New Roman"/>
                <w:sz w:val="20"/>
                <w:szCs w:val="20"/>
              </w:rPr>
            </w:pPr>
            <w:r w:rsidRPr="00E33FF5">
              <w:rPr>
                <w:rFonts w:ascii="Times New Roman" w:hAnsi="Times New Roman"/>
                <w:sz w:val="20"/>
                <w:szCs w:val="20"/>
              </w:rPr>
              <w:t>N/A</w:t>
            </w:r>
          </w:p>
        </w:tc>
      </w:tr>
    </w:tbl>
    <w:p w:rsidR="00E33FF5" w:rsidP="00E33FF5">
      <w:pPr>
        <w:bidi w:val="0"/>
        <w:rPr>
          <w:rFonts w:ascii="Times New Roman" w:hAnsi="Times New Roman"/>
        </w:rPr>
      </w:pPr>
    </w:p>
    <w:p w:rsidR="00AF10DC" w:rsidRPr="00E33FF5" w:rsidP="00E33FF5">
      <w:pPr>
        <w:bidi w:val="0"/>
        <w:rPr>
          <w:rFonts w:ascii="Times New Roman" w:hAnsi="Times New Roman"/>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p w:rsidR="00150BE9" w:rsidRPr="00F4066A" w:rsidP="00E33FF5">
      <w:pPr>
        <w:pStyle w:val="Title"/>
        <w:bidi w:val="0"/>
        <w:rPr>
          <w:rFonts w:ascii="Times New Roman" w:hAnsi="Times New Roman"/>
        </w:rPr>
      </w:pPr>
      <w:r w:rsidRPr="00F4066A">
        <w:rPr>
          <w:rFonts w:ascii="Times New Roman" w:hAnsi="Times New Roman"/>
        </w:rPr>
        <w:t>DOLOŽKA ZLUČITEĽNOSTI</w:t>
      </w:r>
    </w:p>
    <w:p w:rsidR="00150BE9" w:rsidRPr="00F4066A" w:rsidP="00150BE9">
      <w:pPr>
        <w:bidi w:val="0"/>
        <w:jc w:val="both"/>
        <w:rPr>
          <w:rFonts w:ascii="Times New Roman" w:hAnsi="Times New Roman"/>
          <w:b/>
        </w:rPr>
      </w:pPr>
    </w:p>
    <w:p w:rsidR="00150BE9" w:rsidRPr="00F4066A" w:rsidP="00150BE9">
      <w:pPr>
        <w:pBdr>
          <w:bottom w:val="single" w:sz="12" w:space="1" w:color="auto"/>
        </w:pBdr>
        <w:bidi w:val="0"/>
        <w:jc w:val="center"/>
        <w:rPr>
          <w:rFonts w:ascii="Times New Roman" w:hAnsi="Times New Roman"/>
          <w:b/>
          <w:bCs/>
        </w:rPr>
      </w:pPr>
      <w:r w:rsidRPr="00F4066A">
        <w:rPr>
          <w:rFonts w:ascii="Times New Roman" w:hAnsi="Times New Roman"/>
          <w:b/>
        </w:rPr>
        <w:t>návrhu zákona, ktorým sa mení a dopĺňa zákon č. 39/2015 Z. z. o poisťovníctve a o zmene a doplnení niektorých zákonov v znení neskorších predpisov a</w:t>
      </w:r>
      <w:r>
        <w:rPr>
          <w:rFonts w:ascii="Times New Roman" w:hAnsi="Times New Roman"/>
          <w:b/>
        </w:rPr>
        <w:t> ktorým sa menia a dopĺňajú niektoré zákony</w:t>
      </w:r>
      <w:r w:rsidRPr="00F4066A">
        <w:rPr>
          <w:rFonts w:ascii="Times New Roman" w:hAnsi="Times New Roman"/>
          <w:b/>
        </w:rPr>
        <w:t xml:space="preserve"> </w:t>
      </w:r>
      <w:r w:rsidRPr="00F4066A">
        <w:rPr>
          <w:rFonts w:ascii="Times New Roman" w:hAnsi="Times New Roman"/>
          <w:b/>
          <w:bCs/>
        </w:rPr>
        <w:t>s právom Európskej únie</w:t>
      </w:r>
    </w:p>
    <w:p w:rsidR="00150BE9" w:rsidRPr="00F4066A" w:rsidP="00150BE9">
      <w:pPr>
        <w:bidi w:val="0"/>
        <w:jc w:val="both"/>
        <w:rPr>
          <w:rFonts w:ascii="Times New Roman" w:hAnsi="Times New Roman"/>
          <w:b/>
        </w:rPr>
      </w:pPr>
    </w:p>
    <w:p w:rsidR="00150BE9" w:rsidRPr="00F4066A" w:rsidP="00150BE9">
      <w:pPr>
        <w:bidi w:val="0"/>
        <w:jc w:val="center"/>
        <w:rPr>
          <w:rFonts w:ascii="Times New Roman" w:hAnsi="Times New Roman"/>
          <w:b/>
          <w:bCs/>
        </w:rPr>
      </w:pPr>
    </w:p>
    <w:p w:rsidR="00150BE9" w:rsidRPr="00F4066A" w:rsidP="00150BE9">
      <w:pPr>
        <w:bidi w:val="0"/>
        <w:jc w:val="center"/>
        <w:rPr>
          <w:rFonts w:ascii="Times New Roman" w:hAnsi="Times New Roman"/>
          <w:b/>
          <w:bCs/>
        </w:rPr>
      </w:pPr>
    </w:p>
    <w:p w:rsidR="00150BE9" w:rsidRPr="00F4066A" w:rsidP="00150BE9">
      <w:pPr>
        <w:numPr>
          <w:numId w:val="7"/>
        </w:numPr>
        <w:bidi w:val="0"/>
        <w:spacing w:after="120"/>
        <w:jc w:val="both"/>
        <w:rPr>
          <w:rFonts w:ascii="Times New Roman" w:hAnsi="Times New Roman"/>
        </w:rPr>
      </w:pPr>
      <w:r w:rsidRPr="00F4066A">
        <w:rPr>
          <w:rFonts w:ascii="Times New Roman" w:hAnsi="Times New Roman"/>
          <w:b/>
          <w:bCs/>
        </w:rPr>
        <w:t>Predkladateľ návrhu zákona:</w:t>
      </w:r>
    </w:p>
    <w:p w:rsidR="00150BE9" w:rsidRPr="00F4066A" w:rsidP="00150BE9">
      <w:pPr>
        <w:bidi w:val="0"/>
        <w:ind w:firstLine="425"/>
        <w:jc w:val="both"/>
        <w:rPr>
          <w:rFonts w:ascii="Times New Roman" w:hAnsi="Times New Roman"/>
        </w:rPr>
      </w:pPr>
      <w:r w:rsidRPr="00F4066A">
        <w:rPr>
          <w:rFonts w:ascii="Times New Roman" w:hAnsi="Times New Roman"/>
        </w:rPr>
        <w:t>Vláda Slovenskej republiky.</w:t>
      </w:r>
    </w:p>
    <w:p w:rsidR="00150BE9" w:rsidRPr="00F4066A" w:rsidP="00150BE9">
      <w:pPr>
        <w:bidi w:val="0"/>
        <w:jc w:val="both"/>
        <w:rPr>
          <w:rFonts w:ascii="Times New Roman" w:hAnsi="Times New Roman"/>
          <w:bCs/>
        </w:rPr>
      </w:pPr>
    </w:p>
    <w:p w:rsidR="00150BE9" w:rsidRPr="00F4066A" w:rsidP="00150BE9">
      <w:pPr>
        <w:numPr>
          <w:numId w:val="7"/>
        </w:numPr>
        <w:bidi w:val="0"/>
        <w:spacing w:after="120"/>
        <w:jc w:val="both"/>
        <w:rPr>
          <w:rFonts w:ascii="Times New Roman" w:hAnsi="Times New Roman"/>
          <w:b/>
          <w:bCs/>
        </w:rPr>
      </w:pPr>
      <w:r w:rsidRPr="00F4066A">
        <w:rPr>
          <w:rFonts w:ascii="Times New Roman" w:hAnsi="Times New Roman"/>
          <w:b/>
          <w:bCs/>
        </w:rPr>
        <w:t>Názov návrhu zákona:</w:t>
      </w:r>
    </w:p>
    <w:p w:rsidR="00150BE9" w:rsidRPr="00F4066A" w:rsidP="00150BE9">
      <w:pPr>
        <w:bidi w:val="0"/>
        <w:ind w:left="426"/>
        <w:jc w:val="both"/>
        <w:rPr>
          <w:rFonts w:ascii="Times New Roman" w:hAnsi="Times New Roman"/>
        </w:rPr>
      </w:pPr>
      <w:r w:rsidRPr="00F4066A">
        <w:rPr>
          <w:rFonts w:ascii="Times New Roman" w:hAnsi="Times New Roman"/>
        </w:rPr>
        <w:t>Návrh zákona, ktorým sa mení a dopĺňa zákon č. 39/2015 Z. z. o poisťovníctve a o zmene a doplnení niektorých zákonov v znení neskorších predpisov a</w:t>
      </w:r>
      <w:r>
        <w:rPr>
          <w:rFonts w:ascii="Times New Roman" w:hAnsi="Times New Roman"/>
        </w:rPr>
        <w:t> ktorým sa menia a dopĺňajú niektoré zákony</w:t>
      </w:r>
      <w:r w:rsidRPr="00F4066A">
        <w:rPr>
          <w:rFonts w:ascii="Times New Roman" w:hAnsi="Times New Roman"/>
        </w:rPr>
        <w:t>.</w:t>
      </w:r>
    </w:p>
    <w:p w:rsidR="00150BE9" w:rsidRPr="00F4066A" w:rsidP="00150BE9">
      <w:pPr>
        <w:bidi w:val="0"/>
        <w:jc w:val="both"/>
        <w:rPr>
          <w:rFonts w:ascii="Times New Roman" w:hAnsi="Times New Roman"/>
        </w:rPr>
      </w:pPr>
    </w:p>
    <w:p w:rsidR="00150BE9" w:rsidRPr="00F4066A" w:rsidP="00150BE9">
      <w:pPr>
        <w:bidi w:val="0"/>
        <w:spacing w:after="120"/>
        <w:ind w:left="425"/>
        <w:jc w:val="both"/>
        <w:rPr>
          <w:rFonts w:ascii="Times New Roman" w:hAnsi="Times New Roman"/>
          <w:b/>
          <w:bCs/>
        </w:rPr>
      </w:pPr>
      <w:r w:rsidRPr="00F4066A">
        <w:rPr>
          <w:rFonts w:ascii="Times New Roman" w:hAnsi="Times New Roman"/>
          <w:b/>
          <w:bCs/>
        </w:rPr>
        <w:t xml:space="preserve">Problematika návrhu zákona: </w:t>
      </w:r>
    </w:p>
    <w:p w:rsidR="00150BE9" w:rsidRPr="00F4066A" w:rsidP="00150BE9">
      <w:pPr>
        <w:pStyle w:val="BodyText"/>
        <w:widowControl/>
        <w:numPr>
          <w:ilvl w:val="1"/>
          <w:numId w:val="7"/>
        </w:numPr>
        <w:bidi w:val="0"/>
        <w:spacing w:after="240"/>
        <w:rPr>
          <w:rFonts w:ascii="Times New Roman" w:hAnsi="Times New Roman"/>
        </w:rPr>
      </w:pPr>
      <w:r w:rsidRPr="00F4066A">
        <w:rPr>
          <w:rFonts w:ascii="Times New Roman" w:hAnsi="Times New Roman"/>
        </w:rPr>
        <w:t>je upravená v práve Európskej únie:</w:t>
      </w:r>
    </w:p>
    <w:p w:rsidR="00150BE9" w:rsidRPr="00F4066A" w:rsidP="00150BE9">
      <w:pPr>
        <w:pStyle w:val="BodyTextIndent"/>
        <w:bidi w:val="0"/>
        <w:spacing w:before="60" w:after="60" w:line="276" w:lineRule="auto"/>
        <w:rPr>
          <w:rFonts w:ascii="Times New Roman" w:hAnsi="Times New Roman"/>
          <w:b/>
          <w:bCs/>
          <w:i/>
          <w:iCs/>
        </w:rPr>
      </w:pPr>
      <w:r w:rsidRPr="00F4066A">
        <w:rPr>
          <w:rFonts w:ascii="Times New Roman" w:hAnsi="Times New Roman"/>
          <w:b/>
          <w:bCs/>
          <w:i/>
          <w:iCs/>
        </w:rPr>
        <w:t xml:space="preserve">        Primárne právo:</w:t>
      </w:r>
    </w:p>
    <w:p w:rsidR="00150BE9" w:rsidRPr="00F4066A" w:rsidP="00150BE9">
      <w:pPr>
        <w:pStyle w:val="BodyTextIndent"/>
        <w:numPr>
          <w:numId w:val="8"/>
        </w:numPr>
        <w:tabs>
          <w:tab w:val="num" w:pos="709"/>
          <w:tab w:val="clear" w:pos="900"/>
        </w:tabs>
        <w:autoSpaceDE w:val="0"/>
        <w:autoSpaceDN w:val="0"/>
        <w:bidi w:val="0"/>
        <w:adjustRightInd w:val="0"/>
        <w:spacing w:after="240"/>
        <w:ind w:left="896" w:hanging="470"/>
        <w:jc w:val="both"/>
        <w:rPr>
          <w:rFonts w:ascii="Times New Roman" w:hAnsi="Times New Roman"/>
          <w:i/>
        </w:rPr>
      </w:pPr>
      <w:r w:rsidRPr="00F4066A">
        <w:rPr>
          <w:rFonts w:ascii="Times New Roman" w:hAnsi="Times New Roman"/>
        </w:rPr>
        <w:t>čl. 4, 12, 26 ods. 2, 49, 53 ods. 1, 56 až 62, 114 a 169 Zmluvy o fungovaní Európskej únie.</w:t>
      </w:r>
    </w:p>
    <w:p w:rsidR="00150BE9" w:rsidRPr="00F4066A" w:rsidP="00150BE9">
      <w:pPr>
        <w:pStyle w:val="BodyTextIndent"/>
        <w:tabs>
          <w:tab w:val="left" w:pos="426"/>
        </w:tabs>
        <w:bidi w:val="0"/>
        <w:spacing w:after="240" w:line="276" w:lineRule="auto"/>
        <w:ind w:left="425"/>
        <w:rPr>
          <w:rFonts w:ascii="Times New Roman" w:hAnsi="Times New Roman"/>
        </w:rPr>
      </w:pPr>
      <w:r w:rsidRPr="00F4066A">
        <w:rPr>
          <w:rFonts w:ascii="Times New Roman" w:hAnsi="Times New Roman"/>
          <w:b/>
          <w:bCs/>
          <w:i/>
          <w:iCs/>
        </w:rPr>
        <w:t xml:space="preserve">Sekundárne právo </w:t>
      </w:r>
      <w:r w:rsidRPr="00F4066A">
        <w:rPr>
          <w:rFonts w:ascii="Times New Roman" w:hAnsi="Times New Roman"/>
        </w:rPr>
        <w:t>(prijaté po nadobudnutí platnosti Lisabonskej zmluvy, ktorou sa mení a dopĺňa Zmluva o Európskej únii a Zmluva o založení Európskeho spoločenstva - po 30. novembri 2009):</w:t>
      </w:r>
    </w:p>
    <w:p w:rsidR="00150BE9" w:rsidRPr="00F4066A" w:rsidP="00150BE9">
      <w:pPr>
        <w:numPr>
          <w:numId w:val="9"/>
        </w:numPr>
        <w:tabs>
          <w:tab w:val="left" w:pos="993"/>
        </w:tabs>
        <w:autoSpaceDE w:val="0"/>
        <w:autoSpaceDN w:val="0"/>
        <w:bidi w:val="0"/>
        <w:adjustRightInd w:val="0"/>
        <w:spacing w:before="120"/>
        <w:ind w:hanging="153"/>
        <w:jc w:val="both"/>
        <w:rPr>
          <w:rFonts w:ascii="Times New Roman" w:hAnsi="Times New Roman"/>
          <w:bCs/>
          <w:iCs/>
          <w:u w:val="single"/>
        </w:rPr>
      </w:pPr>
      <w:r w:rsidRPr="00F4066A">
        <w:rPr>
          <w:rFonts w:ascii="Times New Roman" w:hAnsi="Times New Roman"/>
          <w:bCs/>
          <w:iCs/>
          <w:u w:val="single"/>
        </w:rPr>
        <w:t>legislatívne akty:</w:t>
      </w:r>
    </w:p>
    <w:p w:rsidR="00150BE9" w:rsidRPr="00F4066A" w:rsidP="00150BE9">
      <w:pPr>
        <w:pStyle w:val="ListParagraph"/>
        <w:tabs>
          <w:tab w:val="left" w:pos="3300"/>
        </w:tabs>
        <w:bidi w:val="0"/>
        <w:ind w:left="709"/>
        <w:jc w:val="both"/>
        <w:rPr>
          <w:rFonts w:ascii="Times New Roman" w:hAnsi="Times New Roman"/>
        </w:rPr>
      </w:pPr>
      <w:r w:rsidRPr="00F4066A">
        <w:rPr>
          <w:rFonts w:ascii="Times New Roman" w:hAnsi="Times New Roman"/>
        </w:rPr>
        <w:tab/>
      </w:r>
    </w:p>
    <w:p w:rsidR="00150BE9" w:rsidRPr="00F4066A" w:rsidP="00150BE9">
      <w:pPr>
        <w:numPr>
          <w:numId w:val="11"/>
        </w:numPr>
        <w:tabs>
          <w:tab w:val="num" w:pos="709"/>
          <w:tab w:val="clear" w:pos="900"/>
        </w:tabs>
        <w:autoSpaceDE w:val="0"/>
        <w:autoSpaceDN w:val="0"/>
        <w:bidi w:val="0"/>
        <w:spacing w:before="120" w:after="120"/>
        <w:ind w:left="709" w:hanging="284"/>
        <w:jc w:val="both"/>
        <w:rPr>
          <w:rFonts w:ascii="Times New Roman" w:hAnsi="Times New Roman"/>
          <w:bCs/>
          <w:iCs/>
        </w:rPr>
      </w:pPr>
      <w:r w:rsidRPr="00F4066A">
        <w:rPr>
          <w:rFonts w:ascii="Times New Roman" w:hAnsi="Times New Roman"/>
          <w:bCs/>
          <w:bdr w:val="nil"/>
          <w:shd w:val="clear" w:color="auto" w:fill="FFFFFF"/>
        </w:rPr>
        <w:t xml:space="preserve">smernica Európskeho parlamentu a Rady (EÚ) </w:t>
      </w:r>
      <w:r w:rsidRPr="00F4066A">
        <w:rPr>
          <w:rFonts w:ascii="Times New Roman" w:hAnsi="Times New Roman"/>
          <w:bCs/>
          <w:u w:val="single"/>
          <w:bdr w:val="nil"/>
          <w:shd w:val="clear" w:color="auto" w:fill="FFFFFF"/>
        </w:rPr>
        <w:t>2016/97</w:t>
      </w:r>
      <w:r w:rsidRPr="00F4066A">
        <w:rPr>
          <w:rFonts w:ascii="Times New Roman" w:hAnsi="Times New Roman"/>
          <w:bCs/>
          <w:bdr w:val="nil"/>
          <w:shd w:val="clear" w:color="auto" w:fill="FFFFFF"/>
        </w:rPr>
        <w:t xml:space="preserve"> z 20. januára 2016 o distribúcii poistenia (prepracované znenie) (</w:t>
      </w:r>
      <w:r w:rsidRPr="00F4066A">
        <w:rPr>
          <w:rFonts w:ascii="Times New Roman" w:hAnsi="Times New Roman"/>
          <w:iCs/>
        </w:rPr>
        <w:t>Ú. v. EÚ L 26, 2.2.2016),</w:t>
      </w:r>
    </w:p>
    <w:p w:rsidR="00150BE9" w:rsidRPr="00F4066A" w:rsidP="00150BE9">
      <w:pPr>
        <w:numPr>
          <w:numId w:val="11"/>
        </w:numPr>
        <w:tabs>
          <w:tab w:val="num" w:pos="709"/>
          <w:tab w:val="clear" w:pos="900"/>
        </w:tabs>
        <w:autoSpaceDE w:val="0"/>
        <w:autoSpaceDN w:val="0"/>
        <w:bidi w:val="0"/>
        <w:spacing w:before="120" w:after="120"/>
        <w:ind w:left="709" w:hanging="284"/>
        <w:jc w:val="both"/>
        <w:rPr>
          <w:rFonts w:ascii="Times New Roman" w:hAnsi="Times New Roman"/>
          <w:bCs/>
          <w:iCs/>
        </w:rPr>
      </w:pPr>
      <w:r w:rsidRPr="00F4066A">
        <w:rPr>
          <w:rFonts w:ascii="Times New Roman" w:hAnsi="Times New Roman"/>
          <w:bCs/>
        </w:rPr>
        <w:t xml:space="preserve">nariadenie Európskeho parlamentu a Rady (EÚ) </w:t>
      </w:r>
      <w:r w:rsidRPr="00F4066A">
        <w:rPr>
          <w:rFonts w:ascii="Times New Roman" w:hAnsi="Times New Roman"/>
          <w:bCs/>
          <w:u w:val="single"/>
        </w:rPr>
        <w:t>2017/2402</w:t>
      </w:r>
      <w:r w:rsidRPr="00F4066A">
        <w:rPr>
          <w:rFonts w:ascii="Times New Roman" w:hAnsi="Times New Roman"/>
          <w:bCs/>
        </w:rPr>
        <w:t xml:space="preserve">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w:t>
      </w:r>
      <w:r w:rsidRPr="00F4066A">
        <w:rPr>
          <w:rFonts w:ascii="Times New Roman" w:hAnsi="Times New Roman"/>
          <w:iCs/>
        </w:rPr>
        <w:t>Ú. v. EÚ L 347, 28.12.2017),</w:t>
      </w:r>
    </w:p>
    <w:p w:rsidR="00150BE9" w:rsidRPr="00F4066A" w:rsidP="00150BE9">
      <w:pPr>
        <w:numPr>
          <w:numId w:val="11"/>
        </w:numPr>
        <w:tabs>
          <w:tab w:val="num" w:pos="709"/>
          <w:tab w:val="clear" w:pos="900"/>
        </w:tabs>
        <w:autoSpaceDE w:val="0"/>
        <w:autoSpaceDN w:val="0"/>
        <w:bidi w:val="0"/>
        <w:spacing w:before="120" w:after="120"/>
        <w:ind w:left="709" w:hanging="284"/>
        <w:jc w:val="both"/>
        <w:rPr>
          <w:rFonts w:ascii="Times New Roman" w:hAnsi="Times New Roman"/>
          <w:bCs/>
          <w:iCs/>
        </w:rPr>
      </w:pPr>
      <w:r w:rsidRPr="00F4066A">
        <w:rPr>
          <w:rFonts w:ascii="Times New Roman" w:hAnsi="Times New Roman"/>
          <w:bCs/>
        </w:rPr>
        <w:t xml:space="preserve">nariadenie Európskeho parlamentu a Rady (EÚ) č. </w:t>
      </w:r>
      <w:r w:rsidRPr="00F4066A">
        <w:rPr>
          <w:rFonts w:ascii="Times New Roman" w:hAnsi="Times New Roman"/>
          <w:bCs/>
          <w:u w:val="single"/>
        </w:rPr>
        <w:t>1286/2014</w:t>
      </w:r>
      <w:r w:rsidRPr="00F4066A">
        <w:rPr>
          <w:rFonts w:ascii="Times New Roman" w:hAnsi="Times New Roman"/>
          <w:bCs/>
        </w:rPr>
        <w:t xml:space="preserve"> z 26. novembra 2014 o dokumentoch s kľúčovými informáciami pre štrukturalizované retailové investičné produkty a investičné produkty založené na poistení (PRIIP) (</w:t>
      </w:r>
      <w:r w:rsidRPr="00F4066A">
        <w:rPr>
          <w:rFonts w:ascii="Times New Roman" w:hAnsi="Times New Roman"/>
          <w:iCs/>
        </w:rPr>
        <w:t>Ú. v. EÚ L 352, 9.12.2014) v platnom znení,</w:t>
      </w:r>
    </w:p>
    <w:p w:rsidR="00150BE9" w:rsidRPr="00F4066A" w:rsidP="00150BE9">
      <w:pPr>
        <w:numPr>
          <w:numId w:val="11"/>
        </w:numPr>
        <w:tabs>
          <w:tab w:val="num" w:pos="709"/>
          <w:tab w:val="clear" w:pos="900"/>
        </w:tabs>
        <w:autoSpaceDE w:val="0"/>
        <w:autoSpaceDN w:val="0"/>
        <w:bidi w:val="0"/>
        <w:spacing w:before="120" w:after="120"/>
        <w:ind w:left="709" w:hanging="284"/>
        <w:jc w:val="both"/>
        <w:rPr>
          <w:rFonts w:ascii="Times New Roman" w:hAnsi="Times New Roman"/>
          <w:bCs/>
          <w:iCs/>
        </w:rPr>
      </w:pPr>
      <w:r w:rsidRPr="00F4066A">
        <w:rPr>
          <w:rFonts w:ascii="Times New Roman" w:hAnsi="Times New Roman"/>
          <w:bCs/>
          <w:iCs/>
        </w:rPr>
        <w:t xml:space="preserve">nariadenie </w:t>
      </w:r>
      <w:r w:rsidRPr="00F4066A">
        <w:rPr>
          <w:rFonts w:ascii="Times New Roman" w:hAnsi="Times New Roman"/>
        </w:rPr>
        <w:t xml:space="preserve">Európskeho parlamentu a Rady (EÚ) č. </w:t>
      </w:r>
      <w:r w:rsidRPr="00F4066A">
        <w:rPr>
          <w:rFonts w:ascii="Times New Roman" w:hAnsi="Times New Roman"/>
          <w:u w:val="single"/>
        </w:rPr>
        <w:t>1092/2010</w:t>
      </w:r>
      <w:r w:rsidRPr="00F4066A">
        <w:rPr>
          <w:rFonts w:ascii="Times New Roman" w:hAnsi="Times New Roman"/>
        </w:rPr>
        <w:t xml:space="preserve"> z  24. novembra 2010 o makroprudenciálnom dohľade Európskej únie nad finančným systémom a o zriadení Európskeho výboru pre systémové riziká (</w:t>
      </w:r>
      <w:r w:rsidRPr="00F4066A">
        <w:rPr>
          <w:rFonts w:ascii="Times New Roman" w:hAnsi="Times New Roman"/>
          <w:i/>
          <w:iCs/>
        </w:rPr>
        <w:t> </w:t>
      </w:r>
      <w:r w:rsidRPr="00F4066A">
        <w:rPr>
          <w:rFonts w:ascii="Times New Roman" w:hAnsi="Times New Roman"/>
          <w:iCs/>
        </w:rPr>
        <w:t>Ú. v. EÚ L 331, 15.12.2010),</w:t>
      </w:r>
    </w:p>
    <w:p w:rsidR="00150BE9" w:rsidRPr="00F4066A" w:rsidP="00150BE9">
      <w:pPr>
        <w:autoSpaceDE w:val="0"/>
        <w:autoSpaceDN w:val="0"/>
        <w:bidi w:val="0"/>
        <w:spacing w:after="120"/>
        <w:ind w:left="709" w:hanging="283"/>
        <w:jc w:val="both"/>
        <w:rPr>
          <w:rFonts w:ascii="Times New Roman" w:hAnsi="Times New Roman"/>
          <w:iCs/>
        </w:rPr>
      </w:pPr>
      <w:r w:rsidRPr="00F4066A">
        <w:rPr>
          <w:rFonts w:ascii="Times New Roman" w:hAnsi="Times New Roman"/>
          <w:iCs/>
        </w:rPr>
        <w:t xml:space="preserve">-  </w:t>
        <w:tab/>
        <w:t xml:space="preserve">nariadenie </w:t>
      </w:r>
      <w:r w:rsidRPr="00F4066A">
        <w:rPr>
          <w:rFonts w:ascii="Times New Roman" w:hAnsi="Times New Roman"/>
        </w:rPr>
        <w:t xml:space="preserve">Európskeho parlamentu a Rady (EÚ) č. </w:t>
      </w:r>
      <w:r w:rsidRPr="00F4066A">
        <w:rPr>
          <w:rFonts w:ascii="Times New Roman" w:hAnsi="Times New Roman"/>
          <w:u w:val="single"/>
        </w:rPr>
        <w:t>1094/2010</w:t>
      </w:r>
      <w:r w:rsidRPr="00F4066A">
        <w:rPr>
          <w:rFonts w:ascii="Times New Roman" w:hAnsi="Times New Roman"/>
        </w:rPr>
        <w:t xml:space="preserve"> z  24. novembra 2010, ktorým sa zriaďuje Európsky orgán dohľadu (Európsky orgán pre poisťovníctvo a dôchodkové poistenie zamestnancov), a ktorým sa mení a dopĺňa rozhodnutie č. 716/2009/ES a zrušuje rozhodnutie Komisie 2009/79/ES (</w:t>
      </w:r>
      <w:r w:rsidRPr="00F4066A">
        <w:rPr>
          <w:rFonts w:ascii="Times New Roman" w:hAnsi="Times New Roman"/>
          <w:iCs/>
        </w:rPr>
        <w:t>Ú. v. EÚ L 331, 15.12.2010) v platnom znení,</w:t>
      </w:r>
    </w:p>
    <w:p w:rsidR="00150BE9" w:rsidRPr="00F4066A" w:rsidP="00150BE9">
      <w:pPr>
        <w:autoSpaceDE w:val="0"/>
        <w:autoSpaceDN w:val="0"/>
        <w:bidi w:val="0"/>
        <w:spacing w:after="120"/>
        <w:ind w:left="709" w:hanging="284"/>
        <w:jc w:val="both"/>
        <w:rPr>
          <w:rFonts w:ascii="Times New Roman" w:hAnsi="Times New Roman"/>
          <w:bCs/>
          <w:iCs/>
        </w:rPr>
      </w:pPr>
      <w:r w:rsidRPr="00F4066A">
        <w:rPr>
          <w:rFonts w:ascii="Times New Roman" w:hAnsi="Times New Roman"/>
          <w:iCs/>
        </w:rPr>
        <w:t xml:space="preserve">- </w:t>
        <w:tab/>
        <w:t xml:space="preserve">nariadenie </w:t>
      </w:r>
      <w:r w:rsidRPr="00F4066A">
        <w:rPr>
          <w:rFonts w:ascii="Times New Roman" w:hAnsi="Times New Roman"/>
          <w:bCs/>
          <w:iCs/>
        </w:rPr>
        <w:t xml:space="preserve">Európskeho parlamentu a Rady (EÚ) č. </w:t>
      </w:r>
      <w:r w:rsidRPr="00F4066A">
        <w:rPr>
          <w:rFonts w:ascii="Times New Roman" w:hAnsi="Times New Roman"/>
          <w:bCs/>
          <w:iCs/>
          <w:u w:val="single"/>
        </w:rPr>
        <w:t>648/2012</w:t>
      </w:r>
      <w:r w:rsidRPr="00F4066A">
        <w:rPr>
          <w:rFonts w:ascii="Times New Roman" w:hAnsi="Times New Roman"/>
          <w:bCs/>
          <w:iCs/>
        </w:rPr>
        <w:t xml:space="preserve"> zo 4. júla 2012 o mimoburzových derivátoch, centrálnych protistranách a archívoch obchodných údajov (Ú. v. EÚ L 201, 27.7.2012) v platnom znení.</w:t>
      </w:r>
    </w:p>
    <w:p w:rsidR="00150BE9" w:rsidRPr="00F4066A" w:rsidP="00150BE9">
      <w:pPr>
        <w:numPr>
          <w:numId w:val="9"/>
        </w:numPr>
        <w:tabs>
          <w:tab w:val="left" w:pos="993"/>
        </w:tabs>
        <w:autoSpaceDE w:val="0"/>
        <w:autoSpaceDN w:val="0"/>
        <w:bidi w:val="0"/>
        <w:adjustRightInd w:val="0"/>
        <w:spacing w:before="240" w:after="240"/>
        <w:ind w:hanging="153"/>
        <w:jc w:val="both"/>
        <w:rPr>
          <w:rFonts w:ascii="Times New Roman" w:hAnsi="Times New Roman"/>
          <w:bCs/>
          <w:iCs/>
          <w:u w:val="single"/>
        </w:rPr>
      </w:pPr>
      <w:r w:rsidRPr="00F4066A">
        <w:rPr>
          <w:rFonts w:ascii="Times New Roman" w:hAnsi="Times New Roman"/>
          <w:bCs/>
          <w:iCs/>
          <w:u w:val="single"/>
        </w:rPr>
        <w:t>nelegislatívne akty:</w:t>
      </w:r>
    </w:p>
    <w:p w:rsidR="00150BE9" w:rsidRPr="00F4066A" w:rsidP="00150BE9">
      <w:pPr>
        <w:numPr>
          <w:numId w:val="8"/>
        </w:numPr>
        <w:tabs>
          <w:tab w:val="num" w:pos="709"/>
          <w:tab w:val="clear" w:pos="900"/>
          <w:tab w:val="left" w:pos="993"/>
        </w:tabs>
        <w:autoSpaceDE w:val="0"/>
        <w:autoSpaceDN w:val="0"/>
        <w:bidi w:val="0"/>
        <w:adjustRightInd w:val="0"/>
        <w:spacing w:before="120" w:after="120"/>
        <w:ind w:left="709" w:hanging="284"/>
        <w:jc w:val="both"/>
        <w:rPr>
          <w:rFonts w:ascii="Times New Roman" w:hAnsi="Times New Roman"/>
          <w:bCs/>
          <w:iCs/>
        </w:rPr>
      </w:pPr>
      <w:r w:rsidRPr="00F4066A">
        <w:rPr>
          <w:rFonts w:ascii="Times New Roman" w:hAnsi="Times New Roman"/>
          <w:bCs/>
        </w:rPr>
        <w:t xml:space="preserve">delegované nariadenie Komisie (EÚ) </w:t>
      </w:r>
      <w:r w:rsidRPr="00F4066A">
        <w:rPr>
          <w:rFonts w:ascii="Times New Roman" w:hAnsi="Times New Roman"/>
          <w:bCs/>
          <w:u w:val="single"/>
        </w:rPr>
        <w:t>2017/2358</w:t>
      </w:r>
      <w:r w:rsidRPr="00F4066A">
        <w:rPr>
          <w:rFonts w:ascii="Times New Roman" w:hAnsi="Times New Roman"/>
          <w:bCs/>
        </w:rPr>
        <w:t xml:space="preserve"> z 21. septembra 2017, ktorým sa dopĺňa smernica Európskeho parlamentu a Rady (EÚ) 2016/97, pokiaľ ide o požiadavky na poisťovne a distribútorov poistenia týkajúce sa dohľadu nad produktmi a ich správy (</w:t>
      </w:r>
      <w:r w:rsidRPr="00F4066A">
        <w:rPr>
          <w:rFonts w:ascii="Times New Roman" w:hAnsi="Times New Roman"/>
          <w:iCs/>
        </w:rPr>
        <w:t>Ú. v. EÚ L 341, 20.12.2017),</w:t>
      </w:r>
    </w:p>
    <w:p w:rsidR="00150BE9" w:rsidRPr="00F4066A" w:rsidP="00150BE9">
      <w:pPr>
        <w:numPr>
          <w:numId w:val="8"/>
        </w:numPr>
        <w:tabs>
          <w:tab w:val="num" w:pos="709"/>
          <w:tab w:val="clear" w:pos="900"/>
          <w:tab w:val="left" w:pos="993"/>
        </w:tabs>
        <w:autoSpaceDE w:val="0"/>
        <w:autoSpaceDN w:val="0"/>
        <w:bidi w:val="0"/>
        <w:adjustRightInd w:val="0"/>
        <w:spacing w:before="120" w:after="120"/>
        <w:ind w:left="709" w:hanging="284"/>
        <w:jc w:val="both"/>
        <w:rPr>
          <w:rFonts w:ascii="Times New Roman" w:hAnsi="Times New Roman"/>
          <w:bCs/>
          <w:iCs/>
        </w:rPr>
      </w:pPr>
      <w:r w:rsidRPr="00F4066A">
        <w:rPr>
          <w:rFonts w:ascii="Times New Roman" w:hAnsi="Times New Roman"/>
          <w:bCs/>
        </w:rPr>
        <w:t xml:space="preserve">delegované nariadenie Komisie (EÚ) </w:t>
      </w:r>
      <w:r w:rsidRPr="00F4066A">
        <w:rPr>
          <w:rFonts w:ascii="Times New Roman" w:hAnsi="Times New Roman"/>
          <w:bCs/>
          <w:u w:val="single"/>
        </w:rPr>
        <w:t>2017/2359</w:t>
      </w:r>
      <w:r w:rsidRPr="00F4066A">
        <w:rPr>
          <w:rFonts w:ascii="Times New Roman" w:hAnsi="Times New Roman"/>
          <w:bCs/>
        </w:rPr>
        <w:t xml:space="preserve"> z 21. septembra 2017, ktorým sa dopĺňa smernica Európskeho parlamentu a Rady (EÚ) 2016/97, pokiaľ ide o informačné požiadavky a pravidlá výkonu činnosti uplatniteľné na distribúciu investičných produktov založených na poistení (</w:t>
      </w:r>
      <w:r w:rsidRPr="00F4066A">
        <w:rPr>
          <w:rFonts w:ascii="Times New Roman" w:hAnsi="Times New Roman"/>
          <w:iCs/>
        </w:rPr>
        <w:t>Ú. v. EÚ L 341, 20.12.2017),</w:t>
      </w:r>
    </w:p>
    <w:p w:rsidR="00150BE9" w:rsidRPr="00F4066A" w:rsidP="00150BE9">
      <w:pPr>
        <w:numPr>
          <w:numId w:val="8"/>
        </w:numPr>
        <w:tabs>
          <w:tab w:val="num" w:pos="709"/>
          <w:tab w:val="clear" w:pos="900"/>
          <w:tab w:val="left" w:pos="993"/>
        </w:tabs>
        <w:autoSpaceDE w:val="0"/>
        <w:autoSpaceDN w:val="0"/>
        <w:bidi w:val="0"/>
        <w:adjustRightInd w:val="0"/>
        <w:spacing w:before="120" w:after="120"/>
        <w:ind w:left="709" w:hanging="284"/>
        <w:jc w:val="both"/>
        <w:rPr>
          <w:rFonts w:ascii="Times New Roman" w:hAnsi="Times New Roman"/>
          <w:bCs/>
          <w:iCs/>
        </w:rPr>
      </w:pPr>
      <w:r w:rsidRPr="00F4066A">
        <w:rPr>
          <w:rFonts w:ascii="Times New Roman" w:hAnsi="Times New Roman"/>
          <w:bCs/>
        </w:rPr>
        <w:t xml:space="preserve">vykonávacie nariadenie Komisie (EÚ) </w:t>
      </w:r>
      <w:r w:rsidRPr="00F4066A">
        <w:rPr>
          <w:rFonts w:ascii="Times New Roman" w:hAnsi="Times New Roman"/>
          <w:bCs/>
          <w:u w:val="single"/>
        </w:rPr>
        <w:t>2017/1469</w:t>
      </w:r>
      <w:r w:rsidRPr="00F4066A">
        <w:rPr>
          <w:rFonts w:ascii="Times New Roman" w:hAnsi="Times New Roman"/>
          <w:bCs/>
        </w:rPr>
        <w:t xml:space="preserve"> z 11. augusta 2017, ktorým sa stanovuje štandardizovaný prezentačný formát informačného dokumentu o poistnom produkte (</w:t>
      </w:r>
      <w:r w:rsidRPr="00F4066A">
        <w:rPr>
          <w:rFonts w:ascii="Times New Roman" w:hAnsi="Times New Roman"/>
          <w:iCs/>
        </w:rPr>
        <w:t>Ú. v. EÚ L 209, 12.8.2017),</w:t>
      </w:r>
    </w:p>
    <w:p w:rsidR="00150BE9" w:rsidRPr="00F4066A" w:rsidP="00150BE9">
      <w:pPr>
        <w:numPr>
          <w:numId w:val="8"/>
        </w:numPr>
        <w:tabs>
          <w:tab w:val="num" w:pos="709"/>
          <w:tab w:val="clear" w:pos="900"/>
          <w:tab w:val="left" w:pos="993"/>
        </w:tabs>
        <w:autoSpaceDE w:val="0"/>
        <w:autoSpaceDN w:val="0"/>
        <w:bidi w:val="0"/>
        <w:adjustRightInd w:val="0"/>
        <w:spacing w:before="120" w:after="120"/>
        <w:ind w:left="709" w:hanging="284"/>
        <w:jc w:val="both"/>
        <w:rPr>
          <w:rFonts w:ascii="Times New Roman" w:hAnsi="Times New Roman"/>
          <w:bCs/>
          <w:iCs/>
        </w:rPr>
      </w:pPr>
      <w:r w:rsidRPr="00F4066A">
        <w:rPr>
          <w:rFonts w:ascii="Times New Roman" w:hAnsi="Times New Roman"/>
          <w:bCs/>
          <w:bdr w:val="nil"/>
          <w:shd w:val="clear" w:color="auto" w:fill="FFFFFF"/>
        </w:rPr>
        <w:t xml:space="preserve">delegované nariadenie Komisie (EÚ) </w:t>
      </w:r>
      <w:r w:rsidRPr="00F4066A">
        <w:rPr>
          <w:rFonts w:ascii="Times New Roman" w:hAnsi="Times New Roman"/>
          <w:bCs/>
          <w:u w:val="single"/>
          <w:bdr w:val="nil"/>
          <w:shd w:val="clear" w:color="auto" w:fill="FFFFFF"/>
        </w:rPr>
        <w:t>2015/35</w:t>
      </w:r>
      <w:r w:rsidRPr="00F4066A">
        <w:rPr>
          <w:rFonts w:ascii="Times New Roman" w:hAnsi="Times New Roman"/>
          <w:bCs/>
          <w:bdr w:val="nil"/>
          <w:shd w:val="clear" w:color="auto" w:fill="FFFFFF"/>
        </w:rPr>
        <w:t xml:space="preserve"> z 10. októbra 2014, ktorým sa dopĺňa smernica Európskeho parlamentu a Rady 2009/138/ES o začatí a vykonávaní poistenia a zaistenia (Solventnosť II) (</w:t>
      </w:r>
      <w:r w:rsidRPr="00F4066A">
        <w:rPr>
          <w:rFonts w:ascii="Times New Roman" w:hAnsi="Times New Roman"/>
          <w:iCs/>
        </w:rPr>
        <w:t xml:space="preserve">Ú. v. EÚ L 12, 17.1.2015) </w:t>
      </w:r>
      <w:r w:rsidRPr="00F4066A">
        <w:rPr>
          <w:rFonts w:ascii="Times New Roman" w:hAnsi="Times New Roman"/>
        </w:rPr>
        <w:t>v platnom znení</w:t>
      </w:r>
      <w:r w:rsidRPr="00F4066A">
        <w:rPr>
          <w:rFonts w:ascii="Times New Roman" w:hAnsi="Times New Roman"/>
          <w:iCs/>
        </w:rPr>
        <w:t>.</w:t>
      </w:r>
    </w:p>
    <w:p w:rsidR="00150BE9" w:rsidRPr="00F4066A" w:rsidP="00150BE9">
      <w:pPr>
        <w:autoSpaceDE w:val="0"/>
        <w:autoSpaceDN w:val="0"/>
        <w:bidi w:val="0"/>
        <w:spacing w:before="120" w:after="120" w:line="276" w:lineRule="auto"/>
        <w:ind w:left="425"/>
        <w:jc w:val="both"/>
        <w:rPr>
          <w:rFonts w:ascii="Times New Roman" w:hAnsi="Times New Roman"/>
          <w:bCs/>
          <w:iCs/>
        </w:rPr>
      </w:pPr>
      <w:r w:rsidRPr="00F4066A">
        <w:rPr>
          <w:rFonts w:ascii="Times New Roman" w:hAnsi="Times New Roman"/>
          <w:b/>
          <w:bCs/>
          <w:i/>
          <w:iCs/>
        </w:rPr>
        <w:t xml:space="preserve">Sekundárne právo </w:t>
      </w:r>
      <w:r w:rsidRPr="00F4066A">
        <w:rPr>
          <w:rFonts w:ascii="Times New Roman" w:hAnsi="Times New Roman"/>
        </w:rPr>
        <w:t>(prijaté pred nadobudnutím platnosti Lisabonskej zmluvy, ktorou sa mení a dopĺňa Zmluva o Európskej únii a Zmluva o založení Európskeho spoločenstva - do 30. novembra 2009)</w:t>
      </w:r>
      <w:r w:rsidRPr="00F4066A">
        <w:rPr>
          <w:rFonts w:ascii="Times New Roman" w:hAnsi="Times New Roman"/>
          <w:bCs/>
          <w:iCs/>
        </w:rPr>
        <w:t>:</w:t>
      </w:r>
    </w:p>
    <w:p w:rsidR="00150BE9" w:rsidRPr="00F4066A" w:rsidP="00150BE9">
      <w:pPr>
        <w:numPr>
          <w:numId w:val="8"/>
        </w:numPr>
        <w:tabs>
          <w:tab w:val="left" w:pos="-180"/>
          <w:tab w:val="left" w:pos="360"/>
          <w:tab w:val="left" w:pos="437"/>
          <w:tab w:val="num" w:pos="709"/>
          <w:tab w:val="clear" w:pos="900"/>
          <w:tab w:val="left" w:pos="1620"/>
        </w:tabs>
        <w:bidi w:val="0"/>
        <w:spacing w:after="120"/>
        <w:ind w:left="709" w:hanging="283"/>
        <w:jc w:val="both"/>
        <w:rPr>
          <w:rFonts w:ascii="Times New Roman" w:hAnsi="Times New Roman"/>
        </w:rPr>
      </w:pPr>
      <w:r w:rsidRPr="00F4066A">
        <w:rPr>
          <w:rFonts w:ascii="Times New Roman" w:hAnsi="Times New Roman"/>
        </w:rPr>
        <w:t xml:space="preserve">smernica </w:t>
      </w:r>
      <w:r w:rsidRPr="00F4066A">
        <w:rPr>
          <w:rFonts w:ascii="Times New Roman" w:hAnsi="Times New Roman"/>
          <w:bCs/>
          <w:bdr w:val="nil"/>
          <w:shd w:val="clear" w:color="auto" w:fill="FFFFFF"/>
        </w:rPr>
        <w:t xml:space="preserve">Rady </w:t>
      </w:r>
      <w:r w:rsidRPr="00F4066A">
        <w:rPr>
          <w:rFonts w:ascii="Times New Roman" w:hAnsi="Times New Roman"/>
          <w:bCs/>
          <w:u w:val="single"/>
          <w:bdr w:val="nil"/>
          <w:shd w:val="clear" w:color="auto" w:fill="FFFFFF"/>
        </w:rPr>
        <w:t>91/371/EHS</w:t>
      </w:r>
      <w:r w:rsidRPr="00F4066A">
        <w:rPr>
          <w:rFonts w:ascii="Times New Roman" w:hAnsi="Times New Roman"/>
          <w:bCs/>
          <w:bdr w:val="nil"/>
          <w:shd w:val="clear" w:color="auto" w:fill="FFFFFF"/>
        </w:rPr>
        <w:t xml:space="preserve"> z 20. júna 1991 o vykonávaní dohody medzi Európskym hospodárskym spoločenstvom a Švajčiarskou konfederáciou o priamom poistení s výnimkou životného poistenia (</w:t>
      </w:r>
      <w:r w:rsidRPr="00F4066A">
        <w:rPr>
          <w:rFonts w:ascii="Times New Roman" w:hAnsi="Times New Roman"/>
          <w:iCs/>
        </w:rPr>
        <w:t xml:space="preserve">Mimoriadne vydanie </w:t>
      </w:r>
      <w:r w:rsidRPr="00F4066A">
        <w:rPr>
          <w:rFonts w:ascii="Times New Roman" w:hAnsi="Times New Roman"/>
          <w:color w:val="000000"/>
        </w:rPr>
        <w:t>Ú.v.</w:t>
      </w:r>
      <w:r w:rsidRPr="00F4066A">
        <w:rPr>
          <w:rFonts w:ascii="Times New Roman" w:hAnsi="Times New Roman"/>
          <w:i/>
          <w:color w:val="000000"/>
        </w:rPr>
        <w:t xml:space="preserve"> </w:t>
      </w:r>
      <w:r w:rsidRPr="00F4066A">
        <w:rPr>
          <w:rFonts w:ascii="Times New Roman" w:hAnsi="Times New Roman"/>
          <w:iCs/>
        </w:rPr>
        <w:t>EÚ 6/ zv. 1, Ú. v. ES L 205, 27.7.1991),</w:t>
      </w:r>
    </w:p>
    <w:p w:rsidR="00150BE9" w:rsidRPr="00F4066A" w:rsidP="00150BE9">
      <w:pPr>
        <w:numPr>
          <w:numId w:val="8"/>
        </w:numPr>
        <w:tabs>
          <w:tab w:val="left" w:pos="-180"/>
          <w:tab w:val="left" w:pos="360"/>
          <w:tab w:val="left" w:pos="437"/>
          <w:tab w:val="num" w:pos="709"/>
          <w:tab w:val="clear" w:pos="900"/>
          <w:tab w:val="left" w:pos="1620"/>
        </w:tabs>
        <w:bidi w:val="0"/>
        <w:spacing w:after="120"/>
        <w:ind w:left="709" w:hanging="283"/>
        <w:jc w:val="both"/>
        <w:rPr>
          <w:rFonts w:ascii="Times New Roman" w:hAnsi="Times New Roman"/>
          <w:color w:val="000000"/>
        </w:rPr>
      </w:pPr>
      <w:r w:rsidRPr="00F4066A">
        <w:rPr>
          <w:rFonts w:ascii="Times New Roman" w:hAnsi="Times New Roman"/>
        </w:rPr>
        <w:t xml:space="preserve">smernica Rady </w:t>
      </w:r>
      <w:r w:rsidRPr="00F4066A">
        <w:rPr>
          <w:rFonts w:ascii="Times New Roman" w:hAnsi="Times New Roman"/>
          <w:u w:val="single"/>
        </w:rPr>
        <w:t>91/675/EHS</w:t>
      </w:r>
      <w:r w:rsidRPr="00F4066A">
        <w:rPr>
          <w:rFonts w:ascii="Times New Roman" w:hAnsi="Times New Roman"/>
        </w:rPr>
        <w:t xml:space="preserve"> z 19. decembra 1991, ktorou sa zriaďuje Výbor pre poistenie (</w:t>
      </w:r>
      <w:r w:rsidRPr="00F4066A">
        <w:rPr>
          <w:rFonts w:ascii="Times New Roman" w:hAnsi="Times New Roman"/>
          <w:iCs/>
        </w:rPr>
        <w:t xml:space="preserve">Mimoriadne vydanie </w:t>
      </w:r>
      <w:r w:rsidRPr="00F4066A">
        <w:rPr>
          <w:rFonts w:ascii="Times New Roman" w:hAnsi="Times New Roman"/>
          <w:color w:val="000000"/>
        </w:rPr>
        <w:t>Ú.v.</w:t>
      </w:r>
      <w:r w:rsidRPr="00F4066A">
        <w:rPr>
          <w:rFonts w:ascii="Times New Roman" w:hAnsi="Times New Roman"/>
          <w:i/>
          <w:color w:val="000000"/>
        </w:rPr>
        <w:t xml:space="preserve"> </w:t>
      </w:r>
      <w:r w:rsidRPr="00F4066A">
        <w:rPr>
          <w:rFonts w:ascii="Times New Roman" w:hAnsi="Times New Roman"/>
          <w:iCs/>
        </w:rPr>
        <w:t>EÚ 6/ zv. 1, Ú. v. ES L 374, 31.12.1991</w:t>
      </w:r>
      <w:r w:rsidRPr="00F4066A">
        <w:rPr>
          <w:rFonts w:ascii="Times New Roman" w:hAnsi="Times New Roman"/>
          <w:color w:val="000000"/>
        </w:rPr>
        <w:t>)</w:t>
      </w:r>
      <w:r w:rsidRPr="00F4066A">
        <w:rPr>
          <w:rFonts w:ascii="Times New Roman" w:hAnsi="Times New Roman"/>
        </w:rPr>
        <w:t xml:space="preserve"> v platnom znení</w:t>
      </w:r>
      <w:r w:rsidRPr="00F4066A">
        <w:rPr>
          <w:rFonts w:ascii="Times New Roman" w:hAnsi="Times New Roman"/>
          <w:color w:val="000000"/>
        </w:rPr>
        <w:t>,</w:t>
      </w:r>
    </w:p>
    <w:p w:rsidR="00150BE9" w:rsidRPr="00F4066A" w:rsidP="00150BE9">
      <w:pPr>
        <w:pStyle w:val="BodyTextIndent"/>
        <w:numPr>
          <w:numId w:val="8"/>
        </w:numPr>
        <w:tabs>
          <w:tab w:val="num" w:pos="709"/>
          <w:tab w:val="clear" w:pos="900"/>
        </w:tabs>
        <w:autoSpaceDE w:val="0"/>
        <w:autoSpaceDN w:val="0"/>
        <w:bidi w:val="0"/>
        <w:adjustRightInd w:val="0"/>
        <w:ind w:left="709" w:hanging="283"/>
        <w:jc w:val="both"/>
        <w:rPr>
          <w:rFonts w:ascii="Times New Roman" w:hAnsi="Times New Roman"/>
          <w:i/>
        </w:rPr>
      </w:pPr>
      <w:r w:rsidRPr="00F4066A">
        <w:rPr>
          <w:rFonts w:ascii="Times New Roman" w:hAnsi="Times New Roman"/>
          <w:bCs/>
        </w:rPr>
        <w:t xml:space="preserve">smernica Európskeho parlamentu a Rady </w:t>
      </w:r>
      <w:r w:rsidRPr="00F4066A">
        <w:rPr>
          <w:rFonts w:ascii="Times New Roman" w:hAnsi="Times New Roman"/>
          <w:bCs/>
          <w:u w:val="single"/>
        </w:rPr>
        <w:t>2002/87/ES</w:t>
      </w:r>
      <w:r w:rsidRPr="00F4066A">
        <w:rPr>
          <w:rFonts w:ascii="Times New Roman" w:hAnsi="Times New Roman"/>
          <w:bCs/>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6/zv. 4, </w:t>
      </w:r>
      <w:r w:rsidRPr="00F4066A">
        <w:rPr>
          <w:rFonts w:ascii="Times New Roman" w:hAnsi="Times New Roman"/>
          <w:iCs/>
        </w:rPr>
        <w:t>Ú. v. EÚ L 35, 11.2.2003</w:t>
      </w:r>
      <w:r w:rsidRPr="00F4066A">
        <w:rPr>
          <w:rFonts w:ascii="Times New Roman" w:hAnsi="Times New Roman"/>
          <w:bCs/>
        </w:rPr>
        <w:t>) v platnom znení,</w:t>
      </w:r>
    </w:p>
    <w:p w:rsidR="00150BE9" w:rsidRPr="00F4066A" w:rsidP="00150BE9">
      <w:pPr>
        <w:pStyle w:val="BodyTextIndent"/>
        <w:numPr>
          <w:numId w:val="8"/>
        </w:numPr>
        <w:tabs>
          <w:tab w:val="num" w:pos="709"/>
          <w:tab w:val="clear" w:pos="900"/>
        </w:tabs>
        <w:autoSpaceDE w:val="0"/>
        <w:autoSpaceDN w:val="0"/>
        <w:bidi w:val="0"/>
        <w:adjustRightInd w:val="0"/>
        <w:spacing w:after="240"/>
        <w:ind w:left="709" w:hanging="283"/>
        <w:jc w:val="both"/>
        <w:rPr>
          <w:rFonts w:ascii="Times New Roman" w:hAnsi="Times New Roman"/>
        </w:rPr>
      </w:pPr>
      <w:r w:rsidRPr="00F4066A">
        <w:rPr>
          <w:rFonts w:ascii="Times New Roman" w:hAnsi="Times New Roman"/>
        </w:rPr>
        <w:t xml:space="preserve">smernica </w:t>
      </w:r>
      <w:r w:rsidRPr="00F4066A">
        <w:rPr>
          <w:rFonts w:ascii="Times New Roman" w:hAnsi="Times New Roman"/>
          <w:bCs/>
        </w:rPr>
        <w:t xml:space="preserve">Európskeho parlamentu a Rady </w:t>
      </w:r>
      <w:r w:rsidRPr="00F4066A">
        <w:rPr>
          <w:rFonts w:ascii="Times New Roman" w:hAnsi="Times New Roman"/>
          <w:bCs/>
          <w:u w:val="single"/>
        </w:rPr>
        <w:t>2009/138/ES</w:t>
      </w:r>
      <w:r w:rsidRPr="00F4066A">
        <w:rPr>
          <w:rFonts w:ascii="Times New Roman" w:hAnsi="Times New Roman"/>
          <w:bCs/>
        </w:rPr>
        <w:t xml:space="preserve"> z 25. novembra 2009 o začatí a vykonávaní poistenia a zaistenia (Solventnosť II) (prepracované znenie) (</w:t>
      </w:r>
      <w:r w:rsidRPr="00F4066A">
        <w:rPr>
          <w:rFonts w:ascii="Times New Roman" w:hAnsi="Times New Roman"/>
          <w:bCs/>
          <w:iCs/>
        </w:rPr>
        <w:t>Ú. v. EÚ L 335, 17.12.2009) v platnom znení.</w:t>
      </w:r>
    </w:p>
    <w:p w:rsidR="00150BE9" w:rsidRPr="00F4066A" w:rsidP="00150BE9">
      <w:pPr>
        <w:pStyle w:val="BodyText"/>
        <w:widowControl/>
        <w:numPr>
          <w:ilvl w:val="1"/>
          <w:numId w:val="7"/>
        </w:numPr>
        <w:bidi w:val="0"/>
        <w:spacing w:after="120"/>
        <w:jc w:val="both"/>
        <w:rPr>
          <w:rFonts w:ascii="Times New Roman" w:hAnsi="Times New Roman"/>
        </w:rPr>
      </w:pPr>
      <w:r w:rsidRPr="00F4066A">
        <w:rPr>
          <w:rFonts w:ascii="Times New Roman" w:hAnsi="Times New Roman"/>
        </w:rPr>
        <w:t>je obsiahnutá v judikatúre Súdneho dvora Európskej únie:</w:t>
      </w:r>
    </w:p>
    <w:p w:rsidR="00150BE9" w:rsidRPr="00F4066A" w:rsidP="00150BE9">
      <w:pPr>
        <w:numPr>
          <w:numId w:val="10"/>
        </w:numPr>
        <w:bidi w:val="0"/>
        <w:spacing w:after="120"/>
        <w:ind w:left="709" w:hanging="283"/>
        <w:jc w:val="both"/>
        <w:rPr>
          <w:rFonts w:ascii="Times New Roman" w:hAnsi="Times New Roman"/>
        </w:rPr>
      </w:pPr>
      <w:r w:rsidRPr="00F4066A">
        <w:rPr>
          <w:rFonts w:ascii="Times New Roman" w:hAnsi="Times New Roman"/>
        </w:rPr>
        <w:t xml:space="preserve">rozhodnutie Súdneho dvora vo veci C - 51/13, </w:t>
      </w:r>
      <w:r w:rsidRPr="00F4066A">
        <w:rPr>
          <w:rFonts w:ascii="Times New Roman" w:hAnsi="Times New Roman"/>
          <w:bCs/>
        </w:rPr>
        <w:t>Nationale</w:t>
      </w:r>
      <w:r w:rsidRPr="00F4066A">
        <w:rPr>
          <w:rFonts w:ascii="Times New Roman" w:hAnsi="Times New Roman"/>
          <w:bCs/>
        </w:rPr>
        <w:noBreakHyphen/>
        <w:t>Nederlanden Levensverzekering Mij NV</w:t>
      </w:r>
      <w:r w:rsidRPr="00F4066A">
        <w:rPr>
          <w:rFonts w:ascii="Times New Roman" w:hAnsi="Times New Roman"/>
        </w:rPr>
        <w:t xml:space="preserve">proti </w:t>
      </w:r>
      <w:r w:rsidRPr="00F4066A">
        <w:rPr>
          <w:rFonts w:ascii="Times New Roman" w:hAnsi="Times New Roman"/>
          <w:bCs/>
        </w:rPr>
        <w:t>Hubertusovi Wilhelmusovi Van Leeuwenovi</w:t>
      </w:r>
      <w:r w:rsidRPr="00F4066A">
        <w:rPr>
          <w:rFonts w:ascii="Times New Roman" w:hAnsi="Times New Roman"/>
        </w:rPr>
        <w:t>, [2015],</w:t>
      </w:r>
    </w:p>
    <w:p w:rsidR="00150BE9" w:rsidRPr="00F4066A" w:rsidP="00150BE9">
      <w:pPr>
        <w:numPr>
          <w:numId w:val="10"/>
        </w:numPr>
        <w:bidi w:val="0"/>
        <w:spacing w:after="120"/>
        <w:ind w:left="709" w:hanging="283"/>
        <w:jc w:val="both"/>
        <w:rPr>
          <w:rFonts w:ascii="Times New Roman" w:hAnsi="Times New Roman"/>
        </w:rPr>
      </w:pPr>
      <w:r w:rsidRPr="00F4066A">
        <w:rPr>
          <w:rFonts w:ascii="Times New Roman" w:hAnsi="Times New Roman"/>
        </w:rPr>
        <w:t xml:space="preserve">rozhodnutie Súdneho dvora vo veci C - 88/13, </w:t>
      </w:r>
      <w:r w:rsidRPr="00F4066A">
        <w:rPr>
          <w:rFonts w:ascii="Times New Roman" w:hAnsi="Times New Roman"/>
          <w:bCs/>
        </w:rPr>
        <w:t>Philippe Gruslin</w:t>
      </w:r>
      <w:r w:rsidRPr="00F4066A">
        <w:rPr>
          <w:rFonts w:ascii="Times New Roman" w:hAnsi="Times New Roman"/>
        </w:rPr>
        <w:t xml:space="preserve"> proti </w:t>
      </w:r>
      <w:r w:rsidRPr="00F4066A">
        <w:rPr>
          <w:rFonts w:ascii="Times New Roman" w:hAnsi="Times New Roman"/>
          <w:bCs/>
        </w:rPr>
        <w:t>Beobank SA</w:t>
      </w:r>
      <w:r w:rsidRPr="00F4066A">
        <w:rPr>
          <w:rFonts w:ascii="Times New Roman" w:hAnsi="Times New Roman"/>
        </w:rPr>
        <w:t>,  [2014],</w:t>
      </w:r>
    </w:p>
    <w:p w:rsidR="00150BE9" w:rsidRPr="00F4066A" w:rsidP="00150BE9">
      <w:pPr>
        <w:numPr>
          <w:numId w:val="10"/>
        </w:numPr>
        <w:bidi w:val="0"/>
        <w:spacing w:after="240"/>
        <w:ind w:left="709" w:hanging="283"/>
        <w:jc w:val="both"/>
        <w:rPr>
          <w:rFonts w:ascii="Times New Roman" w:hAnsi="Times New Roman"/>
        </w:rPr>
      </w:pPr>
      <w:r w:rsidRPr="00F4066A">
        <w:rPr>
          <w:rFonts w:ascii="Times New Roman" w:hAnsi="Times New Roman"/>
        </w:rPr>
        <w:t xml:space="preserve">rozhodnutie Súdneho dvora vo veci C - 559/15, </w:t>
      </w:r>
      <w:r w:rsidRPr="00F4066A">
        <w:rPr>
          <w:rFonts w:ascii="Times New Roman" w:hAnsi="Times New Roman"/>
          <w:bCs/>
        </w:rPr>
        <w:t xml:space="preserve">Onix Asigurări SA </w:t>
      </w:r>
      <w:r w:rsidRPr="00F4066A">
        <w:rPr>
          <w:rFonts w:ascii="Times New Roman" w:hAnsi="Times New Roman"/>
        </w:rPr>
        <w:t xml:space="preserve">proti </w:t>
      </w:r>
      <w:r w:rsidRPr="00F4066A">
        <w:rPr>
          <w:rFonts w:ascii="Times New Roman" w:hAnsi="Times New Roman"/>
          <w:bCs/>
        </w:rPr>
        <w:t>Istituto per la Vigilanza Sulle Assicurazioni (IVASS),</w:t>
      </w:r>
      <w:r w:rsidRPr="00F4066A">
        <w:rPr>
          <w:rFonts w:ascii="Times New Roman" w:hAnsi="Times New Roman"/>
        </w:rPr>
        <w:t xml:space="preserve">  [2014].</w:t>
      </w:r>
    </w:p>
    <w:p w:rsidR="00150BE9" w:rsidRPr="00F4066A" w:rsidP="00150BE9">
      <w:pPr>
        <w:numPr>
          <w:numId w:val="7"/>
        </w:numPr>
        <w:tabs>
          <w:tab w:val="left" w:pos="340"/>
        </w:tabs>
        <w:bidi w:val="0"/>
        <w:spacing w:after="240"/>
        <w:jc w:val="both"/>
        <w:rPr>
          <w:rFonts w:ascii="Times New Roman" w:hAnsi="Times New Roman"/>
          <w:b/>
          <w:bCs/>
        </w:rPr>
      </w:pPr>
      <w:r w:rsidRPr="00F4066A">
        <w:rPr>
          <w:rFonts w:ascii="Times New Roman" w:hAnsi="Times New Roman"/>
          <w:b/>
          <w:bCs/>
        </w:rPr>
        <w:t>Záväzky Slovenskej republiky vo vzťahu k Európskej únii:</w:t>
      </w:r>
    </w:p>
    <w:p w:rsidR="00150BE9" w:rsidRPr="00F4066A" w:rsidP="00150BE9">
      <w:pPr>
        <w:pStyle w:val="BodyText"/>
        <w:widowControl/>
        <w:numPr>
          <w:ilvl w:val="1"/>
          <w:numId w:val="7"/>
        </w:numPr>
        <w:tabs>
          <w:tab w:val="left" w:pos="360"/>
        </w:tabs>
        <w:bidi w:val="0"/>
        <w:spacing w:after="120"/>
        <w:jc w:val="both"/>
        <w:rPr>
          <w:rFonts w:ascii="Times New Roman" w:hAnsi="Times New Roman"/>
        </w:rPr>
      </w:pPr>
      <w:r w:rsidRPr="00F4066A">
        <w:rPr>
          <w:rFonts w:ascii="Times New Roman" w:hAnsi="Times New Roman"/>
        </w:rPr>
        <w:t>Lehota na prebratie smernice alebo lehota na implementáciu nariadenia alebo rozhodnutia: bezpredmetné.</w:t>
      </w:r>
    </w:p>
    <w:p w:rsidR="00150BE9" w:rsidRPr="00F4066A" w:rsidP="00150BE9">
      <w:pPr>
        <w:pStyle w:val="BodyText"/>
        <w:widowControl/>
        <w:numPr>
          <w:ilvl w:val="1"/>
          <w:numId w:val="7"/>
        </w:numPr>
        <w:tabs>
          <w:tab w:val="left" w:pos="360"/>
        </w:tabs>
        <w:bidi w:val="0"/>
        <w:spacing w:after="120"/>
        <w:jc w:val="both"/>
        <w:rPr>
          <w:rFonts w:ascii="Times New Roman" w:hAnsi="Times New Roman"/>
        </w:rPr>
      </w:pPr>
      <w:r w:rsidRPr="00F4066A">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bezpredmetné.</w:t>
      </w:r>
    </w:p>
    <w:p w:rsidR="00150BE9" w:rsidRPr="00F4066A" w:rsidP="00150BE9">
      <w:pPr>
        <w:pStyle w:val="BodyText"/>
        <w:widowControl/>
        <w:numPr>
          <w:ilvl w:val="1"/>
          <w:numId w:val="7"/>
        </w:numPr>
        <w:tabs>
          <w:tab w:val="left" w:pos="360"/>
        </w:tabs>
        <w:bidi w:val="0"/>
        <w:spacing w:after="120"/>
        <w:jc w:val="both"/>
        <w:rPr>
          <w:rFonts w:ascii="Times New Roman" w:hAnsi="Times New Roman"/>
        </w:rPr>
      </w:pPr>
      <w:r w:rsidRPr="00F4066A">
        <w:rPr>
          <w:rFonts w:ascii="Times New Roman" w:hAnsi="Times New Roman"/>
        </w:rPr>
        <w:t>Proti SR nebolo začaté konanie o porušení Zmluvy o fungovaní Európskej únie podľa čl. 258 až 260.</w:t>
      </w:r>
    </w:p>
    <w:p w:rsidR="00150BE9" w:rsidRPr="00F4066A" w:rsidP="00150BE9">
      <w:pPr>
        <w:pStyle w:val="BodyText"/>
        <w:widowControl/>
        <w:numPr>
          <w:ilvl w:val="1"/>
          <w:numId w:val="7"/>
        </w:numPr>
        <w:tabs>
          <w:tab w:val="left" w:pos="360"/>
        </w:tabs>
        <w:bidi w:val="0"/>
        <w:spacing w:after="240"/>
        <w:jc w:val="both"/>
        <w:rPr>
          <w:rFonts w:ascii="Times New Roman" w:hAnsi="Times New Roman"/>
        </w:rPr>
      </w:pPr>
      <w:r w:rsidRPr="00F4066A">
        <w:rPr>
          <w:rFonts w:ascii="Times New Roman" w:hAnsi="Times New Roman"/>
          <w:bCs/>
        </w:rPr>
        <w:t xml:space="preserve">Bezpredmetné. </w:t>
      </w:r>
    </w:p>
    <w:p w:rsidR="00150BE9" w:rsidRPr="00F4066A" w:rsidP="00150BE9">
      <w:pPr>
        <w:numPr>
          <w:numId w:val="7"/>
        </w:numPr>
        <w:bidi w:val="0"/>
        <w:spacing w:after="120"/>
        <w:jc w:val="both"/>
        <w:rPr>
          <w:rFonts w:ascii="Times New Roman" w:hAnsi="Times New Roman"/>
          <w:b/>
          <w:bCs/>
        </w:rPr>
      </w:pPr>
      <w:r w:rsidRPr="00F4066A">
        <w:rPr>
          <w:rFonts w:ascii="Times New Roman" w:hAnsi="Times New Roman"/>
          <w:b/>
          <w:bCs/>
        </w:rPr>
        <w:t>Stupeň zlučiteľnosti návrhu zákona s právom Európskej únie:</w:t>
      </w:r>
    </w:p>
    <w:p w:rsidR="00150BE9" w:rsidRPr="00F4066A" w:rsidP="00150BE9">
      <w:pPr>
        <w:bidi w:val="0"/>
        <w:spacing w:after="120"/>
        <w:ind w:left="425"/>
        <w:jc w:val="both"/>
        <w:rPr>
          <w:rFonts w:ascii="Times New Roman" w:hAnsi="Times New Roman"/>
        </w:rPr>
      </w:pPr>
      <w:r w:rsidRPr="00F4066A">
        <w:rPr>
          <w:rFonts w:ascii="Times New Roman" w:hAnsi="Times New Roman"/>
        </w:rPr>
        <w:t>Úplný.</w:t>
      </w:r>
    </w:p>
    <w:p w:rsidR="00150BE9" w:rsidRPr="00F4066A" w:rsidP="00150BE9">
      <w:pPr>
        <w:bidi w:val="0"/>
        <w:ind w:left="357"/>
        <w:jc w:val="both"/>
        <w:rPr>
          <w:rFonts w:ascii="Times New Roman" w:hAnsi="Times New Roman"/>
          <w:bCs/>
        </w:rPr>
      </w:pPr>
    </w:p>
    <w:p w:rsidR="00150BE9" w:rsidRPr="00F4066A" w:rsidP="00150BE9">
      <w:pPr>
        <w:numPr>
          <w:numId w:val="7"/>
        </w:numPr>
        <w:bidi w:val="0"/>
        <w:spacing w:after="120"/>
        <w:jc w:val="both"/>
        <w:rPr>
          <w:rFonts w:ascii="Times New Roman" w:hAnsi="Times New Roman"/>
          <w:b/>
          <w:bCs/>
        </w:rPr>
      </w:pPr>
      <w:r w:rsidRPr="00F4066A">
        <w:rPr>
          <w:rFonts w:ascii="Times New Roman" w:hAnsi="Times New Roman"/>
          <w:b/>
          <w:bCs/>
        </w:rPr>
        <w:t xml:space="preserve">Gestor a spolupracujúce rezorty: </w:t>
      </w:r>
    </w:p>
    <w:p w:rsidR="00150BE9" w:rsidRPr="00F4066A" w:rsidP="00150BE9">
      <w:pPr>
        <w:bidi w:val="0"/>
        <w:spacing w:after="120"/>
        <w:ind w:left="426" w:hanging="86"/>
        <w:rPr>
          <w:rFonts w:ascii="Times New Roman" w:hAnsi="Times New Roman"/>
        </w:rPr>
      </w:pPr>
      <w:r w:rsidRPr="00F4066A">
        <w:rPr>
          <w:rFonts w:ascii="Times New Roman" w:hAnsi="Times New Roman"/>
        </w:rPr>
        <w:t xml:space="preserve">  Ministerstvo financií Slovenskej republiky a Národná banka Slovenska.</w:t>
      </w:r>
    </w:p>
    <w:p w:rsidR="00150BE9" w:rsidRPr="00F4066A" w:rsidP="00150BE9">
      <w:pPr>
        <w:bidi w:val="0"/>
        <w:spacing w:after="120"/>
        <w:ind w:left="360"/>
        <w:jc w:val="both"/>
        <w:rPr>
          <w:rFonts w:ascii="Times New Roman" w:hAnsi="Times New Roman"/>
        </w:rPr>
      </w:pPr>
    </w:p>
    <w:p w:rsidR="00150BE9" w:rsidP="00150BE9">
      <w:pPr>
        <w:bidi w:val="0"/>
        <w:rPr>
          <w:rFonts w:ascii="Times New Roman" w:hAnsi="Times New Roman"/>
          <w:b/>
        </w:rPr>
      </w:pPr>
    </w:p>
    <w:p w:rsidR="00124802" w:rsidP="00124802">
      <w:pPr>
        <w:bidi w:val="0"/>
        <w:rPr>
          <w:rFonts w:ascii="Times New Roman" w:hAnsi="Times New Roman"/>
          <w:b/>
        </w:rPr>
      </w:pPr>
    </w:p>
    <w:p w:rsidR="00124802" w:rsidP="00124802">
      <w:pPr>
        <w:bidi w:val="0"/>
        <w:rPr>
          <w:rFonts w:ascii="Times New Roman" w:hAnsi="Times New Roman"/>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P="00150BE9">
      <w:pPr>
        <w:pStyle w:val="BodyText"/>
        <w:widowControl/>
        <w:bidi w:val="0"/>
        <w:jc w:val="both"/>
        <w:rPr>
          <w:rFonts w:ascii="Times New Roman" w:hAnsi="Times New Roman"/>
          <w:b/>
          <w:bCs/>
          <w:color w:val="auto"/>
        </w:rPr>
      </w:pPr>
    </w:p>
    <w:p w:rsidR="00150BE9" w:rsidRPr="004E35BC" w:rsidP="00150BE9">
      <w:pPr>
        <w:pStyle w:val="BodyText"/>
        <w:widowControl/>
        <w:bidi w:val="0"/>
        <w:jc w:val="both"/>
        <w:rPr>
          <w:rFonts w:ascii="Times New Roman" w:hAnsi="Times New Roman"/>
          <w:b/>
          <w:bCs/>
          <w:color w:val="auto"/>
          <w:u w:val="single"/>
        </w:rPr>
      </w:pPr>
      <w:r w:rsidRPr="004E35BC">
        <w:rPr>
          <w:rFonts w:ascii="Times New Roman" w:hAnsi="Times New Roman"/>
          <w:b/>
          <w:bCs/>
          <w:color w:val="auto"/>
        </w:rPr>
        <w:t>Osobitná časť</w:t>
      </w:r>
      <w:r w:rsidRPr="004E35BC">
        <w:rPr>
          <w:rFonts w:ascii="Times New Roman" w:hAnsi="Times New Roman"/>
          <w:b/>
          <w:bCs/>
          <w:color w:val="auto"/>
          <w:u w:val="single"/>
        </w:rPr>
        <w:t xml:space="preserve"> </w:t>
      </w:r>
    </w:p>
    <w:p w:rsidR="00150BE9" w:rsidRPr="004E35BC" w:rsidP="00150BE9">
      <w:pPr>
        <w:pStyle w:val="BodyText"/>
        <w:widowControl/>
        <w:bidi w:val="0"/>
        <w:rPr>
          <w:rFonts w:ascii="Times New Roman" w:hAnsi="Times New Roman"/>
          <w:b/>
          <w:bCs/>
          <w:color w:val="auto"/>
        </w:rPr>
      </w:pPr>
    </w:p>
    <w:p w:rsidR="00150BE9" w:rsidRPr="004E35BC" w:rsidP="00150BE9">
      <w:pPr>
        <w:pStyle w:val="BodyText"/>
        <w:widowControl/>
        <w:bidi w:val="0"/>
        <w:rPr>
          <w:rFonts w:ascii="Times New Roman" w:hAnsi="Times New Roman"/>
          <w:b/>
          <w:bCs/>
          <w:color w:val="auto"/>
        </w:rPr>
      </w:pPr>
      <w:r w:rsidRPr="004E35BC">
        <w:rPr>
          <w:rFonts w:ascii="Times New Roman" w:hAnsi="Times New Roman"/>
          <w:b/>
          <w:bCs/>
          <w:color w:val="auto"/>
        </w:rPr>
        <w:t>K Čl. I</w:t>
      </w:r>
    </w:p>
    <w:p w:rsidR="00150BE9" w:rsidRPr="004E35BC" w:rsidP="00150BE9">
      <w:pPr>
        <w:pStyle w:val="BodyText"/>
        <w:widowControl/>
        <w:bidi w:val="0"/>
        <w:rPr>
          <w:rFonts w:ascii="Times New Roman" w:hAnsi="Times New Roman"/>
          <w:b/>
          <w:bCs/>
          <w:color w:val="auto"/>
        </w:rPr>
      </w:pPr>
    </w:p>
    <w:p w:rsidR="00150BE9" w:rsidRPr="004E35BC" w:rsidP="00150BE9">
      <w:pPr>
        <w:pStyle w:val="BodyText"/>
        <w:widowControl/>
        <w:bidi w:val="0"/>
        <w:jc w:val="both"/>
        <w:rPr>
          <w:rFonts w:ascii="Times New Roman" w:hAnsi="Times New Roman"/>
          <w:b/>
          <w:bCs/>
          <w:color w:val="auto"/>
        </w:rPr>
      </w:pPr>
      <w:r w:rsidRPr="004E35BC">
        <w:rPr>
          <w:rFonts w:ascii="Times New Roman" w:hAnsi="Times New Roman"/>
          <w:b/>
          <w:bCs/>
          <w:color w:val="auto"/>
        </w:rPr>
        <w:t xml:space="preserve">K bodu </w:t>
      </w:r>
      <w:r>
        <w:rPr>
          <w:rFonts w:ascii="Times New Roman" w:hAnsi="Times New Roman"/>
          <w:b/>
          <w:bCs/>
          <w:color w:val="auto"/>
        </w:rPr>
        <w:t>1</w:t>
      </w:r>
      <w:r w:rsidRPr="004E35BC">
        <w:rPr>
          <w:rFonts w:ascii="Times New Roman" w:hAnsi="Times New Roman"/>
          <w:b/>
          <w:bCs/>
          <w:color w:val="auto"/>
        </w:rPr>
        <w:t xml:space="preserve"> </w:t>
      </w:r>
    </w:p>
    <w:p w:rsidR="00150BE9" w:rsidRPr="004E35BC" w:rsidP="00150BE9">
      <w:pPr>
        <w:pStyle w:val="BodyText"/>
        <w:widowControl/>
        <w:bidi w:val="0"/>
        <w:jc w:val="both"/>
        <w:rPr>
          <w:rFonts w:ascii="Times New Roman" w:hAnsi="Times New Roman"/>
        </w:rPr>
      </w:pPr>
      <w:r w:rsidRPr="004E35BC">
        <w:rPr>
          <w:rFonts w:ascii="Times New Roman" w:hAnsi="Times New Roman"/>
        </w:rPr>
        <w:t>Nakoľko poistné platené poistníkom obsahuje viacero zložiek sa v návrhu zákona zavádzajú dva typy informačného formulára, ktoré budú poskytovať súhrnné informácie o jednotlivých zložkách poistného pri uzatváranej poistnej zmluve. Ak sa uzatvára poistenie</w:t>
      </w:r>
      <w:r>
        <w:rPr>
          <w:rFonts w:ascii="Times New Roman" w:hAnsi="Times New Roman"/>
        </w:rPr>
        <w:t xml:space="preserve"> s odkupnou hodnotou</w:t>
      </w:r>
      <w:r w:rsidRPr="004E35BC">
        <w:rPr>
          <w:rFonts w:ascii="Times New Roman" w:hAnsi="Times New Roman"/>
        </w:rPr>
        <w:t>, pri ktorom investičné riziko nesie poistník (investičné životné poistenie) alebo pri ktorom poisťovňa garantuje vyplatenie poistnej sumy pri dožití (kapitálové životné poistenie) obdrží potencionálny klient informačný formulár</w:t>
      </w:r>
      <w:r>
        <w:rPr>
          <w:rFonts w:ascii="Times New Roman" w:hAnsi="Times New Roman"/>
        </w:rPr>
        <w:t xml:space="preserve"> k poisteniu s odkupnou hodnotou</w:t>
      </w:r>
      <w:r w:rsidRPr="004E35BC">
        <w:rPr>
          <w:rFonts w:ascii="Times New Roman" w:hAnsi="Times New Roman"/>
        </w:rPr>
        <w:t xml:space="preserve">. Cieľom formulára je poskytnúť klientovi stručnú, prehľadnú a zrozumiteľnú informáciu o jednotlivých zložkách nákladov súvisiacich s ponúkaným </w:t>
      </w:r>
      <w:r>
        <w:rPr>
          <w:rFonts w:ascii="Times New Roman" w:hAnsi="Times New Roman"/>
        </w:rPr>
        <w:t>p</w:t>
      </w:r>
      <w:r w:rsidRPr="004E35BC">
        <w:rPr>
          <w:rFonts w:ascii="Times New Roman" w:hAnsi="Times New Roman"/>
        </w:rPr>
        <w:t>oistením. Konkrétne by mal klient dostať informáciu o celkových finančných prostriedkoch zaplatených na poistnom za celú dojednanú poistnú dobu a vyčíslenie toho, aká časť z týchto prostriedkov tvorí rizikové poistné, distribučné náklady a ostatné náklady. Klient zároveň dostane informáciu o tom aká časť zaplateného poistného bude alokovaná na investovanie pri investičnom životnom poistení alebo na krytie rizika dožitia pri kapitálovom životnom poistení. Obdobný formulár sa zavádza aj v prípade poistení</w:t>
      </w:r>
      <w:r>
        <w:rPr>
          <w:rFonts w:ascii="Times New Roman" w:hAnsi="Times New Roman"/>
        </w:rPr>
        <w:t xml:space="preserve"> bez odkupnej hodnoty</w:t>
      </w:r>
      <w:r w:rsidRPr="004E35BC">
        <w:rPr>
          <w:rFonts w:ascii="Times New Roman" w:hAnsi="Times New Roman"/>
        </w:rPr>
        <w:t xml:space="preserve">, kde klient dostane informáciu o tom, koľko reálne platí za krytie rizík a koľko sú náklady súvisiace s distribúciou a ostatné náklady.   </w:t>
      </w:r>
    </w:p>
    <w:p w:rsidR="00150BE9" w:rsidRPr="004E35BC" w:rsidP="00150BE9">
      <w:pPr>
        <w:pStyle w:val="BodyText"/>
        <w:widowControl/>
        <w:bidi w:val="0"/>
        <w:jc w:val="both"/>
        <w:rPr>
          <w:rFonts w:ascii="Times New Roman" w:hAnsi="Times New Roman"/>
          <w:b/>
          <w:bCs/>
          <w:color w:val="auto"/>
        </w:rPr>
      </w:pPr>
    </w:p>
    <w:p w:rsidR="00150BE9" w:rsidRPr="004E35BC" w:rsidP="00150BE9">
      <w:pPr>
        <w:pStyle w:val="BodyText"/>
        <w:widowControl/>
        <w:bidi w:val="0"/>
        <w:jc w:val="both"/>
        <w:rPr>
          <w:rFonts w:ascii="Times New Roman" w:hAnsi="Times New Roman"/>
          <w:b/>
          <w:bCs/>
          <w:color w:val="auto"/>
        </w:rPr>
      </w:pPr>
      <w:r w:rsidRPr="004E35BC">
        <w:rPr>
          <w:rFonts w:ascii="Times New Roman" w:hAnsi="Times New Roman"/>
          <w:b/>
          <w:bCs/>
          <w:color w:val="auto"/>
        </w:rPr>
        <w:t xml:space="preserve">K bodu </w:t>
      </w:r>
      <w:r>
        <w:rPr>
          <w:rFonts w:ascii="Times New Roman" w:hAnsi="Times New Roman"/>
          <w:b/>
          <w:bCs/>
          <w:color w:val="auto"/>
        </w:rPr>
        <w:t>2</w:t>
      </w:r>
    </w:p>
    <w:p w:rsidR="00150BE9" w:rsidP="00150BE9">
      <w:pPr>
        <w:bidi w:val="0"/>
        <w:jc w:val="both"/>
        <w:rPr>
          <w:rFonts w:ascii="Times New Roman" w:hAnsi="Times New Roman"/>
        </w:rPr>
      </w:pPr>
      <w:r w:rsidRPr="004E35BC">
        <w:rPr>
          <w:rFonts w:ascii="Times New Roman" w:hAnsi="Times New Roman"/>
        </w:rPr>
        <w:t>Súčasné systémy výplaty odkupnej hodnoty vedú k tomu, že pri predčasnom ukončení zmluvného vzťahu v životnom poistení, nie je poistníkovi vyplatená žiadna odkupná hodnota alebo je odkupná hodnota vyplatená len vo veľmi nízkej výške. Z uvedeného dôvodu je potrebné zabezpečiť ochranu poistníka v tejto oblasti. Cieľom regulácie je, aby distribučné náklady neniesol v prvých rokoch trvania poistenia výlučne poistník, z uvedeného dôvodu sa navrhuje zavedenie investičných limitov a minimálnych odkupných hodnôt. Minimálne investičné limity sa zavádzajú pri poisteniach spojených s investičnými fondmi (investičné životné poistenie), pri ktorých výška investovaných prostriedkov priamo determinuje výšku odkupnej hodnoty ako aj výšku samotného poistného plnenia. Minimálne odkupné hodnoty sa zavádzajú pri kapitálových životných poisteniach, pri ktorých poisťovňa, poisťovňa z iného členského štátu a pobočka zahraničnej poisťovne bude garantovať vyplatenie odkupnej hodnoty v stanovených minimálnych výškach.</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bodu 3</w:t>
      </w:r>
    </w:p>
    <w:p w:rsidR="00150BE9" w:rsidRPr="00AD093D" w:rsidP="00150BE9">
      <w:pPr>
        <w:bidi w:val="0"/>
        <w:jc w:val="both"/>
        <w:rPr>
          <w:rFonts w:ascii="Times New Roman" w:hAnsi="Times New Roman"/>
          <w:b/>
        </w:rPr>
      </w:pPr>
      <w:r w:rsidRPr="00AD093D">
        <w:rPr>
          <w:rFonts w:ascii="Times New Roman" w:hAnsi="Times New Roman"/>
        </w:rPr>
        <w:t>Pre efektívny výkon dohľadu na diaľku nie je potrebné, aby poisťovňa a ďalšie subjekty uvedené v § 74 ods. 9 oznamovali výber audítora alebo audítorskej spoločnosti osobitne písomne.</w:t>
      </w:r>
    </w:p>
    <w:p w:rsidR="00150BE9" w:rsidRPr="00AD093D" w:rsidP="00150BE9">
      <w:pPr>
        <w:bidi w:val="0"/>
        <w:jc w:val="both"/>
        <w:rPr>
          <w:rFonts w:ascii="Times New Roman" w:hAnsi="Times New Roman"/>
        </w:rPr>
      </w:pPr>
    </w:p>
    <w:p w:rsidR="00150BE9" w:rsidP="00150BE9">
      <w:pPr>
        <w:pStyle w:val="BodyText"/>
        <w:widowControl/>
        <w:bidi w:val="0"/>
        <w:jc w:val="both"/>
        <w:rPr>
          <w:rFonts w:ascii="Times New Roman" w:hAnsi="Times New Roman"/>
          <w:b/>
          <w:bCs/>
          <w:color w:val="auto"/>
        </w:rPr>
      </w:pPr>
      <w:r w:rsidRPr="00C47515">
        <w:rPr>
          <w:rFonts w:ascii="Times New Roman" w:hAnsi="Times New Roman"/>
          <w:b/>
          <w:bCs/>
          <w:color w:val="auto"/>
        </w:rPr>
        <w:t xml:space="preserve">K bodu </w:t>
      </w:r>
      <w:r>
        <w:rPr>
          <w:rFonts w:ascii="Times New Roman" w:hAnsi="Times New Roman"/>
          <w:b/>
          <w:bCs/>
          <w:color w:val="auto"/>
        </w:rPr>
        <w:t>4</w:t>
      </w:r>
    </w:p>
    <w:p w:rsidR="00150BE9" w:rsidRPr="00DE2824" w:rsidP="00150BE9">
      <w:pPr>
        <w:bidi w:val="0"/>
        <w:jc w:val="both"/>
        <w:rPr>
          <w:rFonts w:ascii="Times New Roman" w:hAnsi="Times New Roman"/>
        </w:rPr>
      </w:pPr>
      <w:r w:rsidRPr="00C9476F">
        <w:rPr>
          <w:rFonts w:ascii="Times New Roman" w:hAnsi="Times New Roman"/>
        </w:rPr>
        <w:t xml:space="preserve">Súčasná definícia konania v zhode nie je postačujúca vzhľadom na cieľ smernice v spojení s usmernením európskych orgánov dohľadu a znemožňuje Národnej banke Slovenska posudzovať nadobúdanie účastí napríklad v prípade, že nadobúdateľ zároveň riadi spoločnosť prostredníctvom pozície v predstavenstve alebo existuje dôkaz o dlhodobom jednotnom hlasovaní niektorých akcionárov. </w:t>
      </w:r>
    </w:p>
    <w:p w:rsidR="00150BE9" w:rsidP="00150BE9">
      <w:pPr>
        <w:bidi w:val="0"/>
        <w:jc w:val="both"/>
        <w:rPr>
          <w:rFonts w:ascii="Times New Roman" w:hAnsi="Times New Roman"/>
          <w:b/>
        </w:rPr>
      </w:pPr>
    </w:p>
    <w:p w:rsidR="00150BE9" w:rsidP="00150BE9">
      <w:pPr>
        <w:bidi w:val="0"/>
        <w:jc w:val="both"/>
        <w:rPr>
          <w:rFonts w:ascii="Times New Roman" w:hAnsi="Times New Roman"/>
          <w:b/>
        </w:rPr>
      </w:pPr>
    </w:p>
    <w:p w:rsidR="00150BE9" w:rsidP="00150BE9">
      <w:pPr>
        <w:bidi w:val="0"/>
        <w:jc w:val="both"/>
        <w:rPr>
          <w:rFonts w:ascii="Times New Roman" w:hAnsi="Times New Roman"/>
          <w:b/>
        </w:rPr>
      </w:pPr>
    </w:p>
    <w:p w:rsidR="00150BE9" w:rsidP="00150BE9">
      <w:pPr>
        <w:bidi w:val="0"/>
        <w:jc w:val="both"/>
        <w:rPr>
          <w:rFonts w:ascii="Times New Roman" w:hAnsi="Times New Roman"/>
          <w:b/>
        </w:rPr>
      </w:pPr>
      <w:r w:rsidRPr="00DE2824">
        <w:rPr>
          <w:rFonts w:ascii="Times New Roman" w:hAnsi="Times New Roman"/>
          <w:b/>
        </w:rPr>
        <w:t xml:space="preserve">K bodu </w:t>
      </w:r>
      <w:r>
        <w:rPr>
          <w:rFonts w:ascii="Times New Roman" w:hAnsi="Times New Roman"/>
          <w:b/>
        </w:rPr>
        <w:t>5</w:t>
      </w:r>
    </w:p>
    <w:p w:rsidR="00150BE9" w:rsidRPr="001F0F51" w:rsidP="00150BE9">
      <w:pPr>
        <w:bidi w:val="0"/>
        <w:rPr>
          <w:rFonts w:ascii="Times New Roman" w:hAnsi="Times New Roman"/>
        </w:rPr>
      </w:pPr>
      <w:r>
        <w:rPr>
          <w:rFonts w:ascii="Times New Roman" w:hAnsi="Times New Roman"/>
        </w:rPr>
        <w:t xml:space="preserve">S cieľom explicitného stanovenia, že ustanovenie § 70a sa vzťahuje iba na zmluvy uzatvorené po účinnosti zákona sa navrhuje prechodné ustanovenie.  </w:t>
      </w:r>
    </w:p>
    <w:p w:rsidR="00150BE9" w:rsidP="00150BE9">
      <w:pPr>
        <w:bidi w:val="0"/>
        <w:jc w:val="both"/>
        <w:rPr>
          <w:rFonts w:ascii="Times New Roman" w:hAnsi="Times New Roman"/>
          <w:b/>
        </w:rPr>
      </w:pPr>
    </w:p>
    <w:p w:rsidR="00150BE9" w:rsidRPr="004E35BC" w:rsidP="00150BE9">
      <w:pPr>
        <w:bidi w:val="0"/>
        <w:jc w:val="both"/>
        <w:rPr>
          <w:rFonts w:ascii="Times New Roman" w:hAnsi="Times New Roman"/>
          <w:b/>
        </w:rPr>
      </w:pPr>
      <w:r w:rsidRPr="004E35BC">
        <w:rPr>
          <w:rFonts w:ascii="Times New Roman" w:hAnsi="Times New Roman"/>
          <w:b/>
        </w:rPr>
        <w:t xml:space="preserve">K bodu </w:t>
      </w:r>
      <w:r>
        <w:rPr>
          <w:rFonts w:ascii="Times New Roman" w:hAnsi="Times New Roman"/>
          <w:b/>
        </w:rPr>
        <w:t>6</w:t>
      </w:r>
    </w:p>
    <w:p w:rsidR="00150BE9" w:rsidRPr="004E35BC" w:rsidP="00150BE9">
      <w:pPr>
        <w:bidi w:val="0"/>
        <w:jc w:val="both"/>
        <w:rPr>
          <w:rFonts w:ascii="Times New Roman" w:hAnsi="Times New Roman"/>
          <w:b/>
        </w:rPr>
      </w:pPr>
      <w:r>
        <w:rPr>
          <w:rFonts w:ascii="Times New Roman" w:hAnsi="Times New Roman"/>
        </w:rPr>
        <w:t>V nadväznosti na bod 1 sa d</w:t>
      </w:r>
      <w:r w:rsidRPr="004E35BC">
        <w:rPr>
          <w:rFonts w:ascii="Times New Roman" w:hAnsi="Times New Roman"/>
        </w:rPr>
        <w:t xml:space="preserve">o návrhu zákona sa dopĺňa príloha č. 3, ktorej obsah tvoria vzory informačných formulárov </w:t>
      </w:r>
      <w:r>
        <w:rPr>
          <w:rFonts w:ascii="Times New Roman" w:hAnsi="Times New Roman"/>
        </w:rPr>
        <w:t>o jednotlivých zložkách poistného.</w:t>
      </w:r>
      <w:r w:rsidRPr="004E35BC">
        <w:rPr>
          <w:rFonts w:ascii="Times New Roman" w:hAnsi="Times New Roman"/>
          <w:b/>
        </w:rPr>
        <w:t xml:space="preserve"> </w:t>
      </w:r>
    </w:p>
    <w:p w:rsidR="00150BE9" w:rsidRPr="004E35BC" w:rsidP="00150BE9">
      <w:pPr>
        <w:bidi w:val="0"/>
        <w:jc w:val="both"/>
        <w:rPr>
          <w:rFonts w:ascii="Times New Roman" w:hAnsi="Times New Roman"/>
        </w:rPr>
      </w:pPr>
    </w:p>
    <w:p w:rsidR="00150BE9" w:rsidRPr="004E35BC" w:rsidP="00150BE9">
      <w:pPr>
        <w:bidi w:val="0"/>
        <w:jc w:val="both"/>
        <w:rPr>
          <w:rFonts w:ascii="Times New Roman" w:hAnsi="Times New Roman"/>
          <w:b/>
        </w:rPr>
      </w:pPr>
      <w:r w:rsidRPr="004E35BC">
        <w:rPr>
          <w:rFonts w:ascii="Times New Roman" w:hAnsi="Times New Roman"/>
          <w:b/>
        </w:rPr>
        <w:t>K Čl. II</w:t>
      </w:r>
    </w:p>
    <w:p w:rsidR="00150BE9" w:rsidRPr="004E35BC" w:rsidP="00150BE9">
      <w:pPr>
        <w:bidi w:val="0"/>
        <w:jc w:val="both"/>
        <w:rPr>
          <w:rFonts w:ascii="Times New Roman" w:hAnsi="Times New Roman"/>
          <w:b/>
        </w:rPr>
      </w:pPr>
    </w:p>
    <w:p w:rsidR="00150BE9" w:rsidRPr="00B05EE4" w:rsidP="00150BE9">
      <w:pPr>
        <w:bidi w:val="0"/>
        <w:jc w:val="both"/>
        <w:rPr>
          <w:rFonts w:ascii="Times New Roman" w:hAnsi="Times New Roman"/>
          <w:b/>
        </w:rPr>
      </w:pPr>
      <w:r w:rsidRPr="00B05EE4">
        <w:rPr>
          <w:rFonts w:ascii="Times New Roman" w:hAnsi="Times New Roman"/>
          <w:b/>
        </w:rPr>
        <w:t>K bodu 1</w:t>
      </w:r>
    </w:p>
    <w:p w:rsidR="00150BE9" w:rsidP="00150BE9">
      <w:pPr>
        <w:bidi w:val="0"/>
        <w:jc w:val="both"/>
        <w:rPr>
          <w:rFonts w:ascii="Times New Roman" w:hAnsi="Times New Roman"/>
        </w:rPr>
      </w:pPr>
      <w:r w:rsidRPr="00B05EE4">
        <w:rPr>
          <w:rFonts w:ascii="Times New Roman" w:hAnsi="Times New Roman"/>
          <w:b/>
        </w:rPr>
        <w:t xml:space="preserve"> </w:t>
      </w:r>
      <w:r w:rsidRPr="00B05EE4">
        <w:rPr>
          <w:rFonts w:ascii="Times New Roman" w:hAnsi="Times New Roman"/>
        </w:rPr>
        <w:t xml:space="preserve">Zákonom č. 279/2017 Z. z., ktorým sa mení a dopĺňa zákon č. 483/2001 Z. z. o bankách a o zmene a doplnení niektorých zákonov v znení neskorších predpisov a ktorým sa menia a dopĺňajú niektoré zákony bola s účinnosťou od 15.12.2017 ustanovená pre Národnú banku Slovenska (ďalej len „NBS“) povinnosť vybaviť podanie finančného spotrebiteľa v základnej  lehote 60 kalendárnych dní. Nakoľko v súčasnosti už existujú skúsenosti s vybavovaním podaní finančných spotrebiteľov v režime zákonom ustanovenej lehoty, je odôvodniteľné, že táto lehota nezodpovedá potrebám riadneho vybavovania podaní, nakoľko nezohľadňuje a nezodpovedá procesu vybavovania podaní, ktorý zahŕňa okrem iného aj lehotu na vyjadrenie finančnej inštitúcie  k podaniu a zároveň počíta aj s dodatočnou komunikáciou zo strany NBS v tých prípadoch, kedy NBS v rámci prešetrovania podania zistí porušenia, resp. nedostatky zo strany finančnej inštitúcie a opätovne kontaktuje finančnú inštitúciu s výzvou na  odstránenie nedostatkov. NBS mala pred 15.decembrom 2017 interným aktom riadenia stanovenú lehotu  na vybavenie podania 60 pracovných dní, </w:t>
      </w:r>
      <w:r>
        <w:rPr>
          <w:rFonts w:ascii="Times New Roman" w:hAnsi="Times New Roman"/>
        </w:rPr>
        <w:t>avšak v predmetných prípadoch sa ukázala ako nepostačujúca na riadne vybavenie týchto podaní.</w:t>
      </w:r>
      <w:r w:rsidRPr="00B05EE4">
        <w:rPr>
          <w:rFonts w:ascii="Times New Roman" w:hAnsi="Times New Roman"/>
        </w:rPr>
        <w:t xml:space="preserve"> Z uvedených dôvodov </w:t>
      </w:r>
      <w:r>
        <w:rPr>
          <w:rFonts w:ascii="Times New Roman" w:hAnsi="Times New Roman"/>
        </w:rPr>
        <w:t>sa le</w:t>
      </w:r>
      <w:r w:rsidRPr="00B05EE4">
        <w:rPr>
          <w:rFonts w:ascii="Times New Roman" w:hAnsi="Times New Roman"/>
        </w:rPr>
        <w:t xml:space="preserve">hota 60 kalendárnych dní </w:t>
      </w:r>
      <w:r>
        <w:rPr>
          <w:rFonts w:ascii="Times New Roman" w:hAnsi="Times New Roman"/>
        </w:rPr>
        <w:t>predlžuje na 90 kalendárnych dní.</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bodu 2</w:t>
      </w:r>
    </w:p>
    <w:p w:rsidR="00150BE9" w:rsidP="00150BE9">
      <w:pPr>
        <w:bidi w:val="0"/>
        <w:jc w:val="both"/>
        <w:rPr>
          <w:rFonts w:ascii="Times New Roman" w:hAnsi="Times New Roman"/>
        </w:rPr>
      </w:pPr>
      <w:r w:rsidRPr="0096035B">
        <w:rPr>
          <w:rFonts w:ascii="Times New Roman" w:hAnsi="Times New Roman"/>
        </w:rPr>
        <w:t>Zákonom č. 279/2017 Z. z., ktorým sa mení a dopĺňa zákon č. 483/2001 Z. z. o bankách a o zmene a doplnení niektorých zákonov v znení neskorších predpisov a ktorým sa menia a dopĺňajú niektoré zákony bola s účinnosťou od 15.12.2017 ustanovená pre Národnú banku Slovenska povinnosť  zverejňovať neprávoplatné rozhodnutia. Primárnym účelom zverejňovania rozhodnutí vydaných Národnou bankou Slovenska vo vzťahu k dohliadaným subjektom v oblasti ochrany finančného spotrebiteľa je ovplyvňovanie právnej teórie v oblasti spotrebiteľského práva a rovnako aj poskytovanie pomoci finančným spotrebiteľom lepšie sa orientovať v obsahu a vo výkone spotrebiteľských práv a aj v obsahu povinností poskytovateľov finančných služieb. Neprávoplatné prvostupňové rozhodnutia vydané Národnou bankou Slovenka nie sú konečné a záväzné a v prípade podania opravného prostriedku zo strany dohliadaného subjektu môžu byť v ďalšom konaní zmenené alebo dokonca zrušené. Aktuálne platný spôsob anonymizácie údajov v rozhodnutí len vo vzťahu k údajom o finančnom spotrebiteľovi a do času právoplatnosti rozhodnutia aj údajom o dohliadanom subjekte neposkytuje dostatočnú ochranu dohliadaného subjektu nakoľko z obsahu zverejneného rozhodnutia môže vyplynúť, o ktorý konkrétny dohliadaný subjekt sa jedná. V prípade, ak by na poklade zverejneného neprávoplatného rozhodnutia Národnej banky Slovenska boli iniciované zo strany finančných spotrebiteľov vo vzťahu ku konkrétnemu dohliadanému subjektu súdne alebo iné konania za účelom domáhania sa svojich práv, ktoré mali byť zo strany dohliadaného subjektu porušené, tak v prípade zmeny alebo zrušenia prvostupňového rozhodnutia Národnej banky Slovenka, by odpadol aj dôvod pre také konania, čím sa narúša právna istota všetkých účastníkov konaní, vrátane samotných finančných spotrebiteľov.</w:t>
      </w:r>
    </w:p>
    <w:p w:rsidR="00150BE9" w:rsidP="00150BE9">
      <w:pPr>
        <w:bidi w:val="0"/>
        <w:jc w:val="both"/>
        <w:rPr>
          <w:rFonts w:ascii="Times New Roman" w:hAnsi="Times New Roman"/>
        </w:rPr>
      </w:pPr>
    </w:p>
    <w:p w:rsidR="00150BE9" w:rsidRPr="001F0F51" w:rsidP="00150BE9">
      <w:pPr>
        <w:bidi w:val="0"/>
        <w:jc w:val="both"/>
        <w:rPr>
          <w:rFonts w:ascii="Times New Roman" w:hAnsi="Times New Roman"/>
          <w:b/>
        </w:rPr>
      </w:pPr>
      <w:r w:rsidRPr="001F0F51">
        <w:rPr>
          <w:rFonts w:ascii="Times New Roman" w:hAnsi="Times New Roman"/>
          <w:b/>
        </w:rPr>
        <w:t xml:space="preserve">K bodu </w:t>
      </w:r>
      <w:r>
        <w:rPr>
          <w:rFonts w:ascii="Times New Roman" w:hAnsi="Times New Roman"/>
          <w:b/>
        </w:rPr>
        <w:t>3</w:t>
      </w:r>
    </w:p>
    <w:p w:rsidR="00150BE9" w:rsidRPr="001F0F51" w:rsidP="00150BE9">
      <w:pPr>
        <w:bidi w:val="0"/>
        <w:jc w:val="both"/>
        <w:rPr>
          <w:rFonts w:ascii="Times New Roman" w:hAnsi="Times New Roman"/>
        </w:rPr>
      </w:pPr>
      <w:r>
        <w:rPr>
          <w:rFonts w:ascii="Times New Roman" w:hAnsi="Times New Roman"/>
        </w:rPr>
        <w:t>V súvislosti so zákonom č. 282/2017 Z. z., na základe ktorého sú dohliadanými subjektami aj poskytovatelia</w:t>
      </w:r>
      <w:r w:rsidRPr="00C9476F">
        <w:rPr>
          <w:rFonts w:ascii="Times New Roman" w:hAnsi="Times New Roman"/>
        </w:rPr>
        <w:t xml:space="preserve"> osobitného finančného vzdelávania</w:t>
      </w:r>
      <w:r>
        <w:rPr>
          <w:rFonts w:ascii="Times New Roman" w:hAnsi="Times New Roman"/>
        </w:rPr>
        <w:t>, stanovuje sa týmto poskytovateľom osobitného finančného vzdelávania povinnosť</w:t>
      </w:r>
      <w:r w:rsidRPr="00C9476F">
        <w:rPr>
          <w:rFonts w:ascii="Times New Roman" w:hAnsi="Times New Roman"/>
        </w:rPr>
        <w:t xml:space="preserve"> uhrádzať Národnej banke Slovenska ročné príspevky. </w:t>
      </w:r>
    </w:p>
    <w:p w:rsidR="00150BE9" w:rsidP="00150BE9">
      <w:pPr>
        <w:bidi w:val="0"/>
        <w:jc w:val="both"/>
        <w:rPr>
          <w:rFonts w:ascii="Times New Roman" w:hAnsi="Times New Roman"/>
          <w:b/>
        </w:rPr>
      </w:pPr>
    </w:p>
    <w:p w:rsidR="00150BE9" w:rsidP="00150BE9">
      <w:pPr>
        <w:bidi w:val="0"/>
        <w:jc w:val="both"/>
        <w:rPr>
          <w:rFonts w:ascii="Times New Roman" w:hAnsi="Times New Roman"/>
          <w:b/>
        </w:rPr>
      </w:pPr>
      <w:r>
        <w:rPr>
          <w:rFonts w:ascii="Times New Roman" w:hAnsi="Times New Roman"/>
          <w:b/>
        </w:rPr>
        <w:t>K bodu 4</w:t>
      </w:r>
    </w:p>
    <w:p w:rsidR="00150BE9" w:rsidRPr="004E35BC" w:rsidP="00150BE9">
      <w:pPr>
        <w:bidi w:val="0"/>
        <w:jc w:val="both"/>
        <w:rPr>
          <w:rFonts w:ascii="Times New Roman" w:hAnsi="Times New Roman"/>
        </w:rPr>
      </w:pPr>
      <w:r w:rsidRPr="00C9476F">
        <w:rPr>
          <w:rFonts w:ascii="Times New Roman" w:hAnsi="Times New Roman"/>
        </w:rPr>
        <w:t>Stanovujú sa prechodné ustanovenia v súvislosti s navrhovanou novelizáciou zákona o dohľade nad finančným trhom (zákona č. 747/2007 Z. z</w:t>
      </w:r>
      <w:r>
        <w:rPr>
          <w:rFonts w:ascii="Times New Roman" w:hAnsi="Times New Roman"/>
        </w:rPr>
        <w:t xml:space="preserve">. v znení neskorších predpisov). </w:t>
      </w:r>
      <w:r w:rsidRPr="00C9476F">
        <w:rPr>
          <w:rFonts w:ascii="Times New Roman" w:hAnsi="Times New Roman"/>
        </w:rPr>
        <w:t xml:space="preserve"> Navrhnutými prechodnými ustanoveniami sa zároveň do určitej miery prispieva aj k zdokonaleniu legislatívnych predpokladov na zabezpečenie efektívneho a účinného výkonu dohľadu nad finančným trhom.</w:t>
      </w:r>
    </w:p>
    <w:p w:rsidR="00150BE9" w:rsidRPr="004E35BC" w:rsidP="00150BE9">
      <w:pPr>
        <w:bidi w:val="0"/>
        <w:jc w:val="both"/>
        <w:rPr>
          <w:rFonts w:ascii="Times New Roman" w:hAnsi="Times New Roman"/>
        </w:rPr>
      </w:pPr>
    </w:p>
    <w:p w:rsidR="00150BE9" w:rsidRPr="004E35BC" w:rsidP="00150BE9">
      <w:pPr>
        <w:bidi w:val="0"/>
        <w:jc w:val="both"/>
        <w:rPr>
          <w:rFonts w:ascii="Times New Roman" w:hAnsi="Times New Roman"/>
          <w:b/>
        </w:rPr>
      </w:pPr>
      <w:r w:rsidRPr="004E35BC">
        <w:rPr>
          <w:rFonts w:ascii="Times New Roman" w:hAnsi="Times New Roman"/>
          <w:b/>
        </w:rPr>
        <w:t>K Čl. III</w:t>
      </w:r>
    </w:p>
    <w:p w:rsidR="00150BE9" w:rsidP="00150BE9">
      <w:pPr>
        <w:bidi w:val="0"/>
        <w:jc w:val="both"/>
        <w:rPr>
          <w:rFonts w:ascii="Times New Roman" w:hAnsi="Times New Roman"/>
          <w:b/>
        </w:rPr>
      </w:pPr>
    </w:p>
    <w:p w:rsidR="00150BE9" w:rsidRPr="002B1852" w:rsidP="00150BE9">
      <w:pPr>
        <w:bidi w:val="0"/>
        <w:jc w:val="both"/>
        <w:rPr>
          <w:rFonts w:ascii="Times New Roman" w:hAnsi="Times New Roman"/>
          <w:b/>
        </w:rPr>
      </w:pPr>
      <w:r w:rsidRPr="002B1852">
        <w:rPr>
          <w:rFonts w:ascii="Times New Roman" w:hAnsi="Times New Roman"/>
          <w:b/>
        </w:rPr>
        <w:t>K bodu 1</w:t>
      </w:r>
    </w:p>
    <w:p w:rsidR="00150BE9" w:rsidRPr="00DA639F" w:rsidP="00150BE9">
      <w:pPr>
        <w:bidi w:val="0"/>
        <w:jc w:val="both"/>
        <w:rPr>
          <w:rFonts w:ascii="Times New Roman" w:hAnsi="Times New Roman"/>
        </w:rPr>
      </w:pPr>
      <w:r>
        <w:rPr>
          <w:rFonts w:ascii="Times New Roman" w:hAnsi="Times New Roman"/>
        </w:rPr>
        <w:t>O</w:t>
      </w:r>
      <w:r w:rsidRPr="004353F2">
        <w:rPr>
          <w:rFonts w:ascii="Times New Roman" w:hAnsi="Times New Roman"/>
        </w:rPr>
        <w:t>bsahuje legislatívno-technické úpravy súvisiac</w:t>
      </w:r>
      <w:r>
        <w:rPr>
          <w:rFonts w:ascii="Times New Roman" w:hAnsi="Times New Roman"/>
        </w:rPr>
        <w:t>e</w:t>
      </w:r>
      <w:r w:rsidRPr="004353F2">
        <w:rPr>
          <w:rFonts w:ascii="Times New Roman" w:hAnsi="Times New Roman"/>
        </w:rPr>
        <w:t xml:space="preserve"> s</w:t>
      </w:r>
      <w:r>
        <w:rPr>
          <w:rFonts w:ascii="Times New Roman" w:hAnsi="Times New Roman"/>
        </w:rPr>
        <w:t> upresnením odkazov na zákon o cenných papieroch.</w:t>
      </w:r>
    </w:p>
    <w:p w:rsidR="00150BE9" w:rsidRPr="00DA639F" w:rsidP="00150BE9">
      <w:pPr>
        <w:bidi w:val="0"/>
        <w:jc w:val="both"/>
        <w:rPr>
          <w:rFonts w:ascii="Times New Roman" w:hAnsi="Times New Roman"/>
          <w:b/>
        </w:rPr>
      </w:pPr>
    </w:p>
    <w:p w:rsidR="00150BE9" w:rsidP="00150BE9">
      <w:pPr>
        <w:bidi w:val="0"/>
        <w:jc w:val="both"/>
        <w:rPr>
          <w:rFonts w:ascii="Times New Roman" w:hAnsi="Times New Roman"/>
          <w:b/>
        </w:rPr>
      </w:pPr>
      <w:r>
        <w:rPr>
          <w:rFonts w:ascii="Times New Roman" w:hAnsi="Times New Roman"/>
          <w:b/>
        </w:rPr>
        <w:t>K bodu 2</w:t>
      </w:r>
    </w:p>
    <w:p w:rsidR="00150BE9" w:rsidP="00150BE9">
      <w:pPr>
        <w:bidi w:val="0"/>
        <w:jc w:val="both"/>
        <w:rPr>
          <w:rFonts w:ascii="Times New Roman" w:hAnsi="Times New Roman"/>
        </w:rPr>
      </w:pPr>
      <w:r w:rsidRPr="004027BF">
        <w:rPr>
          <w:rFonts w:ascii="Times New Roman" w:hAnsi="Times New Roman"/>
        </w:rPr>
        <w:t>Do ustanovenia § 4 písm. l)</w:t>
      </w:r>
      <w:r>
        <w:rPr>
          <w:rFonts w:ascii="Times New Roman" w:hAnsi="Times New Roman"/>
        </w:rPr>
        <w:t xml:space="preserve"> je potrebné doplniť aj finančnú inštitúciu, nakoľko zo systematiky zákona vyplýva, že aj finančná inštitúcia má odborného garanta.</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bodom 3 a 4</w:t>
      </w:r>
    </w:p>
    <w:p w:rsidR="00150BE9" w:rsidRPr="00352FBF" w:rsidP="00150BE9">
      <w:pPr>
        <w:bidi w:val="0"/>
        <w:jc w:val="both"/>
        <w:rPr>
          <w:rFonts w:ascii="Times New Roman" w:hAnsi="Times New Roman"/>
        </w:rPr>
      </w:pPr>
      <w:r>
        <w:rPr>
          <w:rFonts w:ascii="Times New Roman" w:hAnsi="Times New Roman"/>
        </w:rPr>
        <w:t>Ide o l</w:t>
      </w:r>
      <w:r w:rsidRPr="00352FBF">
        <w:rPr>
          <w:rFonts w:ascii="Times New Roman" w:hAnsi="Times New Roman"/>
        </w:rPr>
        <w:t>egislatí</w:t>
      </w:r>
      <w:r>
        <w:rPr>
          <w:rFonts w:ascii="Times New Roman" w:hAnsi="Times New Roman"/>
        </w:rPr>
        <w:t>vne a terminologické spresnenie textu.</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bodu 5 a 6</w:t>
      </w:r>
    </w:p>
    <w:p w:rsidR="00150BE9" w:rsidP="00150BE9">
      <w:pPr>
        <w:bidi w:val="0"/>
        <w:jc w:val="both"/>
        <w:rPr>
          <w:rFonts w:ascii="Times New Roman" w:hAnsi="Times New Roman"/>
        </w:rPr>
      </w:pPr>
      <w:r w:rsidRPr="00D7783D">
        <w:rPr>
          <w:rFonts w:ascii="Times New Roman" w:hAnsi="Times New Roman"/>
        </w:rPr>
        <w:t>Ide o</w:t>
      </w:r>
      <w:r>
        <w:rPr>
          <w:rFonts w:ascii="Times New Roman" w:hAnsi="Times New Roman"/>
        </w:rPr>
        <w:t> legislatívno-technickú úpravu</w:t>
      </w:r>
      <w:r w:rsidRPr="00D7783D">
        <w:rPr>
          <w:rFonts w:ascii="Times New Roman" w:hAnsi="Times New Roman"/>
        </w:rPr>
        <w:t xml:space="preserve"> textu.</w:t>
      </w:r>
    </w:p>
    <w:p w:rsidR="00150BE9" w:rsidP="00150BE9">
      <w:pPr>
        <w:bidi w:val="0"/>
        <w:jc w:val="both"/>
        <w:rPr>
          <w:rFonts w:ascii="Times New Roman" w:hAnsi="Times New Roman"/>
          <w:b/>
        </w:rPr>
      </w:pPr>
    </w:p>
    <w:p w:rsidR="00150BE9" w:rsidRPr="007458CD" w:rsidP="00150BE9">
      <w:pPr>
        <w:bidi w:val="0"/>
        <w:jc w:val="both"/>
        <w:rPr>
          <w:rFonts w:ascii="Times New Roman" w:hAnsi="Times New Roman"/>
        </w:rPr>
      </w:pPr>
      <w:r>
        <w:rPr>
          <w:rFonts w:ascii="Times New Roman" w:hAnsi="Times New Roman"/>
          <w:b/>
        </w:rPr>
        <w:t>K bodu 7</w:t>
      </w:r>
    </w:p>
    <w:p w:rsidR="00150BE9" w:rsidRPr="008F13C8" w:rsidP="00150BE9">
      <w:pPr>
        <w:bidi w:val="0"/>
        <w:jc w:val="both"/>
        <w:rPr>
          <w:rFonts w:ascii="Times New Roman" w:hAnsi="Times New Roman"/>
        </w:rPr>
      </w:pPr>
      <w:r>
        <w:rPr>
          <w:rFonts w:ascii="Times New Roman" w:hAnsi="Times New Roman"/>
        </w:rPr>
        <w:t>Ide o l</w:t>
      </w:r>
      <w:r w:rsidRPr="008F13C8">
        <w:rPr>
          <w:rFonts w:ascii="Times New Roman" w:hAnsi="Times New Roman"/>
        </w:rPr>
        <w:t>egislatívne a terminologické spresnenie</w:t>
      </w:r>
      <w:r>
        <w:rPr>
          <w:rFonts w:ascii="Times New Roman" w:hAnsi="Times New Roman"/>
        </w:rPr>
        <w:t xml:space="preserve"> textu.</w:t>
      </w:r>
    </w:p>
    <w:p w:rsidR="00150BE9" w:rsidP="00150BE9">
      <w:pPr>
        <w:bidi w:val="0"/>
        <w:jc w:val="both"/>
        <w:rPr>
          <w:rFonts w:ascii="Times New Roman" w:hAnsi="Times New Roman"/>
          <w:b/>
        </w:rPr>
      </w:pPr>
    </w:p>
    <w:p w:rsidR="00150BE9" w:rsidP="00150BE9">
      <w:pPr>
        <w:bidi w:val="0"/>
        <w:jc w:val="both"/>
        <w:rPr>
          <w:rFonts w:ascii="Times New Roman" w:hAnsi="Times New Roman"/>
          <w:b/>
        </w:rPr>
      </w:pPr>
      <w:r>
        <w:rPr>
          <w:rFonts w:ascii="Times New Roman" w:hAnsi="Times New Roman"/>
          <w:b/>
        </w:rPr>
        <w:t>K bodu 8</w:t>
      </w:r>
    </w:p>
    <w:p w:rsidR="00150BE9" w:rsidP="00150BE9">
      <w:pPr>
        <w:bidi w:val="0"/>
        <w:jc w:val="both"/>
        <w:rPr>
          <w:rFonts w:ascii="Times New Roman" w:hAnsi="Times New Roman"/>
        </w:rPr>
      </w:pPr>
      <w:r w:rsidRPr="007458CD">
        <w:rPr>
          <w:rFonts w:ascii="Times New Roman" w:hAnsi="Times New Roman"/>
        </w:rPr>
        <w:t>Považujeme za potrebné doplniť do ustanovenia aj prechodný pobyt, nakoľko sa vyžaduje aj podľa odseku 6.</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bodom 9 až 12</w:t>
      </w:r>
    </w:p>
    <w:p w:rsidR="00150BE9" w:rsidP="00150BE9">
      <w:pPr>
        <w:bidi w:val="0"/>
        <w:jc w:val="both"/>
        <w:rPr>
          <w:rFonts w:ascii="Times New Roman" w:hAnsi="Times New Roman"/>
        </w:rPr>
      </w:pPr>
      <w:r w:rsidRPr="001B4EDB">
        <w:rPr>
          <w:rFonts w:ascii="Times New Roman" w:hAnsi="Times New Roman"/>
        </w:rPr>
        <w:t xml:space="preserve">Dopĺňajú </w:t>
      </w:r>
      <w:r>
        <w:rPr>
          <w:rFonts w:ascii="Times New Roman" w:hAnsi="Times New Roman"/>
        </w:rPr>
        <w:t>sa ďalšie nevyhnutné informácie o poskytovateľovi osobitného finančného vzdelávania.</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sidRPr="007A114F">
        <w:rPr>
          <w:rFonts w:ascii="Times New Roman" w:hAnsi="Times New Roman"/>
          <w:b/>
        </w:rPr>
        <w:t>K bodom 13 a</w:t>
      </w:r>
      <w:r>
        <w:rPr>
          <w:rFonts w:ascii="Times New Roman" w:hAnsi="Times New Roman"/>
          <w:b/>
        </w:rPr>
        <w:t> </w:t>
      </w:r>
      <w:r w:rsidRPr="007A114F">
        <w:rPr>
          <w:rFonts w:ascii="Times New Roman" w:hAnsi="Times New Roman"/>
          <w:b/>
        </w:rPr>
        <w:t>14</w:t>
      </w:r>
    </w:p>
    <w:p w:rsidR="00150BE9" w:rsidP="00150BE9">
      <w:pPr>
        <w:bidi w:val="0"/>
        <w:jc w:val="both"/>
        <w:rPr>
          <w:rFonts w:ascii="Times New Roman" w:hAnsi="Times New Roman"/>
        </w:rPr>
      </w:pPr>
      <w:r w:rsidRPr="007A114F">
        <w:rPr>
          <w:rFonts w:ascii="Times New Roman" w:hAnsi="Times New Roman"/>
        </w:rPr>
        <w:t>V ustanovení § 25 ods. 11 sa precizuje znenie, ktorá osoba je oprávnená vykonávať činnosť odborného garanta. Z tohto dôvodu bola úprava v tomto ustanovení z odseku 9 vypustená.</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bodu 15 až 20</w:t>
      </w:r>
    </w:p>
    <w:p w:rsidR="00150BE9" w:rsidRPr="0027074D" w:rsidP="00150BE9">
      <w:pPr>
        <w:bidi w:val="0"/>
        <w:jc w:val="both"/>
        <w:rPr>
          <w:rFonts w:ascii="Times New Roman" w:hAnsi="Times New Roman"/>
        </w:rPr>
      </w:pPr>
      <w:r w:rsidRPr="003B7000">
        <w:rPr>
          <w:rFonts w:ascii="Times New Roman" w:hAnsi="Times New Roman"/>
        </w:rPr>
        <w:t>Ide o legislatívne a terminologické</w:t>
      </w:r>
      <w:r>
        <w:rPr>
          <w:rFonts w:ascii="Times New Roman" w:hAnsi="Times New Roman"/>
        </w:rPr>
        <w:t xml:space="preserve"> spresnenie textu.</w:t>
      </w:r>
    </w:p>
    <w:p w:rsidR="00150BE9" w:rsidRPr="002B1852" w:rsidP="00150BE9">
      <w:pPr>
        <w:bidi w:val="0"/>
        <w:jc w:val="both"/>
        <w:rPr>
          <w:rFonts w:ascii="Times New Roman" w:hAnsi="Times New Roman"/>
          <w:b/>
        </w:rPr>
      </w:pPr>
    </w:p>
    <w:p w:rsidR="00150BE9" w:rsidP="00150BE9">
      <w:pPr>
        <w:bidi w:val="0"/>
        <w:jc w:val="both"/>
        <w:rPr>
          <w:rFonts w:ascii="Times New Roman" w:hAnsi="Times New Roman"/>
          <w:b/>
        </w:rPr>
      </w:pPr>
    </w:p>
    <w:p w:rsidR="001E6BE9" w:rsidP="00150BE9">
      <w:pPr>
        <w:bidi w:val="0"/>
        <w:jc w:val="both"/>
        <w:rPr>
          <w:rFonts w:ascii="Times New Roman" w:hAnsi="Times New Roman"/>
          <w:b/>
        </w:rPr>
      </w:pPr>
    </w:p>
    <w:p w:rsidR="00150BE9" w:rsidRPr="00985436" w:rsidP="00150BE9">
      <w:pPr>
        <w:bidi w:val="0"/>
        <w:jc w:val="both"/>
        <w:rPr>
          <w:rFonts w:ascii="Times New Roman" w:hAnsi="Times New Roman"/>
          <w:b/>
        </w:rPr>
      </w:pPr>
      <w:r>
        <w:rPr>
          <w:rFonts w:ascii="Times New Roman" w:hAnsi="Times New Roman"/>
          <w:b/>
        </w:rPr>
        <w:t>K bodu 21</w:t>
      </w:r>
    </w:p>
    <w:p w:rsidR="00150BE9" w:rsidP="00150BE9">
      <w:pPr>
        <w:bidi w:val="0"/>
        <w:jc w:val="both"/>
        <w:rPr>
          <w:rFonts w:ascii="Times New Roman" w:hAnsi="Times New Roman"/>
        </w:rPr>
      </w:pPr>
      <w:r w:rsidRPr="004E35BC">
        <w:rPr>
          <w:rFonts w:ascii="Times New Roman" w:hAnsi="Times New Roman"/>
        </w:rPr>
        <w:t xml:space="preserve">Zavádza sa povinnosť </w:t>
      </w:r>
      <w:r>
        <w:rPr>
          <w:rFonts w:ascii="Times New Roman" w:hAnsi="Times New Roman"/>
        </w:rPr>
        <w:t xml:space="preserve">poskytnúť potenciálnemu neprofesionálnemu klientovi </w:t>
      </w:r>
      <w:r w:rsidRPr="004E35BC">
        <w:rPr>
          <w:rFonts w:ascii="Times New Roman" w:hAnsi="Times New Roman"/>
        </w:rPr>
        <w:t xml:space="preserve">pred uzavretím zmluvy o poskytnutí finančnej služby </w:t>
      </w:r>
      <w:r w:rsidRPr="004027BF">
        <w:rPr>
          <w:rFonts w:ascii="Times New Roman" w:hAnsi="Times New Roman"/>
        </w:rPr>
        <w:t>informačný formulár o jednotlivých zložkách poistného vo vzťahu k uzatváranej poistnej zmluve</w:t>
      </w:r>
      <w:r>
        <w:rPr>
          <w:rFonts w:ascii="Times New Roman" w:hAnsi="Times New Roman"/>
        </w:rPr>
        <w:t xml:space="preserve">, </w:t>
      </w:r>
      <w:r w:rsidRPr="004E35BC">
        <w:rPr>
          <w:rFonts w:ascii="Times New Roman" w:hAnsi="Times New Roman"/>
        </w:rPr>
        <w:t>ktorého vzor je upravený v osobitnom predpise (zákon o poisťovníctve).</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bodu 22</w:t>
      </w:r>
    </w:p>
    <w:p w:rsidR="00150BE9" w:rsidRPr="00BC646B" w:rsidP="00150BE9">
      <w:pPr>
        <w:bidi w:val="0"/>
        <w:jc w:val="both"/>
        <w:rPr>
          <w:rFonts w:ascii="Times New Roman" w:hAnsi="Times New Roman"/>
          <w:sz w:val="22"/>
          <w:szCs w:val="22"/>
        </w:rPr>
      </w:pPr>
      <w:r w:rsidRPr="00BC646B">
        <w:rPr>
          <w:rFonts w:ascii="Times New Roman" w:hAnsi="Times New Roman"/>
        </w:rPr>
        <w:t>Navrhované znenie má za cieľ zosúladenie so znením odseku 1 predmetného paragrafu, podľa ktorého sa pravidelné posúdenie vhodnosti investičného produktu založeného na poistení vykonáva vždy, t. j. nejde o rozhodnutie finančného agenta alebo finančného poradcu.  </w:t>
      </w:r>
    </w:p>
    <w:p w:rsidR="00150BE9" w:rsidRPr="004E35BC" w:rsidP="00150BE9">
      <w:pPr>
        <w:bidi w:val="0"/>
        <w:jc w:val="both"/>
        <w:rPr>
          <w:rFonts w:ascii="Times New Roman" w:hAnsi="Times New Roman"/>
        </w:rPr>
      </w:pPr>
    </w:p>
    <w:p w:rsidR="00150BE9" w:rsidRPr="004E35BC" w:rsidP="00150BE9">
      <w:pPr>
        <w:bidi w:val="0"/>
        <w:jc w:val="both"/>
        <w:rPr>
          <w:rFonts w:ascii="Times New Roman" w:hAnsi="Times New Roman"/>
          <w:b/>
        </w:rPr>
      </w:pPr>
      <w:r w:rsidRPr="004E35BC">
        <w:rPr>
          <w:rFonts w:ascii="Times New Roman" w:hAnsi="Times New Roman"/>
          <w:b/>
        </w:rPr>
        <w:t>K Čl. IV</w:t>
      </w:r>
    </w:p>
    <w:p w:rsidR="00150BE9" w:rsidP="00150BE9">
      <w:pPr>
        <w:bidi w:val="0"/>
        <w:jc w:val="both"/>
        <w:rPr>
          <w:rFonts w:ascii="Times New Roman" w:hAnsi="Times New Roman"/>
          <w:b/>
        </w:rPr>
      </w:pPr>
    </w:p>
    <w:p w:rsidR="00150BE9" w:rsidP="00150BE9">
      <w:pPr>
        <w:bidi w:val="0"/>
        <w:jc w:val="both"/>
        <w:rPr>
          <w:rFonts w:ascii="Times New Roman" w:hAnsi="Times New Roman"/>
          <w:b/>
        </w:rPr>
      </w:pPr>
      <w:r>
        <w:rPr>
          <w:rFonts w:ascii="Times New Roman" w:hAnsi="Times New Roman"/>
          <w:b/>
        </w:rPr>
        <w:t xml:space="preserve">K bodu 1 a 5 </w:t>
      </w:r>
    </w:p>
    <w:p w:rsidR="00150BE9" w:rsidP="00150BE9">
      <w:pPr>
        <w:bidi w:val="0"/>
        <w:jc w:val="both"/>
        <w:rPr>
          <w:rFonts w:ascii="Times New Roman" w:hAnsi="Times New Roman"/>
        </w:rPr>
      </w:pPr>
      <w:r>
        <w:rPr>
          <w:rFonts w:ascii="Times New Roman" w:hAnsi="Times New Roman"/>
        </w:rPr>
        <w:t>Legislatívno- technická úprava v dôsledku vloženia nových odsekov 9 až 12 v § 4.</w:t>
      </w:r>
    </w:p>
    <w:p w:rsidR="00150BE9" w:rsidP="00150BE9">
      <w:pPr>
        <w:bidi w:val="0"/>
        <w:jc w:val="both"/>
        <w:rPr>
          <w:rFonts w:ascii="Times New Roman" w:hAnsi="Times New Roman"/>
        </w:rPr>
      </w:pPr>
    </w:p>
    <w:p w:rsidR="00150BE9" w:rsidP="00150BE9">
      <w:pPr>
        <w:bidi w:val="0"/>
        <w:jc w:val="both"/>
        <w:rPr>
          <w:rFonts w:ascii="Times New Roman" w:hAnsi="Times New Roman"/>
        </w:rPr>
      </w:pPr>
      <w:r>
        <w:rPr>
          <w:rFonts w:ascii="Times New Roman" w:hAnsi="Times New Roman"/>
        </w:rPr>
        <w:t xml:space="preserve">K bodu 2 </w:t>
      </w:r>
    </w:p>
    <w:p w:rsidR="00150BE9" w:rsidP="00150BE9">
      <w:pPr>
        <w:bidi w:val="0"/>
        <w:jc w:val="both"/>
        <w:rPr>
          <w:rFonts w:ascii="Times New Roman" w:hAnsi="Times New Roman"/>
        </w:rPr>
      </w:pPr>
      <w:r>
        <w:rPr>
          <w:rFonts w:ascii="Times New Roman" w:hAnsi="Times New Roman"/>
        </w:rPr>
        <w:t>Legislatívno- technická úprava v dôsledku zmeny názvu registra na  „register finančných agentov, finančných poradcov, finančných sprostredkovateľov z iného členského štátu v sektore poistenia alebo zaistenia a finančných sprostredkovateľov z iného členského štátu v oblasti poskytovania úverov na bývanie“.</w:t>
      </w:r>
    </w:p>
    <w:p w:rsidR="00150BE9" w:rsidP="00150BE9">
      <w:pPr>
        <w:bidi w:val="0"/>
        <w:jc w:val="both"/>
        <w:rPr>
          <w:rFonts w:ascii="Times New Roman" w:hAnsi="Times New Roman"/>
          <w:b/>
        </w:rPr>
      </w:pPr>
    </w:p>
    <w:p w:rsidR="00150BE9" w:rsidP="00150BE9">
      <w:pPr>
        <w:bidi w:val="0"/>
        <w:jc w:val="both"/>
        <w:rPr>
          <w:rFonts w:ascii="Times New Roman" w:hAnsi="Times New Roman"/>
          <w:b/>
        </w:rPr>
      </w:pPr>
      <w:r>
        <w:rPr>
          <w:rFonts w:ascii="Times New Roman" w:hAnsi="Times New Roman"/>
          <w:b/>
        </w:rPr>
        <w:t>K bodu 3</w:t>
      </w:r>
    </w:p>
    <w:p w:rsidR="00150BE9" w:rsidP="00150BE9">
      <w:pPr>
        <w:bidi w:val="0"/>
        <w:jc w:val="both"/>
        <w:rPr>
          <w:rFonts w:ascii="Times New Roman" w:hAnsi="Times New Roman"/>
        </w:rPr>
      </w:pPr>
      <w:r>
        <w:rPr>
          <w:rFonts w:ascii="Times New Roman" w:hAnsi="Times New Roman"/>
        </w:rPr>
        <w:t xml:space="preserve">S ohľadom na zámer obmedzenia výšky stropu pri odmeňovaní finančných agentov sa zavádza maximálna výška odmeny, a to 1,5%  zo sumy sprostredkovaného spotrebiteľského úveru, ktorého výška je viac ako 10 000 eur. </w:t>
      </w:r>
    </w:p>
    <w:p w:rsidR="00150BE9" w:rsidP="00150BE9">
      <w:pPr>
        <w:bidi w:val="0"/>
        <w:jc w:val="both"/>
        <w:rPr>
          <w:rFonts w:ascii="Times New Roman" w:hAnsi="Times New Roman"/>
        </w:rPr>
      </w:pPr>
      <w:r>
        <w:rPr>
          <w:rFonts w:ascii="Times New Roman" w:hAnsi="Times New Roman"/>
        </w:rPr>
        <w:t xml:space="preserve">Spôsob rozdeľovania odmeny sa týka úverov nad 10 000 eur. </w:t>
      </w:r>
    </w:p>
    <w:p w:rsidR="00150BE9" w:rsidP="00150BE9">
      <w:pPr>
        <w:bidi w:val="0"/>
        <w:jc w:val="both"/>
        <w:rPr>
          <w:rFonts w:ascii="Times New Roman" w:hAnsi="Times New Roman"/>
        </w:rPr>
      </w:pPr>
      <w:r>
        <w:rPr>
          <w:rFonts w:ascii="Times New Roman" w:hAnsi="Times New Roman"/>
        </w:rPr>
        <w:t xml:space="preserve">Pri zmluvách do jedného roka sa môže vyplácať odmena spôsobom, ktorý si dojedná finančný agent a veriteľ. </w:t>
      </w:r>
    </w:p>
    <w:p w:rsidR="00150BE9" w:rsidP="00150BE9">
      <w:pPr>
        <w:bidi w:val="0"/>
        <w:jc w:val="both"/>
        <w:rPr>
          <w:rFonts w:ascii="Times New Roman" w:hAnsi="Times New Roman"/>
        </w:rPr>
      </w:pPr>
      <w:r>
        <w:rPr>
          <w:rFonts w:ascii="Times New Roman" w:hAnsi="Times New Roman"/>
        </w:rPr>
        <w:t xml:space="preserve">Zavádza sa spôsob výplaty odmeny pre finančného agenta, kedy sa pri poskytnutí spotrebiteľského úveru vyplatí 50 % odmeny pre finančného agenta;  následne sa pri prvom výročí vyplatí 30% odmeny a pri druhom výročí sa vyplatí zvyšných 20 % odmeny pre finančného agenta. </w:t>
      </w:r>
    </w:p>
    <w:p w:rsidR="00150BE9" w:rsidP="00150BE9">
      <w:pPr>
        <w:bidi w:val="0"/>
        <w:jc w:val="both"/>
        <w:rPr>
          <w:rFonts w:ascii="Times New Roman" w:hAnsi="Times New Roman"/>
        </w:rPr>
      </w:pPr>
      <w:r>
        <w:rPr>
          <w:rFonts w:ascii="Times New Roman" w:hAnsi="Times New Roman"/>
        </w:rPr>
        <w:t xml:space="preserve">Pri zmluvách o spotrebiteľskom úvere, ktoré sú uzatvorené na obdobie kratšie ako 2 roky sa vyplatí odmena pri poskytnutí spotrebiteľského úveru vo výške 50 % a k prvému výročiu zmluvy o spotrebiteľskom úvere vo zvyšnej časti odmeny 50 %. </w:t>
      </w:r>
    </w:p>
    <w:p w:rsidR="00150BE9" w:rsidP="00150BE9">
      <w:pPr>
        <w:bidi w:val="0"/>
        <w:jc w:val="both"/>
        <w:rPr>
          <w:rFonts w:ascii="Times New Roman" w:hAnsi="Times New Roman"/>
        </w:rPr>
      </w:pPr>
      <w:r>
        <w:rPr>
          <w:rFonts w:ascii="Times New Roman" w:hAnsi="Times New Roman"/>
        </w:rPr>
        <w:t xml:space="preserve">V prípade predčasného splatenia spotrebiteľského úveru, sprostredkovateľ stráca nárok na ďalšie vyplatenie odmeny. </w:t>
      </w:r>
    </w:p>
    <w:p w:rsidR="00150BE9" w:rsidP="00150BE9">
      <w:pPr>
        <w:bidi w:val="0"/>
        <w:jc w:val="both"/>
        <w:rPr>
          <w:rFonts w:ascii="Times New Roman" w:hAnsi="Times New Roman"/>
        </w:rPr>
      </w:pPr>
      <w:r>
        <w:rPr>
          <w:rFonts w:ascii="Times New Roman" w:hAnsi="Times New Roman"/>
        </w:rPr>
        <w:t xml:space="preserve">Súčasne zákon vymedzuje stanovuje čo všetko sa považuje za odmenu finančného agenta. </w:t>
      </w:r>
    </w:p>
    <w:p w:rsidR="00150BE9" w:rsidP="00150BE9">
      <w:pPr>
        <w:bidi w:val="0"/>
        <w:jc w:val="both"/>
        <w:rPr>
          <w:rFonts w:ascii="Times New Roman" w:hAnsi="Times New Roman"/>
          <w:b/>
        </w:rPr>
      </w:pPr>
    </w:p>
    <w:p w:rsidR="00150BE9" w:rsidP="00150BE9">
      <w:pPr>
        <w:bidi w:val="0"/>
        <w:jc w:val="both"/>
        <w:rPr>
          <w:rFonts w:ascii="Times New Roman" w:hAnsi="Times New Roman"/>
          <w:b/>
        </w:rPr>
      </w:pPr>
      <w:r>
        <w:rPr>
          <w:rFonts w:ascii="Times New Roman" w:hAnsi="Times New Roman"/>
          <w:b/>
        </w:rPr>
        <w:t>K bodu 4</w:t>
      </w:r>
    </w:p>
    <w:p w:rsidR="00150BE9" w:rsidP="00150BE9">
      <w:pPr>
        <w:bidi w:val="0"/>
        <w:jc w:val="both"/>
        <w:rPr>
          <w:rFonts w:ascii="Times New Roman" w:hAnsi="Times New Roman"/>
        </w:rPr>
      </w:pPr>
      <w:r>
        <w:rPr>
          <w:rFonts w:ascii="Times New Roman" w:hAnsi="Times New Roman"/>
        </w:rPr>
        <w:t xml:space="preserve">Za účelom väčšej transparentnosti je sprostredkovateľ povinný predložiť spotrebiteľovi pred uzatvorením zmluvy o spotrebiteľskom úvere súhrnnú informáciu k sprostredkovanému úveru obsahujúcu názov veriteľa a informáciu o výške jeho odmeny sprostredkovateľa. </w:t>
      </w:r>
    </w:p>
    <w:p w:rsidR="00150BE9" w:rsidP="00150BE9">
      <w:pPr>
        <w:bidi w:val="0"/>
        <w:jc w:val="both"/>
        <w:rPr>
          <w:rFonts w:ascii="Times New Roman" w:hAnsi="Times New Roman"/>
          <w:b/>
        </w:rPr>
      </w:pPr>
    </w:p>
    <w:p w:rsidR="00150BE9" w:rsidP="00150BE9">
      <w:pPr>
        <w:bidi w:val="0"/>
        <w:jc w:val="both"/>
        <w:rPr>
          <w:rFonts w:ascii="Times New Roman" w:hAnsi="Times New Roman"/>
          <w:b/>
        </w:rPr>
      </w:pPr>
      <w:r>
        <w:rPr>
          <w:rFonts w:ascii="Times New Roman" w:hAnsi="Times New Roman"/>
          <w:b/>
        </w:rPr>
        <w:t>K bodu 6</w:t>
      </w:r>
    </w:p>
    <w:p w:rsidR="00150BE9" w:rsidP="00150BE9">
      <w:pPr>
        <w:autoSpaceDE w:val="0"/>
        <w:autoSpaceDN w:val="0"/>
        <w:bidi w:val="0"/>
        <w:adjustRightInd w:val="0"/>
        <w:jc w:val="both"/>
        <w:rPr>
          <w:rFonts w:ascii="Times New Roman" w:hAnsi="Times New Roman"/>
        </w:rPr>
      </w:pPr>
      <w:r>
        <w:rPr>
          <w:rFonts w:ascii="Times New Roman" w:hAnsi="Times New Roman"/>
        </w:rPr>
        <w:t>Navrhované pravidlá pre vyplácanie odmeny finančného agenta pri sprostredkovaní úveru na bývanie sa budú vzťahovať na nové spotrebiteľské úvery poskytnuté po účinnosti tohto zákona.</w:t>
      </w:r>
    </w:p>
    <w:p w:rsidR="00150BE9" w:rsidP="00150BE9">
      <w:pPr>
        <w:bidi w:val="0"/>
        <w:jc w:val="both"/>
        <w:rPr>
          <w:rFonts w:ascii="Times New Roman" w:hAnsi="Times New Roman"/>
        </w:rPr>
      </w:pPr>
    </w:p>
    <w:p w:rsidR="00150BE9" w:rsidP="00150BE9">
      <w:pPr>
        <w:bidi w:val="0"/>
        <w:jc w:val="both"/>
        <w:rPr>
          <w:rFonts w:ascii="Times New Roman" w:hAnsi="Times New Roman"/>
          <w:b/>
        </w:rPr>
      </w:pPr>
      <w:r>
        <w:rPr>
          <w:rFonts w:ascii="Times New Roman" w:hAnsi="Times New Roman"/>
          <w:b/>
        </w:rPr>
        <w:t>K bodu 7</w:t>
      </w:r>
    </w:p>
    <w:p w:rsidR="00150BE9" w:rsidP="00150BE9">
      <w:pPr>
        <w:bidi w:val="0"/>
        <w:jc w:val="both"/>
        <w:rPr>
          <w:rFonts w:ascii="Times New Roman" w:hAnsi="Times New Roman"/>
          <w:b/>
        </w:rPr>
      </w:pPr>
      <w:r>
        <w:rPr>
          <w:rFonts w:ascii="Times New Roman" w:hAnsi="Times New Roman"/>
        </w:rPr>
        <w:t>Nová príloha zákona reflektuje povinnosť finančného agenta predkladať informáciu k sprostredkovanému úveru týkajúcu sa výšky odmeny finančného agenta.</w:t>
      </w:r>
    </w:p>
    <w:p w:rsidR="00150BE9" w:rsidP="00150BE9">
      <w:pPr>
        <w:bidi w:val="0"/>
        <w:jc w:val="both"/>
        <w:rPr>
          <w:rFonts w:ascii="Times New Roman" w:hAnsi="Times New Roman"/>
          <w:b/>
        </w:rPr>
      </w:pPr>
    </w:p>
    <w:p w:rsidR="00150BE9" w:rsidRPr="004E35BC" w:rsidP="00150BE9">
      <w:pPr>
        <w:bidi w:val="0"/>
        <w:jc w:val="both"/>
        <w:rPr>
          <w:rFonts w:ascii="Times New Roman" w:hAnsi="Times New Roman"/>
          <w:b/>
        </w:rPr>
      </w:pPr>
      <w:r w:rsidRPr="004E35BC">
        <w:rPr>
          <w:rFonts w:ascii="Times New Roman" w:hAnsi="Times New Roman"/>
          <w:b/>
        </w:rPr>
        <w:t>Čl. V</w:t>
      </w:r>
    </w:p>
    <w:p w:rsidR="00150BE9" w:rsidP="00150BE9">
      <w:pPr>
        <w:autoSpaceDE w:val="0"/>
        <w:autoSpaceDN w:val="0"/>
        <w:bidi w:val="0"/>
        <w:adjustRightInd w:val="0"/>
        <w:jc w:val="both"/>
        <w:rPr>
          <w:rFonts w:ascii="Times New Roman" w:hAnsi="Times New Roman"/>
          <w:b/>
        </w:rPr>
      </w:pPr>
    </w:p>
    <w:p w:rsidR="00150BE9" w:rsidRPr="004E35BC" w:rsidP="00150BE9">
      <w:pPr>
        <w:autoSpaceDE w:val="0"/>
        <w:autoSpaceDN w:val="0"/>
        <w:bidi w:val="0"/>
        <w:adjustRightInd w:val="0"/>
        <w:jc w:val="both"/>
        <w:rPr>
          <w:rFonts w:ascii="Times New Roman" w:hAnsi="Times New Roman"/>
          <w:b/>
        </w:rPr>
      </w:pPr>
      <w:r w:rsidRPr="004E35BC">
        <w:rPr>
          <w:rFonts w:ascii="Times New Roman" w:hAnsi="Times New Roman"/>
          <w:b/>
        </w:rPr>
        <w:t>K bodu 1</w:t>
      </w:r>
    </w:p>
    <w:p w:rsidR="00150BE9" w:rsidRPr="004E35BC" w:rsidP="00150BE9">
      <w:pPr>
        <w:bidi w:val="0"/>
        <w:jc w:val="both"/>
        <w:rPr>
          <w:rFonts w:ascii="Times New Roman" w:hAnsi="Times New Roman"/>
          <w:color w:val="494949"/>
        </w:rPr>
      </w:pPr>
      <w:r w:rsidRPr="004E35BC">
        <w:rPr>
          <w:rFonts w:ascii="Times New Roman" w:hAnsi="Times New Roman"/>
        </w:rPr>
        <w:t>V súvislosti so sprostredkovaním úveru na bývanie by sa na  finančného sprostredkovateľa z iného členského štátu v oblasti poskytovania úverov na bývanie mali vzťahovať rovnaké ustanovenia zákona ako na finančných agentov, keďže aj títo sprostredkovatelia sú oprávnení vykonávať finančné sprostredkovanie na území Slovenskej republiky.</w:t>
      </w:r>
      <w:r w:rsidRPr="004E35BC">
        <w:rPr>
          <w:rFonts w:ascii="Times New Roman" w:hAnsi="Times New Roman"/>
          <w:color w:val="494949"/>
        </w:rPr>
        <w:t xml:space="preserve"> </w:t>
      </w:r>
    </w:p>
    <w:p w:rsidR="00150BE9" w:rsidRPr="004E35BC" w:rsidP="00150BE9">
      <w:pPr>
        <w:bidi w:val="0"/>
        <w:jc w:val="both"/>
        <w:rPr>
          <w:rFonts w:ascii="Times New Roman" w:hAnsi="Times New Roman"/>
          <w:color w:val="494949"/>
        </w:rPr>
      </w:pPr>
    </w:p>
    <w:p w:rsidR="00150BE9" w:rsidRPr="004E35BC" w:rsidP="00150BE9">
      <w:pPr>
        <w:autoSpaceDE w:val="0"/>
        <w:autoSpaceDN w:val="0"/>
        <w:bidi w:val="0"/>
        <w:adjustRightInd w:val="0"/>
        <w:jc w:val="both"/>
        <w:rPr>
          <w:rFonts w:ascii="Times New Roman" w:hAnsi="Times New Roman"/>
          <w:b/>
        </w:rPr>
      </w:pPr>
      <w:r w:rsidRPr="004E35BC">
        <w:rPr>
          <w:rFonts w:ascii="Times New Roman" w:hAnsi="Times New Roman"/>
          <w:b/>
        </w:rPr>
        <w:t>K bodu 2</w:t>
      </w: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 xml:space="preserve">Navrhovaná zmena súvisí so zmenou názvu registra o kategóriu finančných sprostredkovateľov z iného členského štátu v oblasti poskytovania úverov na bývanie. </w:t>
      </w:r>
    </w:p>
    <w:p w:rsidR="00150BE9" w:rsidRPr="004E35BC" w:rsidP="00150BE9">
      <w:pPr>
        <w:autoSpaceDE w:val="0"/>
        <w:autoSpaceDN w:val="0"/>
        <w:bidi w:val="0"/>
        <w:adjustRightInd w:val="0"/>
        <w:jc w:val="both"/>
        <w:rPr>
          <w:rFonts w:ascii="Times New Roman" w:hAnsi="Times New Roman"/>
        </w:rPr>
      </w:pPr>
    </w:p>
    <w:p w:rsidR="00150BE9" w:rsidRPr="004E35BC" w:rsidP="00150BE9">
      <w:pPr>
        <w:autoSpaceDE w:val="0"/>
        <w:autoSpaceDN w:val="0"/>
        <w:bidi w:val="0"/>
        <w:adjustRightInd w:val="0"/>
        <w:jc w:val="both"/>
        <w:rPr>
          <w:rFonts w:ascii="Times New Roman" w:hAnsi="Times New Roman"/>
          <w:b/>
        </w:rPr>
      </w:pPr>
      <w:r w:rsidRPr="004E35BC">
        <w:rPr>
          <w:rFonts w:ascii="Times New Roman" w:hAnsi="Times New Roman"/>
          <w:b/>
        </w:rPr>
        <w:t>K bodu 3</w:t>
      </w:r>
    </w:p>
    <w:p w:rsidR="00150BE9" w:rsidRPr="004E35BC" w:rsidP="00150BE9">
      <w:pPr>
        <w:bidi w:val="0"/>
        <w:jc w:val="both"/>
        <w:rPr>
          <w:rFonts w:ascii="Times New Roman" w:hAnsi="Times New Roman"/>
          <w:color w:val="494949"/>
        </w:rPr>
      </w:pPr>
      <w:r w:rsidRPr="004E35BC">
        <w:rPr>
          <w:rFonts w:ascii="Times New Roman" w:hAnsi="Times New Roman"/>
        </w:rPr>
        <w:t>V súvislosti s vykonávaním finančného poradenstva pri úveroch na bývanie by sa na finančného sprostredkovateľa z iného členského štátu v oblasti poskytovania úverov na bývanie mali vzťahovať rovnaké ustanovenia ako na finančných poradcov, keďže aj títo sprostredkovatelia sú oprávnení vykonávať finančné poradenstvo na území Slovenskej republiky.</w:t>
      </w:r>
    </w:p>
    <w:p w:rsidR="00150BE9" w:rsidRPr="004E35BC" w:rsidP="00150BE9">
      <w:pPr>
        <w:autoSpaceDE w:val="0"/>
        <w:autoSpaceDN w:val="0"/>
        <w:bidi w:val="0"/>
        <w:adjustRightInd w:val="0"/>
        <w:jc w:val="both"/>
        <w:rPr>
          <w:rFonts w:ascii="Times New Roman" w:hAnsi="Times New Roman"/>
          <w:b/>
        </w:rPr>
      </w:pPr>
    </w:p>
    <w:p w:rsidR="00150BE9" w:rsidRPr="004E35BC" w:rsidP="00150BE9">
      <w:pPr>
        <w:autoSpaceDE w:val="0"/>
        <w:autoSpaceDN w:val="0"/>
        <w:bidi w:val="0"/>
        <w:adjustRightInd w:val="0"/>
        <w:jc w:val="both"/>
        <w:rPr>
          <w:rFonts w:ascii="Times New Roman" w:hAnsi="Times New Roman"/>
          <w:b/>
        </w:rPr>
      </w:pPr>
      <w:r w:rsidRPr="004E35BC">
        <w:rPr>
          <w:rFonts w:ascii="Times New Roman" w:hAnsi="Times New Roman"/>
          <w:b/>
        </w:rPr>
        <w:t>K bodu 4</w:t>
      </w: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Účelom navrhovanej právnej úpravy je stanovenie maximálnej výšky provízií pre finančného agenta za sprostredkovanie úveru na bývanie, ako aj rozloženie provízií v dlhšom časovom horizonte, čo má za cieľ podporiť profesionálnu dlhodobú starostlivosť o klientov finančných inštitúcií. Finančný agent bude zainteresovaný na dlhodobejšom vzťahu medzi klientom a finančnou inštitúciou</w:t>
      </w:r>
      <w:r>
        <w:rPr>
          <w:rFonts w:ascii="Times New Roman" w:hAnsi="Times New Roman"/>
        </w:rPr>
        <w:t>.</w:t>
      </w:r>
      <w:r w:rsidRPr="004E35BC">
        <w:rPr>
          <w:rFonts w:ascii="Times New Roman" w:hAnsi="Times New Roman"/>
        </w:rPr>
        <w:t xml:space="preserve"> </w:t>
      </w:r>
    </w:p>
    <w:p w:rsidR="00150BE9" w:rsidRPr="004E35BC" w:rsidP="00150BE9">
      <w:pPr>
        <w:autoSpaceDE w:val="0"/>
        <w:autoSpaceDN w:val="0"/>
        <w:bidi w:val="0"/>
        <w:adjustRightInd w:val="0"/>
        <w:jc w:val="both"/>
        <w:rPr>
          <w:rFonts w:ascii="Times New Roman" w:hAnsi="Times New Roman"/>
        </w:rPr>
      </w:pP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Podľa navrhovanej úpravy sa províziou, resp. odmenou finančného agenta pri sprostredkovaní úveru na bývanie rozumejú všetky provízie, poplatky, platby, ekonomické výhody alebo iné peňažné, ale aj nepeňažné výhody a stimuly. Táto odmena nesmie presiahnuť 1,5 % zo sumy sprostredkovaného úveru na bývanie.</w:t>
      </w:r>
    </w:p>
    <w:p w:rsidR="00150BE9" w:rsidRPr="004E35BC" w:rsidP="00150BE9">
      <w:pPr>
        <w:autoSpaceDE w:val="0"/>
        <w:autoSpaceDN w:val="0"/>
        <w:bidi w:val="0"/>
        <w:adjustRightInd w:val="0"/>
        <w:jc w:val="both"/>
        <w:rPr>
          <w:rFonts w:ascii="Times New Roman" w:hAnsi="Times New Roman"/>
        </w:rPr>
      </w:pP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 xml:space="preserve">Takúto odmenu veriteľ nevyplatí finančnému agentovi naraz, ale počas obdobia 3 rokov. Prvá splátka sa poskytne pri poskytnutí úveru na bývanie </w:t>
      </w:r>
      <w:r>
        <w:rPr>
          <w:rFonts w:ascii="Times New Roman" w:hAnsi="Times New Roman"/>
        </w:rPr>
        <w:t xml:space="preserve">vo výške 50 % odmeny, </w:t>
      </w:r>
      <w:r w:rsidRPr="004E35BC">
        <w:rPr>
          <w:rFonts w:ascii="Times New Roman" w:hAnsi="Times New Roman"/>
        </w:rPr>
        <w:t>k</w:t>
      </w:r>
      <w:r>
        <w:rPr>
          <w:rFonts w:ascii="Times New Roman" w:hAnsi="Times New Roman"/>
        </w:rPr>
        <w:t xml:space="preserve"> prvému </w:t>
      </w:r>
      <w:r w:rsidRPr="004E35BC">
        <w:rPr>
          <w:rFonts w:ascii="Times New Roman" w:hAnsi="Times New Roman"/>
        </w:rPr>
        <w:t>výročiu uzatvorenia zmluvy o úvere na bývanie</w:t>
      </w:r>
      <w:r>
        <w:rPr>
          <w:rFonts w:ascii="Times New Roman" w:hAnsi="Times New Roman"/>
        </w:rPr>
        <w:t xml:space="preserve"> vo výške 30 % odmeny a k druhému výročiu vo výške 20 % odmeny</w:t>
      </w:r>
      <w:r w:rsidRPr="004E35BC">
        <w:rPr>
          <w:rFonts w:ascii="Times New Roman" w:hAnsi="Times New Roman"/>
        </w:rPr>
        <w:t>. Teda aj keď je zmluva uzatvorená na 2 roky alebo 5 rokov, odmena sa vypláca vždy v 3 rokoch. V prípade, ak sa úver na bývanie nevyčerpá úplne, veriteľ vypláca finančnému agentovi len časť odmeny v príslušných rokoch podľa miery skutočného čerpania úveru, s doplatkami v ďalších rokoch pri postupnom dočerpávaní úveru na bývanie. Ak nastane predčasné splatenie úveru na bývanie, finančný agent nemá nárok na časť odmeny za roky po tomto predčasnom splatení úveru na bývanie.</w:t>
      </w:r>
    </w:p>
    <w:p w:rsidR="00150BE9" w:rsidRPr="004E35BC" w:rsidP="00150BE9">
      <w:pPr>
        <w:autoSpaceDE w:val="0"/>
        <w:autoSpaceDN w:val="0"/>
        <w:bidi w:val="0"/>
        <w:adjustRightInd w:val="0"/>
        <w:jc w:val="both"/>
        <w:rPr>
          <w:rFonts w:ascii="Times New Roman" w:hAnsi="Times New Roman"/>
        </w:rPr>
      </w:pP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Príklad:</w:t>
      </w: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 xml:space="preserve">Sprostredkovaný úver na bývanie je 60 000 eur, skutočne čerpaný úver v prvom roku na začiatku 48 000 eur, s úplným vyčerpaním k prvému výročiu zmluvy, odmena 600 eur (1 %). </w:t>
      </w:r>
      <w:r>
        <w:rPr>
          <w:rFonts w:ascii="Times New Roman" w:hAnsi="Times New Roman"/>
        </w:rPr>
        <w:t xml:space="preserve">Prvá </w:t>
      </w:r>
      <w:r w:rsidRPr="004E35BC">
        <w:rPr>
          <w:rFonts w:ascii="Times New Roman" w:hAnsi="Times New Roman"/>
        </w:rPr>
        <w:t xml:space="preserve">časť odmeny sprostredkovaného úveru je </w:t>
      </w:r>
      <w:r>
        <w:rPr>
          <w:rFonts w:ascii="Times New Roman" w:hAnsi="Times New Roman"/>
        </w:rPr>
        <w:t>3</w:t>
      </w:r>
      <w:r w:rsidRPr="004E35BC">
        <w:rPr>
          <w:rFonts w:ascii="Times New Roman" w:hAnsi="Times New Roman"/>
        </w:rPr>
        <w:t xml:space="preserve">00 eur </w:t>
      </w:r>
      <w:r>
        <w:rPr>
          <w:rFonts w:ascii="Times New Roman" w:hAnsi="Times New Roman"/>
        </w:rPr>
        <w:t>pri poskytnutí úveru, 180 eur pri prvom výročí zmluvy o úvere na bývanie a 120 eur pri druhom výročí zmluvy</w:t>
      </w:r>
      <w:r w:rsidRPr="004E35BC">
        <w:rPr>
          <w:rFonts w:ascii="Times New Roman" w:hAnsi="Times New Roman"/>
        </w:rPr>
        <w:t>.</w:t>
      </w: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 xml:space="preserve">V prvom roku, čiže pri poskytnutí úveru na bývanie sa vypláca časť za 1. rok vo výške </w:t>
      </w:r>
      <w:r>
        <w:rPr>
          <w:rFonts w:ascii="Times New Roman" w:hAnsi="Times New Roman"/>
        </w:rPr>
        <w:t>3</w:t>
      </w:r>
      <w:r w:rsidRPr="004E35BC">
        <w:rPr>
          <w:rFonts w:ascii="Times New Roman" w:hAnsi="Times New Roman"/>
        </w:rPr>
        <w:t xml:space="preserve">00 x 48 000 / 60 000 = </w:t>
      </w:r>
      <w:r>
        <w:rPr>
          <w:rFonts w:ascii="Times New Roman" w:hAnsi="Times New Roman"/>
        </w:rPr>
        <w:t>240</w:t>
      </w:r>
      <w:r w:rsidRPr="004E35BC">
        <w:rPr>
          <w:rFonts w:ascii="Times New Roman" w:hAnsi="Times New Roman"/>
        </w:rPr>
        <w:t xml:space="preserve"> eur.</w:t>
      </w: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 xml:space="preserve">Úver sa postupne dočerpával, pričom úplne sa vyčerpal až k prvému výročiu zmluvy o úvere, vtedy sa vypláca časť za 2. rok už v plnej výške </w:t>
      </w:r>
      <w:r>
        <w:rPr>
          <w:rFonts w:ascii="Times New Roman" w:hAnsi="Times New Roman"/>
        </w:rPr>
        <w:t>180</w:t>
      </w:r>
      <w:r w:rsidRPr="004E35BC">
        <w:rPr>
          <w:rFonts w:ascii="Times New Roman" w:hAnsi="Times New Roman"/>
        </w:rPr>
        <w:t xml:space="preserve"> eur + doplatok za prvý rok vo výške </w:t>
      </w:r>
      <w:r>
        <w:rPr>
          <w:rFonts w:ascii="Times New Roman" w:hAnsi="Times New Roman"/>
        </w:rPr>
        <w:t>3</w:t>
      </w:r>
      <w:r w:rsidRPr="004E35BC">
        <w:rPr>
          <w:rFonts w:ascii="Times New Roman" w:hAnsi="Times New Roman"/>
        </w:rPr>
        <w:t xml:space="preserve">00 x 60 000 / 60 000 = </w:t>
      </w:r>
      <w:r>
        <w:rPr>
          <w:rFonts w:ascii="Times New Roman" w:hAnsi="Times New Roman"/>
        </w:rPr>
        <w:t>3</w:t>
      </w:r>
      <w:r w:rsidRPr="004E35BC">
        <w:rPr>
          <w:rFonts w:ascii="Times New Roman" w:hAnsi="Times New Roman"/>
        </w:rPr>
        <w:t xml:space="preserve">00 eur – </w:t>
      </w:r>
      <w:r>
        <w:rPr>
          <w:rFonts w:ascii="Times New Roman" w:hAnsi="Times New Roman"/>
        </w:rPr>
        <w:t>240</w:t>
      </w:r>
      <w:r w:rsidRPr="004E35BC">
        <w:rPr>
          <w:rFonts w:ascii="Times New Roman" w:hAnsi="Times New Roman"/>
        </w:rPr>
        <w:t xml:space="preserve"> eur (už vyplatená odmena) = </w:t>
      </w:r>
      <w:r>
        <w:rPr>
          <w:rFonts w:ascii="Times New Roman" w:hAnsi="Times New Roman"/>
        </w:rPr>
        <w:t>6</w:t>
      </w:r>
      <w:r w:rsidRPr="004E35BC">
        <w:rPr>
          <w:rFonts w:ascii="Times New Roman" w:hAnsi="Times New Roman"/>
        </w:rPr>
        <w:t xml:space="preserve">0 eur, tzn. spolu 240 eur. Ak by sa úver úplne vyčerpal už v priebehu prvého roka, doplatok </w:t>
      </w:r>
      <w:r>
        <w:rPr>
          <w:rFonts w:ascii="Times New Roman" w:hAnsi="Times New Roman"/>
        </w:rPr>
        <w:t>6</w:t>
      </w:r>
      <w:r w:rsidRPr="004E35BC">
        <w:rPr>
          <w:rFonts w:ascii="Times New Roman" w:hAnsi="Times New Roman"/>
        </w:rPr>
        <w:t>0 eur by sa vyplatil následne po vyčerpaní.</w:t>
      </w: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 xml:space="preserve">Za tretí rok sa vypláca odmena k výročiu zmluvy o úvere na bývanie vo výške </w:t>
      </w:r>
      <w:r>
        <w:rPr>
          <w:rFonts w:ascii="Times New Roman" w:hAnsi="Times New Roman"/>
        </w:rPr>
        <w:t>120</w:t>
      </w:r>
      <w:r w:rsidRPr="004E35BC">
        <w:rPr>
          <w:rFonts w:ascii="Times New Roman" w:hAnsi="Times New Roman"/>
        </w:rPr>
        <w:t xml:space="preserve"> eur.</w:t>
      </w:r>
    </w:p>
    <w:p w:rsidR="00150BE9" w:rsidRPr="004E35BC" w:rsidP="00150BE9">
      <w:pPr>
        <w:autoSpaceDE w:val="0"/>
        <w:autoSpaceDN w:val="0"/>
        <w:bidi w:val="0"/>
        <w:adjustRightInd w:val="0"/>
        <w:jc w:val="both"/>
        <w:rPr>
          <w:rFonts w:ascii="Times New Roman" w:hAnsi="Times New Roman"/>
        </w:rPr>
      </w:pP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Zavádza sa tiež povinnosť pre finančných agentov zvýšiť informovanosť klientov o výške odmeny finančného agenta pred sprostredkovaním úveru na bývanie.</w:t>
      </w:r>
      <w:r w:rsidRPr="004E35BC">
        <w:rPr>
          <w:rFonts w:ascii="Times New Roman" w:hAnsi="Times New Roman"/>
          <w:b/>
          <w:smallCaps/>
        </w:rPr>
        <w:t xml:space="preserve"> </w:t>
      </w:r>
    </w:p>
    <w:p w:rsidR="00150BE9" w:rsidRPr="004E35BC" w:rsidP="00150BE9">
      <w:pPr>
        <w:autoSpaceDE w:val="0"/>
        <w:autoSpaceDN w:val="0"/>
        <w:bidi w:val="0"/>
        <w:adjustRightInd w:val="0"/>
        <w:jc w:val="both"/>
        <w:rPr>
          <w:rFonts w:ascii="Times New Roman" w:hAnsi="Times New Roman"/>
          <w:b/>
        </w:rPr>
      </w:pPr>
    </w:p>
    <w:p w:rsidR="00150BE9" w:rsidRPr="004E35BC" w:rsidP="00150BE9">
      <w:pPr>
        <w:autoSpaceDE w:val="0"/>
        <w:autoSpaceDN w:val="0"/>
        <w:bidi w:val="0"/>
        <w:adjustRightInd w:val="0"/>
        <w:jc w:val="both"/>
        <w:rPr>
          <w:rFonts w:ascii="Times New Roman" w:hAnsi="Times New Roman"/>
          <w:b/>
        </w:rPr>
      </w:pPr>
      <w:r w:rsidRPr="004E35BC">
        <w:rPr>
          <w:rFonts w:ascii="Times New Roman" w:hAnsi="Times New Roman"/>
          <w:b/>
        </w:rPr>
        <w:t>K bodu 5</w:t>
      </w:r>
    </w:p>
    <w:p w:rsidR="00150BE9" w:rsidRPr="004E35BC" w:rsidP="00150BE9">
      <w:pPr>
        <w:autoSpaceDE w:val="0"/>
        <w:autoSpaceDN w:val="0"/>
        <w:bidi w:val="0"/>
        <w:adjustRightInd w:val="0"/>
        <w:jc w:val="both"/>
        <w:rPr>
          <w:rFonts w:ascii="Times New Roman" w:hAnsi="Times New Roman"/>
        </w:rPr>
      </w:pPr>
      <w:r w:rsidRPr="004E35BC">
        <w:rPr>
          <w:rFonts w:ascii="Times New Roman" w:hAnsi="Times New Roman"/>
        </w:rPr>
        <w:t>Navrhované pravidlá pre vyplácanie odmeny finančného agenta pri sprostredkovaní úveru na bývanie sa budú vzťahovať na nové úvery na bývanie poskytnuté po účinnosti tohto zákona.</w:t>
      </w:r>
    </w:p>
    <w:p w:rsidR="00150BE9" w:rsidRPr="004E35BC" w:rsidP="00150BE9">
      <w:pPr>
        <w:autoSpaceDE w:val="0"/>
        <w:autoSpaceDN w:val="0"/>
        <w:bidi w:val="0"/>
        <w:adjustRightInd w:val="0"/>
        <w:jc w:val="both"/>
        <w:rPr>
          <w:rFonts w:ascii="Times New Roman" w:hAnsi="Times New Roman"/>
        </w:rPr>
      </w:pPr>
    </w:p>
    <w:p w:rsidR="00150BE9" w:rsidRPr="004E35BC" w:rsidP="00150BE9">
      <w:pPr>
        <w:autoSpaceDE w:val="0"/>
        <w:autoSpaceDN w:val="0"/>
        <w:bidi w:val="0"/>
        <w:adjustRightInd w:val="0"/>
        <w:jc w:val="both"/>
        <w:rPr>
          <w:rFonts w:ascii="Times New Roman" w:hAnsi="Times New Roman"/>
          <w:b/>
        </w:rPr>
      </w:pPr>
      <w:r w:rsidRPr="004E35BC">
        <w:rPr>
          <w:rFonts w:ascii="Times New Roman" w:hAnsi="Times New Roman"/>
          <w:b/>
        </w:rPr>
        <w:t>K bodu 6</w:t>
      </w:r>
    </w:p>
    <w:p w:rsidR="00150BE9" w:rsidRPr="004E35BC" w:rsidP="00150BE9">
      <w:pPr>
        <w:autoSpaceDE w:val="0"/>
        <w:autoSpaceDN w:val="0"/>
        <w:bidi w:val="0"/>
        <w:adjustRightInd w:val="0"/>
        <w:jc w:val="both"/>
        <w:rPr>
          <w:rFonts w:ascii="Times New Roman" w:hAnsi="Times New Roman"/>
          <w:b/>
          <w:bCs/>
        </w:rPr>
      </w:pPr>
      <w:r w:rsidRPr="004E35BC">
        <w:rPr>
          <w:rFonts w:ascii="Times New Roman" w:hAnsi="Times New Roman"/>
        </w:rPr>
        <w:t>Zákon sa dopĺňa o novú prílohu s cieľom zvýšiť informovanosť klientov o výške odmeny finančného agenta pred sprostredkovaním úveru na bývanie vo forme navrhovaného formulára.</w:t>
      </w:r>
      <w:r w:rsidRPr="004E35BC">
        <w:rPr>
          <w:rFonts w:ascii="Times New Roman" w:hAnsi="Times New Roman"/>
          <w:b/>
          <w:smallCaps/>
        </w:rPr>
        <w:t xml:space="preserve"> </w:t>
      </w:r>
    </w:p>
    <w:p w:rsidR="00150BE9" w:rsidRPr="004E35BC" w:rsidP="00150BE9">
      <w:pPr>
        <w:pStyle w:val="BodyText"/>
        <w:widowControl/>
        <w:bidi w:val="0"/>
        <w:jc w:val="both"/>
        <w:rPr>
          <w:rFonts w:ascii="Times New Roman" w:hAnsi="Times New Roman"/>
          <w:b/>
          <w:bCs/>
          <w:color w:val="auto"/>
        </w:rPr>
      </w:pPr>
    </w:p>
    <w:p w:rsidR="00150BE9" w:rsidRPr="004E35BC" w:rsidP="00150BE9">
      <w:pPr>
        <w:pStyle w:val="Default"/>
        <w:bidi w:val="0"/>
        <w:jc w:val="both"/>
        <w:rPr>
          <w:rFonts w:ascii="Times New Roman" w:hAnsi="Times New Roman"/>
          <w:b/>
          <w:color w:val="auto"/>
        </w:rPr>
      </w:pPr>
      <w:r w:rsidRPr="004E35BC">
        <w:rPr>
          <w:rFonts w:ascii="Times New Roman" w:hAnsi="Times New Roman"/>
          <w:b/>
          <w:color w:val="auto"/>
        </w:rPr>
        <w:t>K Čl. VI</w:t>
      </w:r>
    </w:p>
    <w:p w:rsidR="00150BE9" w:rsidRPr="004E35BC" w:rsidP="00150BE9">
      <w:pPr>
        <w:pStyle w:val="Default"/>
        <w:bidi w:val="0"/>
        <w:jc w:val="both"/>
        <w:rPr>
          <w:rFonts w:ascii="Times New Roman" w:hAnsi="Times New Roman"/>
          <w:b/>
          <w:color w:val="auto"/>
        </w:rPr>
      </w:pPr>
    </w:p>
    <w:p w:rsidR="00150BE9" w:rsidP="00036434">
      <w:pPr>
        <w:bidi w:val="0"/>
        <w:jc w:val="both"/>
        <w:rPr>
          <w:rFonts w:ascii="Times New Roman" w:hAnsi="Times New Roman"/>
        </w:rPr>
      </w:pPr>
      <w:r w:rsidRPr="004E35BC">
        <w:rPr>
          <w:rFonts w:ascii="Times New Roman" w:hAnsi="Times New Roman"/>
        </w:rPr>
        <w:t xml:space="preserve">Účinnosť zákona sa navrhuje </w:t>
      </w:r>
      <w:r>
        <w:rPr>
          <w:rFonts w:ascii="Times New Roman" w:hAnsi="Times New Roman"/>
        </w:rPr>
        <w:t>1. novembra 2018, okrem čl. I a čl. III až V, ktoré nadobúdajú účinnosť 1. júla 2019.</w:t>
      </w:r>
    </w:p>
    <w:p w:rsidR="00B969B1" w:rsidP="00150BE9">
      <w:pPr>
        <w:bidi w:val="0"/>
        <w:ind w:firstLine="567"/>
        <w:jc w:val="both"/>
        <w:rPr>
          <w:rFonts w:ascii="Times New Roman" w:hAnsi="Times New Roman"/>
        </w:rPr>
      </w:pPr>
    </w:p>
    <w:p w:rsidR="00B969B1" w:rsidP="00B969B1">
      <w:pPr>
        <w:tabs>
          <w:tab w:val="left" w:pos="720"/>
        </w:tabs>
        <w:bidi w:val="0"/>
        <w:jc w:val="both"/>
        <w:rPr>
          <w:rFonts w:ascii="Times New Roman" w:hAnsi="Times New Roman"/>
          <w:b/>
        </w:rPr>
      </w:pPr>
      <w:r>
        <w:rPr>
          <w:rFonts w:ascii="Times New Roman" w:hAnsi="Times New Roman"/>
        </w:rPr>
        <w:t>Schválen</w:t>
      </w:r>
      <w:r w:rsidR="00FB1CCB">
        <w:rPr>
          <w:rFonts w:ascii="Times New Roman" w:hAnsi="Times New Roman"/>
        </w:rPr>
        <w:t>é</w:t>
      </w:r>
      <w:r>
        <w:rPr>
          <w:rFonts w:ascii="Times New Roman" w:hAnsi="Times New Roman"/>
        </w:rPr>
        <w:t xml:space="preserve"> vládou Slovenskej republiky dňa </w:t>
      </w:r>
      <w:r w:rsidR="00AA24CF">
        <w:rPr>
          <w:rFonts w:ascii="Times New Roman" w:hAnsi="Times New Roman"/>
        </w:rPr>
        <w:t>20</w:t>
      </w:r>
      <w:r>
        <w:rPr>
          <w:rFonts w:ascii="Times New Roman" w:hAnsi="Times New Roman"/>
        </w:rPr>
        <w:t>. apríla 2018.</w:t>
      </w:r>
    </w:p>
    <w:p w:rsidR="00B969B1" w:rsidP="00150BE9">
      <w:pPr>
        <w:bidi w:val="0"/>
        <w:ind w:firstLine="567"/>
        <w:jc w:val="both"/>
        <w:rPr>
          <w:rFonts w:ascii="Times New Roman" w:hAnsi="Times New Roman"/>
        </w:rPr>
      </w:pPr>
    </w:p>
    <w:p w:rsidR="00150BE9" w:rsidRPr="00C9476F" w:rsidP="00150BE9">
      <w:pPr>
        <w:bidi w:val="0"/>
        <w:ind w:firstLine="567"/>
        <w:jc w:val="both"/>
        <w:rPr>
          <w:rFonts w:ascii="Times New Roman" w:hAnsi="Times New Roman"/>
        </w:rPr>
      </w:pPr>
    </w:p>
    <w:p w:rsidR="00150BE9" w:rsidRPr="004E35BC" w:rsidP="00150BE9">
      <w:pPr>
        <w:bidi w:val="0"/>
        <w:jc w:val="both"/>
        <w:rPr>
          <w:rFonts w:ascii="Times New Roman" w:hAnsi="Times New Roman"/>
          <w:b/>
          <w:bCs/>
        </w:rPr>
      </w:pPr>
    </w:p>
    <w:p w:rsidR="00150BE9" w:rsidRPr="004E35BC" w:rsidP="00150BE9">
      <w:pPr>
        <w:pStyle w:val="Default"/>
        <w:bidi w:val="0"/>
        <w:jc w:val="both"/>
        <w:rPr>
          <w:rFonts w:ascii="Times New Roman" w:hAnsi="Times New Roman"/>
          <w:b/>
          <w:color w:val="auto"/>
        </w:rPr>
      </w:pPr>
    </w:p>
    <w:p w:rsidR="00150BE9" w:rsidRPr="004E35BC" w:rsidP="00150BE9">
      <w:pPr>
        <w:pStyle w:val="Default"/>
        <w:bidi w:val="0"/>
        <w:ind w:firstLine="708"/>
        <w:jc w:val="both"/>
        <w:rPr>
          <w:rFonts w:ascii="Times New Roman" w:hAnsi="Times New Roman"/>
          <w:color w:val="auto"/>
        </w:rPr>
      </w:pPr>
    </w:p>
    <w:p w:rsidR="00150BE9" w:rsidRPr="004E35BC" w:rsidP="00150BE9">
      <w:pPr>
        <w:bidi w:val="0"/>
        <w:jc w:val="both"/>
        <w:rPr>
          <w:rFonts w:ascii="Times New Roman" w:hAnsi="Times New Roman"/>
          <w:b/>
        </w:rPr>
      </w:pPr>
    </w:p>
    <w:p w:rsidR="00150BE9" w:rsidRPr="004E35BC" w:rsidP="00150BE9">
      <w:pPr>
        <w:bidi w:val="0"/>
        <w:jc w:val="both"/>
        <w:rPr>
          <w:rFonts w:ascii="Times New Roman" w:hAnsi="Times New Roman"/>
        </w:rPr>
      </w:pPr>
    </w:p>
    <w:p w:rsidR="00150BE9" w:rsidP="00150BE9">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P e l l e g r i n i, v. r.</w:t>
      </w:r>
    </w:p>
    <w:p w:rsidR="00150BE9" w:rsidP="00150BE9">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150BE9" w:rsidP="00150BE9">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150BE9" w:rsidP="00150BE9">
      <w:pPr>
        <w:pStyle w:val="BodyText"/>
        <w:overflowPunct w:val="0"/>
        <w:autoSpaceDE w:val="0"/>
        <w:autoSpaceDN w:val="0"/>
        <w:bidi w:val="0"/>
        <w:adjustRightInd w:val="0"/>
        <w:jc w:val="center"/>
        <w:textAlignment w:val="baseline"/>
        <w:rPr>
          <w:rFonts w:ascii="Times New Roman" w:hAnsi="Times New Roman"/>
        </w:rPr>
      </w:pPr>
    </w:p>
    <w:p w:rsidR="00150BE9" w:rsidP="00150BE9">
      <w:pPr>
        <w:pStyle w:val="BodyText"/>
        <w:overflowPunct w:val="0"/>
        <w:autoSpaceDE w:val="0"/>
        <w:autoSpaceDN w:val="0"/>
        <w:bidi w:val="0"/>
        <w:adjustRightInd w:val="0"/>
        <w:jc w:val="center"/>
        <w:textAlignment w:val="baseline"/>
        <w:rPr>
          <w:rFonts w:ascii="Times New Roman" w:hAnsi="Times New Roman"/>
        </w:rPr>
      </w:pPr>
    </w:p>
    <w:p w:rsidR="00150BE9" w:rsidP="00150BE9">
      <w:pPr>
        <w:pStyle w:val="BodyText"/>
        <w:overflowPunct w:val="0"/>
        <w:autoSpaceDE w:val="0"/>
        <w:autoSpaceDN w:val="0"/>
        <w:bidi w:val="0"/>
        <w:adjustRightInd w:val="0"/>
        <w:jc w:val="center"/>
        <w:textAlignment w:val="baseline"/>
        <w:rPr>
          <w:rFonts w:ascii="Times New Roman" w:hAnsi="Times New Roman"/>
        </w:rPr>
      </w:pPr>
    </w:p>
    <w:p w:rsidR="00150BE9" w:rsidP="00150BE9">
      <w:pPr>
        <w:pStyle w:val="BodyText"/>
        <w:overflowPunct w:val="0"/>
        <w:autoSpaceDE w:val="0"/>
        <w:autoSpaceDN w:val="0"/>
        <w:bidi w:val="0"/>
        <w:adjustRightInd w:val="0"/>
        <w:jc w:val="center"/>
        <w:textAlignment w:val="baseline"/>
        <w:rPr>
          <w:rFonts w:ascii="Times New Roman" w:hAnsi="Times New Roman"/>
        </w:rPr>
      </w:pPr>
    </w:p>
    <w:p w:rsidR="00150BE9" w:rsidP="00150BE9">
      <w:pPr>
        <w:pStyle w:val="BodyText"/>
        <w:overflowPunct w:val="0"/>
        <w:autoSpaceDE w:val="0"/>
        <w:autoSpaceDN w:val="0"/>
        <w:bidi w:val="0"/>
        <w:adjustRightInd w:val="0"/>
        <w:jc w:val="center"/>
        <w:textAlignment w:val="baseline"/>
        <w:rPr>
          <w:rFonts w:ascii="Times New Roman" w:hAnsi="Times New Roman"/>
        </w:rPr>
      </w:pPr>
    </w:p>
    <w:p w:rsidR="00150BE9" w:rsidP="00150BE9">
      <w:pPr>
        <w:pStyle w:val="BodyText"/>
        <w:overflowPunct w:val="0"/>
        <w:autoSpaceDE w:val="0"/>
        <w:autoSpaceDN w:val="0"/>
        <w:bidi w:val="0"/>
        <w:adjustRightInd w:val="0"/>
        <w:jc w:val="center"/>
        <w:textAlignment w:val="baseline"/>
        <w:rPr>
          <w:rFonts w:ascii="Times New Roman" w:hAnsi="Times New Roman"/>
        </w:rPr>
      </w:pPr>
    </w:p>
    <w:p w:rsidR="00150BE9" w:rsidP="00150BE9">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 v. r.</w:t>
      </w:r>
    </w:p>
    <w:p w:rsidR="00150BE9" w:rsidP="00150BE9">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podpredseda vlády a minister financií</w:t>
      </w:r>
    </w:p>
    <w:p w:rsidR="00150BE9" w:rsidP="00150BE9">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150BE9" w:rsidP="00150BE9">
      <w:pPr>
        <w:bidi w:val="0"/>
        <w:jc w:val="center"/>
        <w:rPr>
          <w:rFonts w:ascii="Times New Roman" w:hAnsi="Times New Roman"/>
        </w:rPr>
      </w:pPr>
    </w:p>
    <w:p w:rsidR="00150BE9" w:rsidRPr="004E35BC" w:rsidP="00150BE9">
      <w:pPr>
        <w:bidi w:val="0"/>
        <w:jc w:val="both"/>
        <w:rPr>
          <w:rFonts w:ascii="Times New Roman" w:hAnsi="Times New Roman"/>
        </w:rPr>
      </w:pPr>
    </w:p>
    <w:p w:rsidR="00CD347B" w:rsidRPr="00C93212" w:rsidP="00124802">
      <w:pPr>
        <w:bidi w:val="0"/>
        <w:ind w:firstLine="708"/>
        <w:jc w:val="both"/>
        <w:rPr>
          <w:rFonts w:ascii="Times New Roman" w:hAnsi="Times New Roman"/>
        </w:rPr>
      </w:pPr>
    </w:p>
    <w:sectPr>
      <w:foot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Segoe UI Symbol">
    <w:altName w:val="Century Gothic"/>
    <w:panose1 w:val="020B0502040204020203"/>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DC" w:rsidRPr="001D6749">
    <w:pPr>
      <w:pStyle w:val="Footer"/>
      <w:bidi w:val="0"/>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3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12</w:t>
    </w:r>
    <w:r>
      <w:rPr>
        <w:rFonts w:ascii="Times New Roman" w:hAnsi="Times New Roman"/>
      </w:rPr>
      <w:fldChar w:fldCharType="end"/>
    </w:r>
  </w:p>
  <w:p w:rsidR="00AF10DC" w:rsidRPr="001D6749">
    <w:pPr>
      <w:pStyle w:val="Footer"/>
      <w:bidi w:val="0"/>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8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B163E">
      <w:rPr>
        <w:rFonts w:ascii="Times New Roman" w:hAnsi="Times New Roman"/>
        <w:noProof/>
      </w:rPr>
      <w:t>21</w:t>
    </w:r>
    <w:r>
      <w:rPr>
        <w:rFonts w:ascii="Times New Roman" w:hAnsi="Times New Roman"/>
      </w:rPr>
      <w:fldChar w:fldCharType="end"/>
    </w:r>
  </w:p>
  <w:p w:rsidR="00CA688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DC" w:rsidRPr="00CD4982" w:rsidP="00CD4982">
    <w:pPr>
      <w:tabs>
        <w:tab w:val="center" w:pos="4536"/>
        <w:tab w:val="right" w:pos="9072"/>
      </w:tabs>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0DC" w:rsidRPr="00CD4982" w:rsidP="00CD4982">
    <w:pPr>
      <w:tabs>
        <w:tab w:val="center" w:pos="4536"/>
        <w:tab w:val="right" w:pos="9072"/>
      </w:tabs>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1EFE"/>
    <w:multiLevelType w:val="multilevel"/>
    <w:tmpl w:val="6CEE6890"/>
    <w:lvl w:ilvl="0">
      <w:start w:val="6"/>
      <w:numFmt w:val="bullet"/>
      <w:lvlText w:val="-"/>
      <w:lvlJc w:val="left"/>
      <w:pPr>
        <w:ind w:left="1135" w:hanging="425"/>
      </w:pPr>
      <w:rPr>
        <w:rFonts w:ascii="Times New Roman" w:eastAsia="Times New Roman" w:hAnsi="Times New Roman" w:hint="default"/>
        <w:b/>
      </w:rPr>
    </w:lvl>
    <w:lvl w:ilvl="1">
      <w:start w:val="1"/>
      <w:numFmt w:val="lowerLetter"/>
      <w:lvlText w:val="%2)"/>
      <w:legacy w:legacy="1" w:legacySpace="0" w:legacyIndent="425"/>
      <w:lvlJc w:val="left"/>
      <w:pPr>
        <w:ind w:left="1560" w:hanging="425"/>
      </w:pPr>
      <w:rPr>
        <w:rFonts w:cs="Times New Roman"/>
        <w:rtl w:val="0"/>
        <w:cs w:val="0"/>
      </w:rPr>
    </w:lvl>
    <w:lvl w:ilvl="2">
      <w:start w:val="1"/>
      <w:numFmt w:val="decimal"/>
      <w:lvlText w:val="%3.)"/>
      <w:legacy w:legacy="1" w:legacySpace="0" w:legacyIndent="425"/>
      <w:lvlJc w:val="left"/>
      <w:pPr>
        <w:ind w:left="1985" w:hanging="425"/>
      </w:pPr>
      <w:rPr>
        <w:rFonts w:cs="Times New Roman"/>
        <w:rtl w:val="0"/>
        <w:cs w:val="0"/>
      </w:rPr>
    </w:lvl>
    <w:lvl w:ilvl="3">
      <w:start w:val="1"/>
      <w:numFmt w:val="lowerLetter"/>
      <w:lvlText w:val="%4)"/>
      <w:legacy w:legacy="1" w:legacySpace="0" w:legacyIndent="708"/>
      <w:lvlJc w:val="left"/>
      <w:pPr>
        <w:ind w:left="2693" w:hanging="708"/>
      </w:pPr>
      <w:rPr>
        <w:rFonts w:cs="Times New Roman"/>
        <w:rtl w:val="0"/>
        <w:cs w:val="0"/>
      </w:rPr>
    </w:lvl>
    <w:lvl w:ilvl="4">
      <w:start w:val="1"/>
      <w:numFmt w:val="decimal"/>
      <w:lvlText w:val="(%5)"/>
      <w:legacy w:legacy="1" w:legacySpace="0" w:legacyIndent="708"/>
      <w:lvlJc w:val="left"/>
      <w:pPr>
        <w:ind w:left="3401" w:hanging="708"/>
      </w:pPr>
      <w:rPr>
        <w:rFonts w:cs="Times New Roman"/>
        <w:rtl w:val="0"/>
        <w:cs w:val="0"/>
      </w:rPr>
    </w:lvl>
    <w:lvl w:ilvl="5">
      <w:start w:val="1"/>
      <w:numFmt w:val="lowerLetter"/>
      <w:lvlText w:val="(%6)"/>
      <w:legacy w:legacy="1" w:legacySpace="0" w:legacyIndent="708"/>
      <w:lvlJc w:val="left"/>
      <w:pPr>
        <w:ind w:left="4109" w:hanging="708"/>
      </w:pPr>
      <w:rPr>
        <w:rFonts w:cs="Times New Roman"/>
        <w:rtl w:val="0"/>
        <w:cs w:val="0"/>
      </w:rPr>
    </w:lvl>
    <w:lvl w:ilvl="6">
      <w:start w:val="1"/>
      <w:numFmt w:val="lowerRoman"/>
      <w:lvlText w:val="(%7)"/>
      <w:legacy w:legacy="1" w:legacySpace="0" w:legacyIndent="708"/>
      <w:lvlJc w:val="left"/>
      <w:pPr>
        <w:ind w:left="4817" w:hanging="708"/>
      </w:pPr>
      <w:rPr>
        <w:rFonts w:cs="Times New Roman"/>
        <w:rtl w:val="0"/>
        <w:cs w:val="0"/>
      </w:rPr>
    </w:lvl>
    <w:lvl w:ilvl="7">
      <w:start w:val="1"/>
      <w:numFmt w:val="lowerLetter"/>
      <w:lvlText w:val="(%8)"/>
      <w:legacy w:legacy="1" w:legacySpace="0" w:legacyIndent="708"/>
      <w:lvlJc w:val="left"/>
      <w:pPr>
        <w:ind w:left="5525" w:hanging="708"/>
      </w:pPr>
      <w:rPr>
        <w:rFonts w:cs="Times New Roman"/>
        <w:rtl w:val="0"/>
        <w:cs w:val="0"/>
      </w:rPr>
    </w:lvl>
    <w:lvl w:ilvl="8">
      <w:start w:val="1"/>
      <w:numFmt w:val="lowerRoman"/>
      <w:lvlText w:val="(%9)"/>
      <w:legacy w:legacy="1" w:legacySpace="0" w:legacyIndent="708"/>
      <w:lvlJc w:val="left"/>
      <w:pPr>
        <w:ind w:left="6233" w:hanging="708"/>
      </w:pPr>
      <w:rPr>
        <w:rFonts w:cs="Times New Roman"/>
        <w:rtl w:val="0"/>
        <w:cs w:val="0"/>
      </w:rPr>
    </w:lvl>
  </w:abstractNum>
  <w:abstractNum w:abstractNumId="1">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40BB08A6"/>
    <w:multiLevelType w:val="hybridMultilevel"/>
    <w:tmpl w:val="A4C6B6F8"/>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460443A2"/>
    <w:multiLevelType w:val="hybridMultilevel"/>
    <w:tmpl w:val="821A905C"/>
    <w:lvl w:ilvl="0">
      <w:start w:val="0"/>
      <w:numFmt w:val="bullet"/>
      <w:lvlText w:val="-"/>
      <w:lvlJc w:val="left"/>
      <w:pPr>
        <w:ind w:left="786" w:hanging="360"/>
      </w:pPr>
      <w:rPr>
        <w:rFonts w:ascii="Times New Roman" w:eastAsia="Times New Roman" w:hAnsi="Times New Roman" w:hint="default"/>
        <w:color w:val="2F2F2F"/>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5">
    <w:nsid w:val="4A9925F5"/>
    <w:multiLevelType w:val="hybridMultilevel"/>
    <w:tmpl w:val="9C7A79C8"/>
    <w:lvl w:ilvl="0">
      <w:start w:val="1"/>
      <w:numFmt w:val="bullet"/>
      <w:lvlText w:val="-"/>
      <w:lvlJc w:val="left"/>
      <w:pPr>
        <w:tabs>
          <w:tab w:val="num" w:pos="1653"/>
        </w:tabs>
        <w:ind w:left="1653" w:hanging="945"/>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6">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nsid w:val="6BF03261"/>
    <w:multiLevelType w:val="hybridMultilevel"/>
    <w:tmpl w:val="69926042"/>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3E2761B"/>
    <w:multiLevelType w:val="hybridMultilevel"/>
    <w:tmpl w:val="81A659A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66A224E"/>
    <w:multiLevelType w:val="hybridMultilevel"/>
    <w:tmpl w:val="1DE43AD0"/>
    <w:lvl w:ilvl="0">
      <w:start w:va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num>
  <w:num w:numId="2">
    <w:abstractNumId w:val="9"/>
  </w:num>
  <w:num w:numId="3">
    <w:abstractNumId w:val="9"/>
    <w:lvlOverride w:ilvl="0"/>
    <w:lvlOverride w:ilvl="1"/>
    <w:lvlOverride w:ilvl="2"/>
    <w:lvlOverride w:ilvl="3"/>
    <w:lvlOverride w:ilvl="4"/>
    <w:lvlOverride w:ilvl="5"/>
    <w:lvlOverride w:ilvl="6"/>
    <w:lvlOverride w:ilvl="7"/>
    <w:lvlOverride w:ilvl="8"/>
  </w:num>
  <w:num w:numId="4">
    <w:abstractNumId w:val="4"/>
  </w:num>
  <w:num w:numId="5">
    <w:abstractNumId w:val="10"/>
  </w:num>
  <w:num w:numId="6">
    <w:abstractNumId w:val="8"/>
  </w:num>
  <w:num w:numId="7">
    <w:abstractNumId w:val="6"/>
  </w:num>
  <w:num w:numId="8">
    <w:abstractNumId w:val="2"/>
  </w:num>
  <w:num w:numId="9">
    <w:abstractNumId w:val="7"/>
  </w:num>
  <w:num w:numId="10">
    <w:abstractNumId w:val="0"/>
  </w:num>
  <w:num w:numId="11">
    <w:abstractNumId w:val="2"/>
    <w:lvlOverride w:ilvl="0"/>
    <w:lvlOverride w:ilvl="1"/>
    <w:lvlOverride w:ilvl="2"/>
    <w:lvlOverride w:ilvl="3"/>
    <w:lvlOverride w:ilvl="4"/>
    <w:lvlOverride w:ilvl="5"/>
    <w:lvlOverride w:ilvl="6"/>
    <w:lvlOverride w:ilvl="7"/>
    <w:lvlOverride w:ilvl="8"/>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numFmt w:val="chicago"/>
  </w:footnotePr>
  <w:compat>
    <w:doNotUseIndentAsNumberingTabStop/>
    <w:allowSpaceOfSameStyleInTable/>
    <w:splitPgBreakAndParaMark/>
    <w:useAnsiKerningPairs/>
  </w:compat>
  <w:rsids>
    <w:rsidRoot w:val="00713F0C"/>
    <w:rsid w:val="00024CDD"/>
    <w:rsid w:val="00031FC4"/>
    <w:rsid w:val="00032CFF"/>
    <w:rsid w:val="00036434"/>
    <w:rsid w:val="000405C5"/>
    <w:rsid w:val="00042C66"/>
    <w:rsid w:val="00045128"/>
    <w:rsid w:val="0005334E"/>
    <w:rsid w:val="00060940"/>
    <w:rsid w:val="00066149"/>
    <w:rsid w:val="00074F28"/>
    <w:rsid w:val="00087D0E"/>
    <w:rsid w:val="00091596"/>
    <w:rsid w:val="000A0B04"/>
    <w:rsid w:val="000A6448"/>
    <w:rsid w:val="000D2622"/>
    <w:rsid w:val="000E5CA5"/>
    <w:rsid w:val="000F577F"/>
    <w:rsid w:val="000F7C39"/>
    <w:rsid w:val="00101E2F"/>
    <w:rsid w:val="001049D4"/>
    <w:rsid w:val="00110F8C"/>
    <w:rsid w:val="00124802"/>
    <w:rsid w:val="00127DAC"/>
    <w:rsid w:val="00133BAE"/>
    <w:rsid w:val="00135233"/>
    <w:rsid w:val="0013639F"/>
    <w:rsid w:val="00140C54"/>
    <w:rsid w:val="0014608F"/>
    <w:rsid w:val="0015051E"/>
    <w:rsid w:val="00150BE9"/>
    <w:rsid w:val="00154881"/>
    <w:rsid w:val="00157E8B"/>
    <w:rsid w:val="0016609F"/>
    <w:rsid w:val="00170011"/>
    <w:rsid w:val="00182D03"/>
    <w:rsid w:val="00183EAB"/>
    <w:rsid w:val="001840E6"/>
    <w:rsid w:val="00193394"/>
    <w:rsid w:val="001934DF"/>
    <w:rsid w:val="001A14CE"/>
    <w:rsid w:val="001A5663"/>
    <w:rsid w:val="001A6C41"/>
    <w:rsid w:val="001B4154"/>
    <w:rsid w:val="001B4EDB"/>
    <w:rsid w:val="001C5AE6"/>
    <w:rsid w:val="001C7912"/>
    <w:rsid w:val="001D6606"/>
    <w:rsid w:val="001D6749"/>
    <w:rsid w:val="001E1F06"/>
    <w:rsid w:val="001E6BE9"/>
    <w:rsid w:val="001E7FA9"/>
    <w:rsid w:val="001F0F51"/>
    <w:rsid w:val="0020662E"/>
    <w:rsid w:val="00207930"/>
    <w:rsid w:val="002114C5"/>
    <w:rsid w:val="00214966"/>
    <w:rsid w:val="0023203D"/>
    <w:rsid w:val="002341DA"/>
    <w:rsid w:val="0025120E"/>
    <w:rsid w:val="0027074D"/>
    <w:rsid w:val="00270C7D"/>
    <w:rsid w:val="00280B9B"/>
    <w:rsid w:val="002A5916"/>
    <w:rsid w:val="002B1852"/>
    <w:rsid w:val="002B56D1"/>
    <w:rsid w:val="002C1ED4"/>
    <w:rsid w:val="002C426E"/>
    <w:rsid w:val="002D0AAF"/>
    <w:rsid w:val="002D1B4C"/>
    <w:rsid w:val="002D5DBB"/>
    <w:rsid w:val="002D73F9"/>
    <w:rsid w:val="002D7760"/>
    <w:rsid w:val="002D7D0B"/>
    <w:rsid w:val="002E4B39"/>
    <w:rsid w:val="003044D4"/>
    <w:rsid w:val="00323F11"/>
    <w:rsid w:val="00337D83"/>
    <w:rsid w:val="00343C70"/>
    <w:rsid w:val="0035154F"/>
    <w:rsid w:val="00352A09"/>
    <w:rsid w:val="00352FBF"/>
    <w:rsid w:val="00354A18"/>
    <w:rsid w:val="00356567"/>
    <w:rsid w:val="003649A9"/>
    <w:rsid w:val="0039470A"/>
    <w:rsid w:val="003A001E"/>
    <w:rsid w:val="003A73FF"/>
    <w:rsid w:val="003B252A"/>
    <w:rsid w:val="003B27B3"/>
    <w:rsid w:val="003B2A44"/>
    <w:rsid w:val="003B7000"/>
    <w:rsid w:val="003B782F"/>
    <w:rsid w:val="003B7883"/>
    <w:rsid w:val="003D6C0C"/>
    <w:rsid w:val="003E4541"/>
    <w:rsid w:val="003F4365"/>
    <w:rsid w:val="003F69B9"/>
    <w:rsid w:val="004027BF"/>
    <w:rsid w:val="00402A71"/>
    <w:rsid w:val="0040544D"/>
    <w:rsid w:val="004100AA"/>
    <w:rsid w:val="00412B2A"/>
    <w:rsid w:val="00414B33"/>
    <w:rsid w:val="00416870"/>
    <w:rsid w:val="0042293D"/>
    <w:rsid w:val="004236CE"/>
    <w:rsid w:val="004353F2"/>
    <w:rsid w:val="00441950"/>
    <w:rsid w:val="0045195D"/>
    <w:rsid w:val="00451C2A"/>
    <w:rsid w:val="0045280D"/>
    <w:rsid w:val="004545B7"/>
    <w:rsid w:val="00456423"/>
    <w:rsid w:val="004576F6"/>
    <w:rsid w:val="004614B6"/>
    <w:rsid w:val="0046189E"/>
    <w:rsid w:val="00463A27"/>
    <w:rsid w:val="00471EA8"/>
    <w:rsid w:val="00476EB9"/>
    <w:rsid w:val="00482F4B"/>
    <w:rsid w:val="004C0826"/>
    <w:rsid w:val="004C2382"/>
    <w:rsid w:val="004C60B8"/>
    <w:rsid w:val="004D1F37"/>
    <w:rsid w:val="004D262D"/>
    <w:rsid w:val="004D5456"/>
    <w:rsid w:val="004D5A97"/>
    <w:rsid w:val="004E35BC"/>
    <w:rsid w:val="004E3828"/>
    <w:rsid w:val="004E518C"/>
    <w:rsid w:val="004E7AC3"/>
    <w:rsid w:val="004F5B38"/>
    <w:rsid w:val="00520456"/>
    <w:rsid w:val="00520C1B"/>
    <w:rsid w:val="00525347"/>
    <w:rsid w:val="005308DF"/>
    <w:rsid w:val="00535135"/>
    <w:rsid w:val="0053534A"/>
    <w:rsid w:val="00536857"/>
    <w:rsid w:val="00540689"/>
    <w:rsid w:val="005422FF"/>
    <w:rsid w:val="00547128"/>
    <w:rsid w:val="005477FF"/>
    <w:rsid w:val="005505FB"/>
    <w:rsid w:val="00552C9D"/>
    <w:rsid w:val="005550FC"/>
    <w:rsid w:val="00596955"/>
    <w:rsid w:val="005A6A0C"/>
    <w:rsid w:val="005B18E1"/>
    <w:rsid w:val="005C2CF6"/>
    <w:rsid w:val="005D42FB"/>
    <w:rsid w:val="005D4E7A"/>
    <w:rsid w:val="005E07E9"/>
    <w:rsid w:val="005E1429"/>
    <w:rsid w:val="00607B53"/>
    <w:rsid w:val="00624BC3"/>
    <w:rsid w:val="00630C32"/>
    <w:rsid w:val="00653ADA"/>
    <w:rsid w:val="006667B5"/>
    <w:rsid w:val="00685433"/>
    <w:rsid w:val="00685C91"/>
    <w:rsid w:val="00692AC4"/>
    <w:rsid w:val="006948FE"/>
    <w:rsid w:val="006A0495"/>
    <w:rsid w:val="006A6FF6"/>
    <w:rsid w:val="006B0BC3"/>
    <w:rsid w:val="006B19C5"/>
    <w:rsid w:val="006B3BAC"/>
    <w:rsid w:val="006C1C4D"/>
    <w:rsid w:val="006C421E"/>
    <w:rsid w:val="006C5A1E"/>
    <w:rsid w:val="006C6BF0"/>
    <w:rsid w:val="006D455F"/>
    <w:rsid w:val="006E2DB5"/>
    <w:rsid w:val="006F3EEF"/>
    <w:rsid w:val="006F640A"/>
    <w:rsid w:val="007005C7"/>
    <w:rsid w:val="00700928"/>
    <w:rsid w:val="0071291E"/>
    <w:rsid w:val="00713F0C"/>
    <w:rsid w:val="007230A7"/>
    <w:rsid w:val="007458CD"/>
    <w:rsid w:val="00767A44"/>
    <w:rsid w:val="0078405E"/>
    <w:rsid w:val="0078507D"/>
    <w:rsid w:val="007867F1"/>
    <w:rsid w:val="007A114F"/>
    <w:rsid w:val="007A1C8C"/>
    <w:rsid w:val="007B3CEB"/>
    <w:rsid w:val="007C1AE6"/>
    <w:rsid w:val="007C7C26"/>
    <w:rsid w:val="007D6740"/>
    <w:rsid w:val="007F2FDF"/>
    <w:rsid w:val="007F59CA"/>
    <w:rsid w:val="00803192"/>
    <w:rsid w:val="00803FC5"/>
    <w:rsid w:val="008049CE"/>
    <w:rsid w:val="008057A9"/>
    <w:rsid w:val="00811032"/>
    <w:rsid w:val="00823827"/>
    <w:rsid w:val="008273CA"/>
    <w:rsid w:val="00836B86"/>
    <w:rsid w:val="00847117"/>
    <w:rsid w:val="0085025D"/>
    <w:rsid w:val="00853B0A"/>
    <w:rsid w:val="00853ECD"/>
    <w:rsid w:val="008613DD"/>
    <w:rsid w:val="0086646A"/>
    <w:rsid w:val="008738B7"/>
    <w:rsid w:val="00883C1B"/>
    <w:rsid w:val="00884BDA"/>
    <w:rsid w:val="00891889"/>
    <w:rsid w:val="008A1252"/>
    <w:rsid w:val="008A1E16"/>
    <w:rsid w:val="008C0F18"/>
    <w:rsid w:val="008C206A"/>
    <w:rsid w:val="008C42B2"/>
    <w:rsid w:val="008D2B53"/>
    <w:rsid w:val="008E32B7"/>
    <w:rsid w:val="008E378C"/>
    <w:rsid w:val="008E4AE5"/>
    <w:rsid w:val="008F13C8"/>
    <w:rsid w:val="00902447"/>
    <w:rsid w:val="0091649F"/>
    <w:rsid w:val="0092216A"/>
    <w:rsid w:val="00923A65"/>
    <w:rsid w:val="00927282"/>
    <w:rsid w:val="00931B26"/>
    <w:rsid w:val="009338BA"/>
    <w:rsid w:val="00942E33"/>
    <w:rsid w:val="009471A8"/>
    <w:rsid w:val="009544CE"/>
    <w:rsid w:val="00957106"/>
    <w:rsid w:val="0096035B"/>
    <w:rsid w:val="009612AE"/>
    <w:rsid w:val="009634B3"/>
    <w:rsid w:val="00963851"/>
    <w:rsid w:val="00985436"/>
    <w:rsid w:val="00994C53"/>
    <w:rsid w:val="009A5BDA"/>
    <w:rsid w:val="009B7E76"/>
    <w:rsid w:val="009C4AA5"/>
    <w:rsid w:val="009F4D31"/>
    <w:rsid w:val="00A0687F"/>
    <w:rsid w:val="00A179AE"/>
    <w:rsid w:val="00A30F1C"/>
    <w:rsid w:val="00A3618E"/>
    <w:rsid w:val="00A477B6"/>
    <w:rsid w:val="00AA24CF"/>
    <w:rsid w:val="00AB163E"/>
    <w:rsid w:val="00AB6AA1"/>
    <w:rsid w:val="00AC7402"/>
    <w:rsid w:val="00AD093D"/>
    <w:rsid w:val="00AE3271"/>
    <w:rsid w:val="00AF10DC"/>
    <w:rsid w:val="00AF496F"/>
    <w:rsid w:val="00AF57EA"/>
    <w:rsid w:val="00AF5D4D"/>
    <w:rsid w:val="00B0307F"/>
    <w:rsid w:val="00B042C4"/>
    <w:rsid w:val="00B05EE4"/>
    <w:rsid w:val="00B07209"/>
    <w:rsid w:val="00B10113"/>
    <w:rsid w:val="00B16996"/>
    <w:rsid w:val="00B26415"/>
    <w:rsid w:val="00B266CD"/>
    <w:rsid w:val="00B33357"/>
    <w:rsid w:val="00B3483F"/>
    <w:rsid w:val="00B34FB4"/>
    <w:rsid w:val="00B358EC"/>
    <w:rsid w:val="00B36906"/>
    <w:rsid w:val="00B518E0"/>
    <w:rsid w:val="00B54375"/>
    <w:rsid w:val="00B81110"/>
    <w:rsid w:val="00B82BBC"/>
    <w:rsid w:val="00B871BE"/>
    <w:rsid w:val="00B9233E"/>
    <w:rsid w:val="00B96361"/>
    <w:rsid w:val="00B969B1"/>
    <w:rsid w:val="00BB5AD9"/>
    <w:rsid w:val="00BB638E"/>
    <w:rsid w:val="00BC646B"/>
    <w:rsid w:val="00BC7457"/>
    <w:rsid w:val="00BC7E43"/>
    <w:rsid w:val="00BD0AE8"/>
    <w:rsid w:val="00BD5A8F"/>
    <w:rsid w:val="00BF3078"/>
    <w:rsid w:val="00C1758A"/>
    <w:rsid w:val="00C36D81"/>
    <w:rsid w:val="00C47515"/>
    <w:rsid w:val="00C53140"/>
    <w:rsid w:val="00C577E8"/>
    <w:rsid w:val="00C75C4E"/>
    <w:rsid w:val="00C93212"/>
    <w:rsid w:val="00C9348F"/>
    <w:rsid w:val="00C9476F"/>
    <w:rsid w:val="00C95377"/>
    <w:rsid w:val="00C96F6D"/>
    <w:rsid w:val="00CA688A"/>
    <w:rsid w:val="00CB1DA1"/>
    <w:rsid w:val="00CB23E4"/>
    <w:rsid w:val="00CC7680"/>
    <w:rsid w:val="00CD278C"/>
    <w:rsid w:val="00CD347B"/>
    <w:rsid w:val="00CD4982"/>
    <w:rsid w:val="00CE3E96"/>
    <w:rsid w:val="00CE7BAB"/>
    <w:rsid w:val="00CF16FF"/>
    <w:rsid w:val="00CF1B0F"/>
    <w:rsid w:val="00D00762"/>
    <w:rsid w:val="00D07924"/>
    <w:rsid w:val="00D111B5"/>
    <w:rsid w:val="00D119F1"/>
    <w:rsid w:val="00D274D6"/>
    <w:rsid w:val="00D30693"/>
    <w:rsid w:val="00D30FC6"/>
    <w:rsid w:val="00D36434"/>
    <w:rsid w:val="00D42570"/>
    <w:rsid w:val="00D52276"/>
    <w:rsid w:val="00D5337A"/>
    <w:rsid w:val="00D54264"/>
    <w:rsid w:val="00D71857"/>
    <w:rsid w:val="00D746BE"/>
    <w:rsid w:val="00D7783D"/>
    <w:rsid w:val="00D82FF7"/>
    <w:rsid w:val="00D83953"/>
    <w:rsid w:val="00D86134"/>
    <w:rsid w:val="00D91CFD"/>
    <w:rsid w:val="00D920D4"/>
    <w:rsid w:val="00DA01C6"/>
    <w:rsid w:val="00DA5186"/>
    <w:rsid w:val="00DA639F"/>
    <w:rsid w:val="00DC3094"/>
    <w:rsid w:val="00DD4314"/>
    <w:rsid w:val="00DD55EF"/>
    <w:rsid w:val="00DE2824"/>
    <w:rsid w:val="00DE32DA"/>
    <w:rsid w:val="00DF1CB0"/>
    <w:rsid w:val="00E02A43"/>
    <w:rsid w:val="00E06C1C"/>
    <w:rsid w:val="00E13548"/>
    <w:rsid w:val="00E2119A"/>
    <w:rsid w:val="00E268ED"/>
    <w:rsid w:val="00E33FF5"/>
    <w:rsid w:val="00E3738A"/>
    <w:rsid w:val="00E62CDF"/>
    <w:rsid w:val="00E763A1"/>
    <w:rsid w:val="00E959AC"/>
    <w:rsid w:val="00EC46FB"/>
    <w:rsid w:val="00EC4924"/>
    <w:rsid w:val="00ED117F"/>
    <w:rsid w:val="00EF6CED"/>
    <w:rsid w:val="00F004B1"/>
    <w:rsid w:val="00F04CCD"/>
    <w:rsid w:val="00F05578"/>
    <w:rsid w:val="00F149C1"/>
    <w:rsid w:val="00F4066A"/>
    <w:rsid w:val="00F4176A"/>
    <w:rsid w:val="00F636BB"/>
    <w:rsid w:val="00F653F4"/>
    <w:rsid w:val="00F67F2E"/>
    <w:rsid w:val="00F73812"/>
    <w:rsid w:val="00F83204"/>
    <w:rsid w:val="00F84654"/>
    <w:rsid w:val="00FA6E03"/>
    <w:rsid w:val="00FA7F8B"/>
    <w:rsid w:val="00FB1CCB"/>
    <w:rsid w:val="00FC1495"/>
    <w:rsid w:val="00FC37F2"/>
    <w:rsid w:val="00FD4000"/>
    <w:rsid w:val="00FF2FEF"/>
    <w:rsid w:val="00FF3AE5"/>
    <w:rsid w:val="00FF4CD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713F0C"/>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paragraph" w:styleId="BodyText">
    <w:name w:val="Body Text"/>
    <w:basedOn w:val="Normal"/>
    <w:link w:val="ZkladntextChar"/>
    <w:uiPriority w:val="99"/>
    <w:rsid w:val="00713F0C"/>
    <w:pPr>
      <w:widowControl w:val="0"/>
      <w:jc w:val="left"/>
    </w:pPr>
    <w:rPr>
      <w:color w:val="00000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character" w:customStyle="1" w:styleId="Textzstupnhosymbolu1">
    <w:name w:val="Text zástupného symbolu1"/>
    <w:semiHidden/>
    <w:rsid w:val="00D91CFD"/>
    <w:rPr>
      <w:rFonts w:ascii="Times New Roman" w:hAnsi="Times New Roman" w:cs="Times New Roman"/>
      <w:color w:val="808080"/>
    </w:rPr>
  </w:style>
  <w:style w:type="paragraph" w:styleId="ListParagraph">
    <w:name w:val="List Paragraph"/>
    <w:basedOn w:val="Normal"/>
    <w:uiPriority w:val="99"/>
    <w:qFormat/>
    <w:rsid w:val="00D91CFD"/>
    <w:pPr>
      <w:suppressAutoHyphens/>
      <w:ind w:left="708" w:firstLine="284"/>
      <w:jc w:val="left"/>
    </w:pPr>
    <w:rPr>
      <w:rFonts w:cs="Calibri"/>
      <w:szCs w:val="22"/>
      <w:lang w:eastAsia="ar-SA"/>
    </w:rPr>
  </w:style>
  <w:style w:type="character" w:customStyle="1" w:styleId="Zkladntext">
    <w:name w:val="Základný text_"/>
    <w:link w:val="Zkladntext1"/>
    <w:locked/>
    <w:rsid w:val="00D91CFD"/>
    <w:rPr>
      <w:sz w:val="21"/>
      <w:shd w:val="clear" w:color="auto" w:fill="FFFFFF"/>
    </w:rPr>
  </w:style>
  <w:style w:type="paragraph" w:customStyle="1" w:styleId="Zkladntext1">
    <w:name w:val="Základný text1"/>
    <w:basedOn w:val="Normal"/>
    <w:link w:val="Zkladntext"/>
    <w:rsid w:val="00D91CFD"/>
    <w:pPr>
      <w:shd w:val="clear" w:color="auto" w:fill="FFFFFF"/>
      <w:spacing w:before="540" w:after="180" w:line="240" w:lineRule="atLeast"/>
      <w:ind w:hanging="280"/>
      <w:jc w:val="left"/>
    </w:pPr>
    <w:rPr>
      <w:sz w:val="21"/>
      <w:szCs w:val="20"/>
    </w:rPr>
  </w:style>
  <w:style w:type="paragraph" w:styleId="BodyText2">
    <w:name w:val="Body Text 2"/>
    <w:basedOn w:val="Normal"/>
    <w:link w:val="Zkladntext2Char"/>
    <w:uiPriority w:val="99"/>
    <w:rsid w:val="007B3CEB"/>
    <w:pPr>
      <w:spacing w:after="120" w:line="480" w:lineRule="auto"/>
      <w:jc w:val="left"/>
    </w:pPr>
  </w:style>
  <w:style w:type="character" w:customStyle="1" w:styleId="Zkladntext2Char">
    <w:name w:val="Základný text 2 Char"/>
    <w:basedOn w:val="DefaultParagraphFont"/>
    <w:link w:val="BodyText2"/>
    <w:uiPriority w:val="99"/>
    <w:locked/>
    <w:rsid w:val="007B3CEB"/>
    <w:rPr>
      <w:rFonts w:cs="Times New Roman"/>
      <w:sz w:val="24"/>
      <w:szCs w:val="24"/>
      <w:rtl w:val="0"/>
      <w:cs w:val="0"/>
    </w:rPr>
  </w:style>
  <w:style w:type="paragraph" w:styleId="Header">
    <w:name w:val="header"/>
    <w:basedOn w:val="Normal"/>
    <w:link w:val="HlavikaChar"/>
    <w:uiPriority w:val="99"/>
    <w:rsid w:val="00CA688A"/>
    <w:pPr>
      <w:tabs>
        <w:tab w:val="center" w:pos="4536"/>
        <w:tab w:val="right" w:pos="9072"/>
      </w:tabs>
      <w:jc w:val="left"/>
    </w:pPr>
  </w:style>
  <w:style w:type="character" w:customStyle="1" w:styleId="HlavikaChar">
    <w:name w:val="Hlavička Char"/>
    <w:basedOn w:val="DefaultParagraphFont"/>
    <w:link w:val="Header"/>
    <w:uiPriority w:val="99"/>
    <w:locked/>
    <w:rsid w:val="00CA688A"/>
    <w:rPr>
      <w:rFonts w:cs="Times New Roman"/>
      <w:sz w:val="24"/>
      <w:szCs w:val="24"/>
      <w:rtl w:val="0"/>
      <w:cs w:val="0"/>
    </w:rPr>
  </w:style>
  <w:style w:type="paragraph" w:styleId="Footer">
    <w:name w:val="footer"/>
    <w:basedOn w:val="Normal"/>
    <w:link w:val="PtaChar"/>
    <w:uiPriority w:val="99"/>
    <w:rsid w:val="00CA688A"/>
    <w:pPr>
      <w:tabs>
        <w:tab w:val="center" w:pos="4536"/>
        <w:tab w:val="right" w:pos="9072"/>
      </w:tabs>
      <w:jc w:val="left"/>
    </w:pPr>
  </w:style>
  <w:style w:type="character" w:customStyle="1" w:styleId="PtaChar">
    <w:name w:val="Päta Char"/>
    <w:basedOn w:val="DefaultParagraphFont"/>
    <w:link w:val="Footer"/>
    <w:uiPriority w:val="99"/>
    <w:locked/>
    <w:rsid w:val="00CA688A"/>
    <w:rPr>
      <w:rFonts w:cs="Times New Roman"/>
      <w:sz w:val="24"/>
      <w:szCs w:val="24"/>
      <w:rtl w:val="0"/>
      <w:cs w:val="0"/>
    </w:rPr>
  </w:style>
  <w:style w:type="table" w:styleId="TableGrid">
    <w:name w:val="Table Grid"/>
    <w:basedOn w:val="TableNormal"/>
    <w:uiPriority w:val="59"/>
    <w:rsid w:val="0012480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80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Hyperlink">
    <w:name w:val="Hyperlink"/>
    <w:basedOn w:val="DefaultParagraphFont"/>
    <w:uiPriority w:val="99"/>
    <w:unhideWhenUsed/>
    <w:rsid w:val="00124802"/>
    <w:rPr>
      <w:rFonts w:cs="Times New Roman"/>
      <w:color w:val="0000FF"/>
      <w:u w:val="single"/>
      <w:rtl w:val="0"/>
      <w:cs w:val="0"/>
    </w:rPr>
  </w:style>
  <w:style w:type="paragraph" w:styleId="Quote">
    <w:name w:val="Quote"/>
    <w:basedOn w:val="Normal"/>
    <w:next w:val="Normal"/>
    <w:link w:val="CitciaChar"/>
    <w:uiPriority w:val="29"/>
    <w:qFormat/>
    <w:rsid w:val="00124802"/>
    <w:pPr>
      <w:spacing w:before="200" w:after="160"/>
      <w:ind w:left="864" w:right="864"/>
      <w:jc w:val="center"/>
    </w:pPr>
    <w:rPr>
      <w:i/>
      <w:iCs/>
      <w:color w:val="404040"/>
      <w:sz w:val="20"/>
      <w:szCs w:val="20"/>
    </w:rPr>
  </w:style>
  <w:style w:type="character" w:customStyle="1" w:styleId="CitciaChar">
    <w:name w:val="Citácia Char"/>
    <w:basedOn w:val="DefaultParagraphFont"/>
    <w:link w:val="Quote"/>
    <w:uiPriority w:val="29"/>
    <w:locked/>
    <w:rsid w:val="00124802"/>
    <w:rPr>
      <w:rFonts w:cs="Times New Roman"/>
      <w:i/>
      <w:iCs/>
      <w:color w:val="404040"/>
      <w:rtl w:val="0"/>
      <w:cs w:val="0"/>
    </w:rPr>
  </w:style>
  <w:style w:type="paragraph" w:styleId="BodyTextIndent">
    <w:name w:val="Body Text Indent"/>
    <w:basedOn w:val="Normal"/>
    <w:link w:val="ZarkazkladnhotextuChar"/>
    <w:uiPriority w:val="99"/>
    <w:rsid w:val="00150BE9"/>
    <w:pPr>
      <w:spacing w:after="120"/>
      <w:ind w:left="283"/>
      <w:jc w:val="left"/>
    </w:pPr>
  </w:style>
  <w:style w:type="character" w:customStyle="1" w:styleId="ZarkazkladnhotextuChar">
    <w:name w:val="Zarážka základného textu Char"/>
    <w:basedOn w:val="DefaultParagraphFont"/>
    <w:link w:val="BodyTextIndent"/>
    <w:uiPriority w:val="99"/>
    <w:locked/>
    <w:rsid w:val="00150BE9"/>
    <w:rPr>
      <w:rFonts w:cs="Times New Roman"/>
      <w:sz w:val="24"/>
      <w:szCs w:val="24"/>
      <w:rtl w:val="0"/>
      <w:cs w:val="0"/>
    </w:rPr>
  </w:style>
  <w:style w:type="paragraph" w:styleId="Title">
    <w:name w:val="Title"/>
    <w:basedOn w:val="Normal"/>
    <w:link w:val="NzovChar"/>
    <w:uiPriority w:val="10"/>
    <w:qFormat/>
    <w:rsid w:val="00150BE9"/>
    <w:pPr>
      <w:jc w:val="center"/>
    </w:pPr>
    <w:rPr>
      <w:b/>
      <w:bCs/>
    </w:rPr>
  </w:style>
  <w:style w:type="character" w:customStyle="1" w:styleId="NzovChar">
    <w:name w:val="Názov Char"/>
    <w:basedOn w:val="DefaultParagraphFont"/>
    <w:link w:val="Title"/>
    <w:uiPriority w:val="10"/>
    <w:locked/>
    <w:rsid w:val="00150BE9"/>
    <w:rPr>
      <w:rFonts w:cs="Times New Roman"/>
      <w:b/>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usan.katonak@mfsr.sk"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21</Pages>
  <Words>7056</Words>
  <Characters>40223</Characters>
  <Application>Microsoft Office Word</Application>
  <DocSecurity>0</DocSecurity>
  <Lines>0</Lines>
  <Paragraphs>0</Paragraphs>
  <ScaleCrop>false</ScaleCrop>
  <Company/>
  <LinksUpToDate>false</LinksUpToDate>
  <CharactersWithSpaces>47185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Emil Matko</dc:creator>
  <cp:lastModifiedBy>Kucerova Dasa</cp:lastModifiedBy>
  <cp:revision>2</cp:revision>
  <cp:lastPrinted>2015-04-15T09:23:00Z</cp:lastPrinted>
  <dcterms:created xsi:type="dcterms:W3CDTF">2018-04-20T10:51:00Z</dcterms:created>
  <dcterms:modified xsi:type="dcterms:W3CDTF">2018-04-20T10:51:00Z</dcterms:modified>
</cp:coreProperties>
</file>