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7D5748" w:rsidRPr="007D5748" w:rsidP="007D5748">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E963A3" w:rsidRPr="00212894" w:rsidP="007D5748">
      <w:pPr>
        <w:bidi w:val="0"/>
        <w:spacing w:after="0" w:line="240" w:lineRule="auto"/>
        <w:jc w:val="right"/>
        <w:rPr>
          <w:rFonts w:ascii="Times New Roman" w:hAnsi="Times New Roman"/>
          <w:b/>
          <w:bCs/>
          <w:sz w:val="24"/>
          <w:szCs w:val="24"/>
          <w:lang w:eastAsia="sk-SK"/>
        </w:rPr>
      </w:pPr>
    </w:p>
    <w:p w:rsidR="00E963A3" w:rsidP="00212894">
      <w:pPr>
        <w:bidi w:val="0"/>
        <w:spacing w:after="0" w:line="240" w:lineRule="auto"/>
        <w:rPr>
          <w:rFonts w:ascii="Times New Roman" w:hAnsi="Times New Roman"/>
          <w:b/>
          <w:bCs/>
          <w:sz w:val="24"/>
          <w:szCs w:val="24"/>
          <w:lang w:eastAsia="sk-SK"/>
        </w:rPr>
      </w:pPr>
    </w:p>
    <w:p w:rsidR="00E963A3" w:rsidRPr="00212894" w:rsidP="00212894">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E963A3" w:rsidP="007D5748">
      <w:pPr>
        <w:bidi w:val="0"/>
        <w:spacing w:after="0" w:line="240" w:lineRule="auto"/>
        <w:jc w:val="right"/>
        <w:rPr>
          <w:rFonts w:ascii="Times New Roman" w:hAnsi="Times New Roman"/>
          <w:sz w:val="20"/>
          <w:szCs w:val="20"/>
          <w:lang w:eastAsia="sk-SK"/>
        </w:rPr>
      </w:pPr>
    </w:p>
    <w:p w:rsidR="007D5748" w:rsidRPr="007D5748" w:rsidP="007D5748">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E3146B">
              <w:rPr>
                <w:rFonts w:ascii="Times New Roman" w:hAnsi="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E3146B">
              <w:rPr>
                <w:rFonts w:ascii="Times New Roman" w:hAnsi="Times New Roman"/>
                <w:b/>
                <w:bCs/>
                <w:sz w:val="24"/>
                <w:szCs w:val="24"/>
                <w:lang w:eastAsia="sk-SK"/>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E3146B">
              <w:rPr>
                <w:rFonts w:ascii="Times New Roman" w:hAnsi="Times New Roman"/>
                <w:b/>
                <w:bCs/>
                <w:sz w:val="24"/>
                <w:szCs w:val="24"/>
                <w:lang w:eastAsia="sk-SK"/>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00E3146B">
              <w:rPr>
                <w:rFonts w:ascii="Times New Roman" w:hAnsi="Times New Roman"/>
                <w:b/>
                <w:bCs/>
                <w:sz w:val="24"/>
                <w:szCs w:val="24"/>
                <w:lang w:eastAsia="sk-SK"/>
              </w:rPr>
              <w:t>2021</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A07B9"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A07B9" w:rsidRPr="00916217" w:rsidP="00A24583">
            <w:pPr>
              <w:bidi w:val="0"/>
              <w:spacing w:after="0" w:line="240" w:lineRule="auto"/>
              <w:jc w:val="center"/>
              <w:rPr>
                <w:rFonts w:ascii="Times New Roman" w:hAnsi="Times New Roman"/>
                <w:b/>
                <w:bCs/>
                <w:iCs/>
                <w:sz w:val="20"/>
                <w:szCs w:val="24"/>
                <w:lang w:eastAsia="sk-SK"/>
              </w:rPr>
            </w:pPr>
            <w:r w:rsidRPr="00D00FB8" w:rsidR="00D00FB8">
              <w:rPr>
                <w:rFonts w:ascii="Times New Roman" w:hAnsi="Times New Roman"/>
                <w:b/>
                <w:bCs/>
                <w:iCs/>
                <w:sz w:val="20"/>
                <w:szCs w:val="24"/>
                <w:lang w:eastAsia="sk-SK"/>
              </w:rPr>
              <w:t xml:space="preserve">- 1 </w:t>
            </w:r>
            <w:r w:rsidR="00A24583">
              <w:rPr>
                <w:rFonts w:ascii="Times New Roman" w:hAnsi="Times New Roman"/>
                <w:b/>
                <w:bCs/>
                <w:iCs/>
                <w:sz w:val="20"/>
                <w:szCs w:val="24"/>
                <w:lang w:eastAsia="sk-SK"/>
              </w:rPr>
              <w:t>45</w:t>
            </w:r>
            <w:r w:rsidRPr="00D00FB8" w:rsid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A07B9" w:rsidRPr="00916217" w:rsidP="00A24583">
            <w:pPr>
              <w:bidi w:val="0"/>
              <w:spacing w:after="0" w:line="240" w:lineRule="auto"/>
              <w:jc w:val="center"/>
              <w:rPr>
                <w:rFonts w:ascii="Times New Roman" w:hAnsi="Times New Roman"/>
                <w:b/>
                <w:bCs/>
                <w:iCs/>
                <w:sz w:val="20"/>
                <w:szCs w:val="24"/>
                <w:lang w:eastAsia="sk-SK"/>
              </w:rPr>
            </w:pPr>
            <w:r w:rsidRPr="00D00FB8" w:rsidR="00D00FB8">
              <w:rPr>
                <w:rFonts w:ascii="Times New Roman" w:hAnsi="Times New Roman"/>
                <w:b/>
                <w:bCs/>
                <w:iCs/>
                <w:sz w:val="20"/>
                <w:szCs w:val="24"/>
                <w:lang w:eastAsia="sk-SK"/>
              </w:rPr>
              <w:t xml:space="preserve">- 1 </w:t>
            </w:r>
            <w:r w:rsidR="00A24583">
              <w:rPr>
                <w:rFonts w:ascii="Times New Roman" w:hAnsi="Times New Roman"/>
                <w:b/>
                <w:bCs/>
                <w:iCs/>
                <w:sz w:val="20"/>
                <w:szCs w:val="24"/>
                <w:lang w:eastAsia="sk-SK"/>
              </w:rPr>
              <w:t>45</w:t>
            </w:r>
            <w:r w:rsidRPr="00D00FB8" w:rsid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A07B9" w:rsidRPr="00916217" w:rsidP="00A24583">
            <w:pPr>
              <w:bidi w:val="0"/>
              <w:spacing w:after="0" w:line="240" w:lineRule="auto"/>
              <w:jc w:val="center"/>
              <w:rPr>
                <w:rFonts w:ascii="Times New Roman" w:hAnsi="Times New Roman"/>
                <w:b/>
                <w:bCs/>
                <w:iCs/>
                <w:sz w:val="20"/>
                <w:szCs w:val="24"/>
                <w:lang w:eastAsia="sk-SK"/>
              </w:rPr>
            </w:pPr>
            <w:r w:rsidRPr="00D00FB8" w:rsidR="00D00FB8">
              <w:rPr>
                <w:rFonts w:ascii="Times New Roman" w:hAnsi="Times New Roman"/>
                <w:b/>
                <w:bCs/>
                <w:iCs/>
                <w:sz w:val="20"/>
                <w:szCs w:val="24"/>
                <w:lang w:eastAsia="sk-SK"/>
              </w:rPr>
              <w:t xml:space="preserve">- 1 </w:t>
            </w:r>
            <w:r w:rsidR="00A24583">
              <w:rPr>
                <w:rFonts w:ascii="Times New Roman" w:hAnsi="Times New Roman"/>
                <w:b/>
                <w:bCs/>
                <w:iCs/>
                <w:sz w:val="20"/>
                <w:szCs w:val="24"/>
                <w:lang w:eastAsia="sk-SK"/>
              </w:rPr>
              <w:t>45</w:t>
            </w:r>
            <w:r w:rsidRPr="00D00FB8" w:rsid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A07B9" w:rsidRPr="00916217" w:rsidP="00A24583">
            <w:pPr>
              <w:bidi w:val="0"/>
              <w:spacing w:after="0" w:line="240" w:lineRule="auto"/>
              <w:jc w:val="center"/>
              <w:rPr>
                <w:rFonts w:ascii="Times New Roman" w:hAnsi="Times New Roman"/>
                <w:b/>
                <w:bCs/>
                <w:iCs/>
                <w:sz w:val="20"/>
                <w:szCs w:val="24"/>
                <w:lang w:eastAsia="sk-SK"/>
              </w:rPr>
            </w:pPr>
            <w:r w:rsidRPr="00D00FB8" w:rsidR="00D00FB8">
              <w:rPr>
                <w:rFonts w:ascii="Times New Roman" w:hAnsi="Times New Roman"/>
                <w:b/>
                <w:bCs/>
                <w:iCs/>
                <w:sz w:val="20"/>
                <w:szCs w:val="24"/>
                <w:lang w:eastAsia="sk-SK"/>
              </w:rPr>
              <w:t xml:space="preserve">- 1 </w:t>
            </w:r>
            <w:r w:rsidR="00A24583">
              <w:rPr>
                <w:rFonts w:ascii="Times New Roman" w:hAnsi="Times New Roman"/>
                <w:b/>
                <w:bCs/>
                <w:iCs/>
                <w:sz w:val="20"/>
                <w:szCs w:val="24"/>
                <w:lang w:eastAsia="sk-SK"/>
              </w:rPr>
              <w:t>45</w:t>
            </w:r>
            <w:r w:rsidRPr="00D00FB8" w:rsidR="00D00FB8">
              <w:rPr>
                <w:rFonts w:ascii="Times New Roman" w:hAnsi="Times New Roman"/>
                <w:b/>
                <w:bCs/>
                <w:iCs/>
                <w:sz w:val="20"/>
                <w:szCs w:val="24"/>
                <w:lang w:eastAsia="sk-SK"/>
              </w:rPr>
              <w:t>0 000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7D5748" w:rsidP="0035719D">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r>
              <w:rPr>
                <w:rFonts w:ascii="Times New Roman" w:hAnsi="Times New Roman"/>
                <w:sz w:val="24"/>
                <w:szCs w:val="24"/>
                <w:lang w:eastAsia="sk-SK"/>
              </w:rPr>
              <w:t>: verejné vysoké školy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212894">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9F551A">
            <w:pPr>
              <w:bidi w:val="0"/>
              <w:spacing w:after="0" w:line="240" w:lineRule="auto"/>
              <w:jc w:val="center"/>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9F551A">
            <w:pPr>
              <w:bidi w:val="0"/>
              <w:spacing w:after="0" w:line="240" w:lineRule="auto"/>
              <w:jc w:val="center"/>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9F551A">
            <w:pPr>
              <w:bidi w:val="0"/>
              <w:spacing w:after="0" w:line="240" w:lineRule="auto"/>
              <w:jc w:val="center"/>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7D5748" w:rsidP="009F551A">
            <w:pPr>
              <w:bidi w:val="0"/>
              <w:spacing w:after="0" w:line="240" w:lineRule="auto"/>
              <w:jc w:val="center"/>
              <w:rPr>
                <w:rFonts w:ascii="Times New Roman" w:hAnsi="Times New Roman"/>
                <w:b/>
                <w:bCs/>
                <w:iCs/>
                <w:sz w:val="24"/>
                <w:szCs w:val="24"/>
                <w:lang w:eastAsia="sk-SK"/>
              </w:rPr>
            </w:pPr>
            <w:r w:rsidR="00212894">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212894">
            <w:pPr>
              <w:bidi w:val="0"/>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Pr="00D00FB8">
              <w:rPr>
                <w:rFonts w:ascii="Times New Roman" w:hAnsi="Times New Roman"/>
                <w:b/>
                <w:bCs/>
                <w:iCs/>
                <w:sz w:val="20"/>
                <w:szCs w:val="24"/>
                <w:lang w:eastAsia="sk-SK"/>
              </w:rPr>
              <w:t xml:space="preserve">- 1 </w:t>
            </w:r>
            <w:r>
              <w:rPr>
                <w:rFonts w:ascii="Times New Roman" w:hAnsi="Times New Roman"/>
                <w:b/>
                <w:bCs/>
                <w:iCs/>
                <w:sz w:val="20"/>
                <w:szCs w:val="24"/>
                <w:lang w:eastAsia="sk-SK"/>
              </w:rPr>
              <w:t>45</w:t>
            </w:r>
            <w:r w:rsidRPr="00D00FB8">
              <w:rPr>
                <w:rFonts w:ascii="Times New Roman" w:hAnsi="Times New Roman"/>
                <w:b/>
                <w:bCs/>
                <w:iCs/>
                <w:sz w:val="20"/>
                <w:szCs w:val="24"/>
                <w:lang w:eastAsia="sk-SK"/>
              </w:rPr>
              <w:t>0 000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D6EEA" w:rsidRPr="007D5748" w:rsidP="0021387A">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D6EEA" w:rsidRPr="007D5748" w:rsidP="00944F83">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r w:rsidR="00A24583">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-282 127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r>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D6EEA"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44F83">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r w:rsidR="00A24583">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E20BD5">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-282 127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r>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D6EEA" w:rsidRPr="007D5748" w:rsidP="007D5748">
            <w:pPr>
              <w:bidi w:val="0"/>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MŠVVaŠ SR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-282 127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r w:rsidR="00DE3436">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D6EE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D6EEA" w:rsidRPr="007D5748" w:rsidP="0021387A">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r w:rsidR="00A24583">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-282 127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r w:rsidR="00DE3436">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1D6EEA" w:rsidRPr="007D5748" w:rsidP="00E3146B">
            <w:pPr>
              <w:bidi w:val="0"/>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8631E7">
            <w:pPr>
              <w:bidi w:val="0"/>
              <w:spacing w:after="0" w:line="240" w:lineRule="auto"/>
              <w:jc w:val="center"/>
              <w:rPr>
                <w:rFonts w:ascii="Times New Roman" w:hAnsi="Times New Roman"/>
                <w:b/>
                <w:bCs/>
                <w:sz w:val="20"/>
                <w:szCs w:val="20"/>
                <w:lang w:eastAsia="sk-SK"/>
              </w:rPr>
            </w:pPr>
            <w:r w:rsidR="00A24583">
              <w:rPr>
                <w:rFonts w:ascii="Times New Roman" w:hAnsi="Times New Roman"/>
                <w:b/>
                <w:bCs/>
                <w:sz w:val="20"/>
                <w:szCs w:val="20"/>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E20BD5">
            <w:pPr>
              <w:bidi w:val="0"/>
              <w:spacing w:after="0" w:line="240" w:lineRule="auto"/>
              <w:jc w:val="center"/>
              <w:rPr>
                <w:rFonts w:ascii="Times New Roman" w:hAnsi="Times New Roman"/>
                <w:b/>
                <w:bCs/>
                <w:sz w:val="20"/>
                <w:szCs w:val="20"/>
                <w:lang w:eastAsia="sk-SK"/>
              </w:rPr>
            </w:pPr>
            <w:r w:rsidR="009B0E36">
              <w:rPr>
                <w:rFonts w:ascii="Times New Roman" w:hAnsi="Times New Roman"/>
                <w:b/>
                <w:bCs/>
                <w:sz w:val="20"/>
                <w:szCs w:val="20"/>
                <w:lang w:eastAsia="sk-SK"/>
              </w:rPr>
              <w:t>-282 127</w:t>
            </w:r>
          </w:p>
        </w:tc>
        <w:tc>
          <w:tcPr>
            <w:tcW w:w="1267" w:type="dxa"/>
            <w:tcBorders>
              <w:top w:val="single" w:sz="4" w:space="0" w:color="auto"/>
              <w:left w:val="single" w:sz="4" w:space="0" w:color="auto"/>
              <w:bottom w:val="single" w:sz="4" w:space="0" w:color="auto"/>
              <w:right w:val="single" w:sz="4" w:space="0" w:color="auto"/>
            </w:tcBorders>
            <w:noWrap/>
            <w:textDirection w:val="lrTb"/>
            <w:vAlign w:val="top"/>
          </w:tcPr>
          <w:p w:rsidR="001D6EEA" w:rsidRPr="007D5748" w:rsidP="009F551A">
            <w:pPr>
              <w:bidi w:val="0"/>
              <w:spacing w:after="0" w:line="240" w:lineRule="auto"/>
              <w:jc w:val="center"/>
              <w:rPr>
                <w:rFonts w:ascii="Times New Roman" w:hAnsi="Times New Roman"/>
                <w:b/>
                <w:bCs/>
                <w:sz w:val="24"/>
                <w:szCs w:val="24"/>
                <w:lang w:eastAsia="sk-SK"/>
              </w:rPr>
            </w:pPr>
            <w:r w:rsidR="00DE3436">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E3146B">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E3146B">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E3146B">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77477"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77477" w:rsidRPr="00916217" w:rsidP="000C63B8">
            <w:pPr>
              <w:bidi w:val="0"/>
              <w:spacing w:after="0" w:line="240" w:lineRule="auto"/>
              <w:jc w:val="center"/>
              <w:rPr>
                <w:rFonts w:ascii="Times New Roman" w:hAnsi="Times New Roman"/>
                <w:b/>
                <w:bCs/>
                <w:iCs/>
                <w:sz w:val="20"/>
                <w:szCs w:val="24"/>
                <w:lang w:eastAsia="sk-SK"/>
              </w:rPr>
            </w:pPr>
            <w:r w:rsidR="009566CF">
              <w:rPr>
                <w:rFonts w:ascii="Times New Roman" w:hAnsi="Times New Roman"/>
                <w:b/>
                <w:bCs/>
                <w:i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77477" w:rsidRPr="00916217" w:rsidP="000C63B8">
            <w:pPr>
              <w:bidi w:val="0"/>
              <w:spacing w:after="0" w:line="240" w:lineRule="auto"/>
              <w:jc w:val="center"/>
              <w:rPr>
                <w:rFonts w:ascii="Times New Roman" w:hAnsi="Times New Roman"/>
                <w:b/>
                <w:bCs/>
                <w:iCs/>
                <w:sz w:val="20"/>
                <w:szCs w:val="24"/>
                <w:lang w:eastAsia="sk-SK"/>
              </w:rPr>
            </w:pPr>
            <w:r w:rsidR="009566CF">
              <w:rPr>
                <w:rFonts w:ascii="Times New Roman" w:hAnsi="Times New Roman"/>
                <w:b/>
                <w:bCs/>
                <w:i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77477" w:rsidRPr="007D5748" w:rsidP="009F551A">
            <w:pPr>
              <w:bidi w:val="0"/>
              <w:spacing w:after="0" w:line="240" w:lineRule="auto"/>
              <w:jc w:val="center"/>
              <w:rPr>
                <w:rFonts w:ascii="Times New Roman" w:hAnsi="Times New Roman"/>
                <w:b/>
                <w:bCs/>
                <w:sz w:val="24"/>
                <w:szCs w:val="24"/>
                <w:lang w:eastAsia="sk-SK"/>
              </w:rPr>
            </w:pPr>
            <w:r w:rsidR="009566CF">
              <w:rPr>
                <w:rFonts w:ascii="Times New Roman" w:hAnsi="Times New Roman"/>
                <w:b/>
                <w:b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77477" w:rsidRPr="000E0D19" w:rsidP="009F551A">
            <w:pPr>
              <w:bidi w:val="0"/>
              <w:spacing w:after="0" w:line="240" w:lineRule="auto"/>
              <w:jc w:val="center"/>
              <w:rPr>
                <w:rFonts w:ascii="Times New Roman" w:hAnsi="Times New Roman"/>
                <w:b/>
                <w:bCs/>
                <w:sz w:val="20"/>
                <w:szCs w:val="24"/>
                <w:lang w:eastAsia="sk-SK"/>
              </w:rPr>
            </w:pPr>
            <w:r w:rsidR="009566CF">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41F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sidR="000F7CFA">
              <w:rPr>
                <w:rFonts w:ascii="Times New Roman" w:hAnsi="Times New Roman"/>
                <w:sz w:val="24"/>
                <w:szCs w:val="24"/>
                <w:lang w:eastAsia="sk-SK"/>
              </w:rPr>
              <w:t>MŠVVaŠ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009566CF">
              <w:rPr>
                <w:rFonts w:ascii="Times New Roman" w:hAnsi="Times New Roman"/>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009566CF">
              <w:rPr>
                <w:rFonts w:ascii="Times New Roman" w:hAnsi="Times New Roman"/>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7D5748" w:rsidP="009F551A">
            <w:pPr>
              <w:bidi w:val="0"/>
              <w:spacing w:after="0" w:line="240" w:lineRule="auto"/>
              <w:jc w:val="center"/>
              <w:rPr>
                <w:rFonts w:ascii="Times New Roman" w:hAnsi="Times New Roman"/>
                <w:sz w:val="24"/>
                <w:szCs w:val="24"/>
                <w:lang w:eastAsia="sk-SK"/>
              </w:rPr>
            </w:pPr>
            <w:r w:rsidR="009566CF">
              <w:rPr>
                <w:rFonts w:ascii="Times New Roman" w:hAnsi="Times New Roman"/>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1387A" w:rsidRPr="000E0D19" w:rsidP="009F551A">
            <w:pPr>
              <w:bidi w:val="0"/>
              <w:spacing w:after="0" w:line="240" w:lineRule="auto"/>
              <w:jc w:val="center"/>
              <w:rPr>
                <w:rFonts w:ascii="Times New Roman" w:hAnsi="Times New Roman"/>
                <w:sz w:val="20"/>
                <w:szCs w:val="24"/>
                <w:lang w:eastAsia="sk-SK"/>
              </w:rPr>
            </w:pPr>
            <w:r w:rsidR="009566CF">
              <w:rPr>
                <w:rFonts w:ascii="Times New Roman" w:hAnsi="Times New Roman"/>
                <w:b/>
                <w:bCs/>
                <w:sz w:val="20"/>
                <w:szCs w:val="24"/>
                <w:lang w:eastAsia="sk-SK"/>
              </w:rPr>
              <w:t>+ 617 873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7D5748">
            <w:pPr>
              <w:bidi w:val="0"/>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1387A" w:rsidRPr="007D5748" w:rsidP="009F551A">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4583" w:rsidRPr="007D5748" w:rsidP="00E3146B">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00277477">
              <w:rPr>
                <w:rFonts w:ascii="Times New Roman" w:hAnsi="Times New Roman"/>
                <w:b/>
                <w:bCs/>
                <w:i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00277477">
              <w:rPr>
                <w:rFonts w:ascii="Times New Roman" w:hAnsi="Times New Roman"/>
                <w:b/>
                <w:bCs/>
                <w:i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00277477">
              <w:rPr>
                <w:rFonts w:ascii="Times New Roman" w:hAnsi="Times New Roman"/>
                <w:b/>
                <w:bCs/>
                <w:iCs/>
                <w:sz w:val="20"/>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A24583" w:rsidRPr="00916217" w:rsidP="0090308F">
            <w:pPr>
              <w:bidi w:val="0"/>
              <w:spacing w:after="0" w:line="240" w:lineRule="auto"/>
              <w:jc w:val="center"/>
              <w:rPr>
                <w:rFonts w:ascii="Times New Roman" w:hAnsi="Times New Roman"/>
                <w:b/>
                <w:bCs/>
                <w:iCs/>
                <w:sz w:val="20"/>
                <w:szCs w:val="24"/>
                <w:lang w:eastAsia="sk-SK"/>
              </w:rPr>
            </w:pPr>
            <w:r w:rsidR="00277477">
              <w:rPr>
                <w:rFonts w:ascii="Times New Roman" w:hAnsi="Times New Roman"/>
                <w:b/>
                <w:bCs/>
                <w:iCs/>
                <w:sz w:val="20"/>
                <w:szCs w:val="24"/>
                <w:lang w:eastAsia="sk-SK"/>
              </w:rPr>
              <w:t>0</w:t>
            </w:r>
          </w:p>
        </w:tc>
      </w:tr>
    </w:tbl>
    <w:p w:rsidR="007D5748" w:rsidRPr="007D5748" w:rsidP="007D5748">
      <w:pPr>
        <w:bidi w:val="0"/>
        <w:spacing w:after="0" w:line="240" w:lineRule="auto"/>
        <w:rPr>
          <w:rFonts w:ascii="Times New Roman" w:hAnsi="Times New Roman"/>
          <w:b/>
          <w:bCs/>
          <w:sz w:val="24"/>
          <w:szCs w:val="24"/>
          <w:lang w:eastAsia="sk-SK"/>
        </w:rPr>
      </w:pPr>
      <w:bookmarkEnd w:id="0"/>
    </w:p>
    <w:p w:rsidR="00E963A3">
      <w:pPr>
        <w:bidi w:val="0"/>
        <w:rPr>
          <w:rFonts w:ascii="Times New Roman" w:hAnsi="Times New Roman"/>
          <w:b/>
          <w:bCs/>
          <w:sz w:val="24"/>
          <w:szCs w:val="24"/>
          <w:lang w:eastAsia="sk-SK"/>
        </w:rPr>
      </w:pPr>
      <w:r>
        <w:rPr>
          <w:rFonts w:ascii="Times New Roman" w:hAnsi="Times New Roman"/>
          <w:b/>
          <w:bCs/>
          <w:sz w:val="24"/>
          <w:szCs w:val="24"/>
          <w:lang w:eastAsia="sk-SK"/>
        </w:rPr>
        <w:br w:type="page"/>
      </w:r>
    </w:p>
    <w:p w:rsidR="007D5748" w:rsidRPr="007D5748" w:rsidP="007D5748">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7D5748" w:rsidP="007D5748">
      <w:pPr>
        <w:bidi w:val="0"/>
        <w:spacing w:after="0" w:line="240" w:lineRule="auto"/>
        <w:jc w:val="both"/>
        <w:rPr>
          <w:rFonts w:ascii="Times New Roman" w:hAnsi="Times New Roman"/>
          <w:b/>
          <w:bCs/>
          <w:sz w:val="12"/>
          <w:szCs w:val="24"/>
          <w:lang w:eastAsia="sk-SK"/>
        </w:rPr>
      </w:pPr>
    </w:p>
    <w:p w:rsidR="00526182" w:rsidRPr="00FB4084" w:rsidP="00D127A0">
      <w:pPr>
        <w:pBdr>
          <w:top w:val="single" w:sz="4" w:space="1" w:color="auto"/>
          <w:left w:val="single" w:sz="4" w:space="0"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FB4084" w:rsidR="00551008">
        <w:rPr>
          <w:rFonts w:ascii="Times New Roman" w:hAnsi="Times New Roman"/>
          <w:bCs/>
          <w:sz w:val="24"/>
          <w:szCs w:val="24"/>
          <w:lang w:eastAsia="sk-SK"/>
        </w:rPr>
        <w:t>P</w:t>
      </w:r>
      <w:r w:rsidRPr="00FB4084">
        <w:rPr>
          <w:rFonts w:ascii="Times New Roman" w:hAnsi="Times New Roman"/>
          <w:bCs/>
          <w:sz w:val="24"/>
          <w:szCs w:val="24"/>
          <w:lang w:eastAsia="sk-SK"/>
        </w:rPr>
        <w:t xml:space="preserve">redpokladané náklady na hodnotenie </w:t>
      </w:r>
      <w:r w:rsidRPr="00FB4084">
        <w:rPr>
          <w:rFonts w:ascii="Times New Roman" w:hAnsi="Times New Roman"/>
          <w:sz w:val="24"/>
          <w:szCs w:val="24"/>
          <w:lang w:eastAsia="sk-SK"/>
        </w:rPr>
        <w:t>tvorivej činnosti vysokých škôl</w:t>
      </w:r>
      <w:r w:rsidRPr="00FB4084">
        <w:rPr>
          <w:rFonts w:ascii="Times New Roman" w:hAnsi="Times New Roman"/>
          <w:bCs/>
          <w:sz w:val="24"/>
          <w:szCs w:val="24"/>
          <w:lang w:eastAsia="sk-SK"/>
        </w:rPr>
        <w:t xml:space="preserve"> v roku 2021 </w:t>
      </w:r>
      <w:r w:rsidRPr="00FB4084" w:rsidR="002F2D50">
        <w:rPr>
          <w:rFonts w:ascii="Times New Roman" w:hAnsi="Times New Roman"/>
          <w:bCs/>
          <w:sz w:val="24"/>
          <w:szCs w:val="24"/>
          <w:lang w:eastAsia="sk-SK"/>
        </w:rPr>
        <w:t xml:space="preserve">budú </w:t>
      </w:r>
      <w:r w:rsidRPr="00FB4084" w:rsidR="00A452DA">
        <w:rPr>
          <w:rFonts w:ascii="Times New Roman" w:hAnsi="Times New Roman"/>
          <w:bCs/>
          <w:sz w:val="24"/>
          <w:szCs w:val="24"/>
          <w:lang w:eastAsia="sk-SK"/>
        </w:rPr>
        <w:t>zabezpečené</w:t>
      </w:r>
      <w:r w:rsidRPr="00FB4084" w:rsidR="002F2D50">
        <w:rPr>
          <w:rFonts w:ascii="Times New Roman" w:hAnsi="Times New Roman"/>
          <w:bCs/>
          <w:sz w:val="24"/>
          <w:szCs w:val="24"/>
          <w:lang w:eastAsia="sk-SK"/>
        </w:rPr>
        <w:t xml:space="preserve"> z</w:t>
      </w:r>
      <w:r w:rsidRPr="00FB4084" w:rsidR="00A452DA">
        <w:rPr>
          <w:rFonts w:ascii="Times New Roman" w:hAnsi="Times New Roman"/>
          <w:bCs/>
          <w:sz w:val="24"/>
          <w:szCs w:val="24"/>
          <w:lang w:eastAsia="sk-SK"/>
        </w:rPr>
        <w:t xml:space="preserve"> rozpočtovej </w:t>
      </w:r>
      <w:r w:rsidRPr="00FB4084">
        <w:rPr>
          <w:rFonts w:ascii="Times New Roman" w:hAnsi="Times New Roman"/>
          <w:bCs/>
          <w:sz w:val="24"/>
          <w:szCs w:val="24"/>
          <w:lang w:eastAsia="sk-SK"/>
        </w:rPr>
        <w:t>kapitol</w:t>
      </w:r>
      <w:r w:rsidRPr="00FB4084" w:rsidR="002F2D50">
        <w:rPr>
          <w:rFonts w:ascii="Times New Roman" w:hAnsi="Times New Roman"/>
          <w:bCs/>
          <w:sz w:val="24"/>
          <w:szCs w:val="24"/>
          <w:lang w:eastAsia="sk-SK"/>
        </w:rPr>
        <w:t>y</w:t>
      </w:r>
      <w:r w:rsidRPr="00FB4084">
        <w:rPr>
          <w:rFonts w:ascii="Times New Roman" w:hAnsi="Times New Roman"/>
          <w:bCs/>
          <w:sz w:val="24"/>
          <w:szCs w:val="24"/>
          <w:lang w:eastAsia="sk-SK"/>
        </w:rPr>
        <w:t xml:space="preserve"> MŠVVaŠ SR</w:t>
      </w:r>
      <w:r w:rsidRPr="00FB4084" w:rsidR="00606E95">
        <w:rPr>
          <w:rFonts w:ascii="Times New Roman" w:hAnsi="Times New Roman"/>
          <w:bCs/>
          <w:sz w:val="24"/>
          <w:szCs w:val="24"/>
          <w:lang w:eastAsia="sk-SK"/>
        </w:rPr>
        <w:t xml:space="preserve"> v rámci schválených limitov</w:t>
      </w:r>
      <w:r w:rsidRPr="00FB4084" w:rsidR="00301410">
        <w:rPr>
          <w:rFonts w:ascii="Times New Roman" w:hAnsi="Times New Roman"/>
          <w:bCs/>
          <w:sz w:val="24"/>
          <w:szCs w:val="24"/>
          <w:lang w:eastAsia="sk-SK"/>
        </w:rPr>
        <w:t>.</w:t>
      </w:r>
    </w:p>
    <w:p w:rsidR="00526182" w:rsidRPr="00FB4084" w:rsidP="00D127A0">
      <w:pPr>
        <w:pBdr>
          <w:top w:val="single" w:sz="4" w:space="1" w:color="auto"/>
          <w:left w:val="single" w:sz="4" w:space="0" w:color="auto"/>
          <w:bottom w:val="single" w:sz="4" w:space="0" w:color="auto"/>
          <w:right w:val="single" w:sz="4" w:space="4" w:color="auto"/>
        </w:pBdr>
        <w:bidi w:val="0"/>
        <w:spacing w:after="0" w:line="240" w:lineRule="auto"/>
        <w:rPr>
          <w:rFonts w:ascii="Times New Roman" w:hAnsi="Times New Roman"/>
          <w:bCs/>
          <w:sz w:val="24"/>
          <w:szCs w:val="24"/>
          <w:lang w:eastAsia="sk-SK"/>
        </w:rPr>
      </w:pPr>
    </w:p>
    <w:p w:rsidR="0003171F" w:rsidRPr="00FB4084" w:rsidP="00D127A0">
      <w:pPr>
        <w:pBdr>
          <w:top w:val="single" w:sz="4" w:space="1" w:color="auto"/>
          <w:left w:val="single" w:sz="4" w:space="0"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FB4084">
        <w:rPr>
          <w:rFonts w:ascii="Times New Roman" w:hAnsi="Times New Roman"/>
          <w:bCs/>
          <w:sz w:val="24"/>
          <w:szCs w:val="24"/>
          <w:lang w:eastAsia="sk-SK"/>
        </w:rPr>
        <w:t>Úspora, ktorá sa predpokladá zrušením Akreditačnej komisie, sa využije pri financovaní činnosti Slovenskej akreditačnej agentúry pre vysoké školstvo, ktorej zriadenie  sa navrhuje osobitným predpisom, resp. na zabezpečenie hodnotenia tvorivej činnosti  vysokých škôl v roku 2021.</w:t>
      </w:r>
    </w:p>
    <w:p w:rsidR="00DA7107" w:rsidP="00D127A0">
      <w:pPr>
        <w:pBdr>
          <w:top w:val="single" w:sz="4" w:space="1" w:color="auto"/>
          <w:left w:val="single" w:sz="4" w:space="0"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p>
    <w:p w:rsidR="00B226F0" w:rsidRPr="007D5748" w:rsidP="00D127A0">
      <w:pPr>
        <w:pBdr>
          <w:top w:val="single" w:sz="4" w:space="1" w:color="auto"/>
          <w:left w:val="single" w:sz="4" w:space="0" w:color="auto"/>
          <w:bottom w:val="single" w:sz="4" w:space="0" w:color="auto"/>
          <w:right w:val="single" w:sz="4" w:space="4" w:color="auto"/>
        </w:pBdr>
        <w:bidi w:val="0"/>
        <w:spacing w:after="0" w:line="240" w:lineRule="auto"/>
        <w:jc w:val="both"/>
        <w:rPr>
          <w:rFonts w:ascii="Times New Roman" w:hAnsi="Times New Roman"/>
          <w:b/>
          <w:bCs/>
          <w:sz w:val="24"/>
          <w:szCs w:val="24"/>
          <w:lang w:eastAsia="sk-SK"/>
        </w:rPr>
      </w:pPr>
      <w:r w:rsidRPr="00FB4084" w:rsidR="00D127A0">
        <w:rPr>
          <w:rFonts w:ascii="Times New Roman" w:hAnsi="Times New Roman"/>
          <w:bCs/>
          <w:sz w:val="24"/>
          <w:szCs w:val="24"/>
          <w:lang w:eastAsia="sk-SK"/>
        </w:rPr>
        <w:t xml:space="preserve">Predpokladaný výpadok školného pre verejné vysoké školy a štátne vysoké školy </w:t>
      </w:r>
      <w:r w:rsidR="00F0666D">
        <w:rPr>
          <w:rFonts w:ascii="Times New Roman" w:hAnsi="Times New Roman"/>
          <w:bCs/>
          <w:sz w:val="24"/>
          <w:szCs w:val="24"/>
          <w:lang w:eastAsia="sk-SK"/>
        </w:rPr>
        <w:t xml:space="preserve">nebude mať negatívny dopad na rozpočet </w:t>
      </w:r>
      <w:r w:rsidR="00D127A0">
        <w:rPr>
          <w:rFonts w:ascii="Times New Roman" w:hAnsi="Times New Roman"/>
          <w:bCs/>
          <w:sz w:val="24"/>
          <w:szCs w:val="24"/>
          <w:lang w:eastAsia="sk-SK"/>
        </w:rPr>
        <w:t>týchto</w:t>
      </w:r>
      <w:r w:rsidR="00F0666D">
        <w:rPr>
          <w:rFonts w:ascii="Times New Roman" w:hAnsi="Times New Roman"/>
          <w:bCs/>
          <w:sz w:val="24"/>
          <w:szCs w:val="24"/>
          <w:lang w:eastAsia="sk-SK"/>
        </w:rPr>
        <w:t xml:space="preserve"> vysokých škôl</w:t>
      </w:r>
      <w:r w:rsidR="0012075C">
        <w:rPr>
          <w:rFonts w:ascii="Times New Roman" w:hAnsi="Times New Roman"/>
          <w:bCs/>
          <w:sz w:val="24"/>
          <w:szCs w:val="24"/>
          <w:lang w:eastAsia="sk-SK"/>
        </w:rPr>
        <w:t>, z dôvodu, že u</w:t>
      </w:r>
      <w:r w:rsidR="00D127A0">
        <w:rPr>
          <w:rFonts w:ascii="Times New Roman" w:hAnsi="Times New Roman"/>
          <w:bCs/>
          <w:sz w:val="24"/>
          <w:szCs w:val="24"/>
          <w:lang w:eastAsia="sk-SK"/>
        </w:rPr>
        <w:t>vedený</w:t>
      </w:r>
      <w:r w:rsidR="00DA7107">
        <w:rPr>
          <w:rFonts w:ascii="Times New Roman" w:hAnsi="Times New Roman"/>
          <w:bCs/>
          <w:sz w:val="24"/>
          <w:szCs w:val="24"/>
          <w:lang w:eastAsia="sk-SK"/>
        </w:rPr>
        <w:t xml:space="preserve"> výpadok príjmov bude </w:t>
      </w:r>
      <w:r w:rsidR="00F0666D">
        <w:rPr>
          <w:rFonts w:ascii="Times New Roman" w:hAnsi="Times New Roman"/>
          <w:bCs/>
          <w:sz w:val="24"/>
          <w:szCs w:val="24"/>
          <w:lang w:eastAsia="sk-SK"/>
        </w:rPr>
        <w:t xml:space="preserve">nahradený </w:t>
      </w:r>
      <w:r w:rsidR="0012075C">
        <w:rPr>
          <w:rFonts w:ascii="Times New Roman" w:hAnsi="Times New Roman"/>
          <w:bCs/>
          <w:sz w:val="24"/>
          <w:szCs w:val="24"/>
          <w:lang w:eastAsia="sk-SK"/>
        </w:rPr>
        <w:t xml:space="preserve">z iných príjmov vysokých škôl,  resp. </w:t>
      </w:r>
      <w:r w:rsidR="00F0666D">
        <w:rPr>
          <w:rFonts w:ascii="Times New Roman" w:hAnsi="Times New Roman"/>
          <w:bCs/>
          <w:sz w:val="24"/>
          <w:szCs w:val="24"/>
          <w:lang w:eastAsia="sk-SK"/>
        </w:rPr>
        <w:t>z kapitoly MŠVVaŠ</w:t>
      </w:r>
      <w:r w:rsidR="00D127A0">
        <w:rPr>
          <w:rFonts w:ascii="Times New Roman" w:hAnsi="Times New Roman"/>
          <w:bCs/>
          <w:sz w:val="24"/>
          <w:szCs w:val="24"/>
          <w:lang w:eastAsia="sk-SK"/>
        </w:rPr>
        <w:t xml:space="preserve"> SR</w:t>
      </w:r>
      <w:r w:rsidR="00F0666D">
        <w:rPr>
          <w:rFonts w:ascii="Times New Roman" w:hAnsi="Times New Roman"/>
          <w:bCs/>
          <w:sz w:val="24"/>
          <w:szCs w:val="24"/>
          <w:lang w:eastAsia="sk-SK"/>
        </w:rPr>
        <w:t>.</w:t>
      </w:r>
      <w:r w:rsidR="00DA7107">
        <w:rPr>
          <w:rFonts w:ascii="Times New Roman" w:hAnsi="Times New Roman"/>
          <w:bCs/>
          <w:sz w:val="24"/>
          <w:szCs w:val="24"/>
          <w:lang w:eastAsia="sk-SK"/>
        </w:rPr>
        <w:t xml:space="preserve"> </w:t>
      </w:r>
      <w:r w:rsidRPr="00FB4084" w:rsidR="00D127A0">
        <w:rPr>
          <w:rFonts w:ascii="Times New Roman" w:hAnsi="Times New Roman"/>
          <w:bCs/>
          <w:sz w:val="24"/>
          <w:szCs w:val="24"/>
          <w:lang w:eastAsia="sk-SK"/>
        </w:rPr>
        <w:t>Študenti, ktorí nebudú uhrádzať školné, budú zohľadnení v počte študentov podľa ktorého je verejnej vysokej škole poskytovaná dotácia na uskutočňovanie akreditovaných študijných programov.</w:t>
      </w: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7D5748" w:rsidRPr="007D5748" w:rsidP="007D5748">
      <w:pPr>
        <w:bidi w:val="0"/>
        <w:spacing w:after="0" w:line="240" w:lineRule="auto"/>
        <w:jc w:val="both"/>
        <w:rPr>
          <w:rFonts w:ascii="Times New Roman" w:hAnsi="Times New Roman"/>
          <w:b/>
          <w:bCs/>
          <w:sz w:val="24"/>
          <w:szCs w:val="24"/>
          <w:lang w:eastAsia="sk-SK"/>
        </w:rPr>
      </w:pPr>
    </w:p>
    <w:p w:rsidR="00332AB8" w:rsidP="00332AB8">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 zavádza finančné sankcie v prípade vymedzených porušení zákona o vysokých školách. Vplyv tohto opatrenia sa nevyčísľuje, nakoľko nie je možné kvantifikovať počet takýchto prípadov a cieľom opatrenia je primárne odstrašiť od nesprávneho postupu.</w:t>
      </w:r>
    </w:p>
    <w:p w:rsidR="00332AB8" w:rsidP="00332AB8">
      <w:pPr>
        <w:bidi w:val="0"/>
        <w:spacing w:after="0" w:line="240" w:lineRule="auto"/>
        <w:jc w:val="both"/>
        <w:rPr>
          <w:rFonts w:ascii="Times New Roman" w:hAnsi="Times New Roman"/>
          <w:sz w:val="24"/>
          <w:szCs w:val="24"/>
          <w:lang w:eastAsia="sk-SK"/>
        </w:rPr>
      </w:pPr>
    </w:p>
    <w:p w:rsidR="00332AB8" w:rsidP="00332AB8">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 upravuje tvorbu fondu na podporu študentov so špecifickými potrebami – ide o technickú úpravu jeho tvorby bez vplyvu na alokované zdroje.</w:t>
      </w:r>
    </w:p>
    <w:p w:rsidR="00332AB8" w:rsidP="00332AB8">
      <w:pPr>
        <w:bidi w:val="0"/>
        <w:spacing w:after="0" w:line="240" w:lineRule="auto"/>
        <w:jc w:val="both"/>
        <w:rPr>
          <w:rFonts w:ascii="Times New Roman" w:hAnsi="Times New Roman"/>
          <w:sz w:val="24"/>
          <w:szCs w:val="24"/>
          <w:lang w:eastAsia="sk-SK"/>
        </w:rPr>
      </w:pPr>
    </w:p>
    <w:p w:rsidR="00CD63F8" w:rsidP="00CD63F8">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w:t>
      </w:r>
      <w:r w:rsidR="00A452DA">
        <w:rPr>
          <w:rFonts w:ascii="Times New Roman" w:hAnsi="Times New Roman"/>
          <w:sz w:val="24"/>
          <w:szCs w:val="24"/>
          <w:lang w:eastAsia="sk-SK"/>
        </w:rPr>
        <w:t>om sa</w:t>
      </w:r>
      <w:r>
        <w:rPr>
          <w:rFonts w:ascii="Times New Roman" w:hAnsi="Times New Roman"/>
          <w:sz w:val="24"/>
          <w:szCs w:val="24"/>
          <w:lang w:eastAsia="sk-SK"/>
        </w:rPr>
        <w:t xml:space="preserve"> ruší Akreditačn</w:t>
      </w:r>
      <w:r w:rsidR="00A452DA">
        <w:rPr>
          <w:rFonts w:ascii="Times New Roman" w:hAnsi="Times New Roman"/>
          <w:sz w:val="24"/>
          <w:szCs w:val="24"/>
          <w:lang w:eastAsia="sk-SK"/>
        </w:rPr>
        <w:t>á</w:t>
      </w:r>
      <w:r>
        <w:rPr>
          <w:rFonts w:ascii="Times New Roman" w:hAnsi="Times New Roman"/>
          <w:sz w:val="24"/>
          <w:szCs w:val="24"/>
          <w:lang w:eastAsia="sk-SK"/>
        </w:rPr>
        <w:t xml:space="preserve"> komisi</w:t>
      </w:r>
      <w:r w:rsidR="00A452DA">
        <w:rPr>
          <w:rFonts w:ascii="Times New Roman" w:hAnsi="Times New Roman"/>
          <w:sz w:val="24"/>
          <w:szCs w:val="24"/>
          <w:lang w:eastAsia="sk-SK"/>
        </w:rPr>
        <w:t>a</w:t>
      </w:r>
      <w:r>
        <w:rPr>
          <w:rFonts w:ascii="Times New Roman" w:hAnsi="Times New Roman"/>
          <w:sz w:val="24"/>
          <w:szCs w:val="24"/>
          <w:lang w:eastAsia="sk-SK"/>
        </w:rPr>
        <w:t xml:space="preserve">. </w:t>
      </w:r>
    </w:p>
    <w:p w:rsidR="00CD63F8" w:rsidRPr="005D297E" w:rsidP="00332AB8">
      <w:pPr>
        <w:bidi w:val="0"/>
        <w:spacing w:after="0" w:line="240" w:lineRule="auto"/>
        <w:jc w:val="both"/>
        <w:rPr>
          <w:rFonts w:ascii="Times New Roman" w:hAnsi="Times New Roman"/>
          <w:sz w:val="24"/>
          <w:szCs w:val="24"/>
          <w:lang w:eastAsia="sk-SK"/>
        </w:rPr>
      </w:pPr>
    </w:p>
    <w:p w:rsidR="00332AB8" w:rsidRPr="005D297E" w:rsidP="00332AB8">
      <w:pPr>
        <w:bidi w:val="0"/>
        <w:spacing w:after="0" w:line="240" w:lineRule="auto"/>
        <w:jc w:val="both"/>
        <w:rPr>
          <w:rFonts w:ascii="Times New Roman" w:hAnsi="Times New Roman"/>
          <w:sz w:val="24"/>
          <w:szCs w:val="24"/>
          <w:lang w:eastAsia="sk-SK"/>
        </w:rPr>
      </w:pPr>
      <w:r w:rsidRPr="005D297E">
        <w:rPr>
          <w:rFonts w:ascii="Times New Roman" w:hAnsi="Times New Roman"/>
          <w:sz w:val="24"/>
          <w:szCs w:val="24"/>
          <w:lang w:eastAsia="sk-SK"/>
        </w:rPr>
        <w:t xml:space="preserve">Navrhuje sa nový systém hodnotenia tvorivej činnosti vysokých škôl, založený na britskom modeli REF, ktorý bude administratívne zabezpečovať priamo ministerstvo školstva, vedy, výskumu a športu prostredníctvom výskumnej hodnotiteľskej komisie na základe posúdenia úrovne výskumnej, vývojovej, umeleckej a ďalšej tvorivej činnosti v jednotlivých oblastiach výskumu výskumnými hodnotiteľmi. </w:t>
      </w:r>
    </w:p>
    <w:p w:rsidR="00332AB8" w:rsidRPr="005D297E" w:rsidP="00332AB8">
      <w:pPr>
        <w:bidi w:val="0"/>
        <w:spacing w:after="0" w:line="240" w:lineRule="auto"/>
        <w:jc w:val="both"/>
        <w:rPr>
          <w:rFonts w:ascii="Times New Roman" w:hAnsi="Times New Roman"/>
          <w:sz w:val="24"/>
          <w:szCs w:val="24"/>
          <w:lang w:eastAsia="sk-SK"/>
        </w:rPr>
      </w:pPr>
    </w:p>
    <w:p w:rsidR="00332AB8" w:rsidRPr="005D297E" w:rsidP="00332AB8">
      <w:pPr>
        <w:bidi w:val="0"/>
        <w:spacing w:after="0" w:line="240" w:lineRule="auto"/>
        <w:jc w:val="both"/>
        <w:rPr>
          <w:rFonts w:ascii="Times New Roman" w:hAnsi="Times New Roman"/>
          <w:sz w:val="24"/>
          <w:szCs w:val="24"/>
          <w:lang w:eastAsia="sk-SK"/>
        </w:rPr>
      </w:pPr>
      <w:r w:rsidRPr="005D297E">
        <w:rPr>
          <w:rFonts w:ascii="Times New Roman" w:hAnsi="Times New Roman"/>
          <w:sz w:val="24"/>
          <w:szCs w:val="24"/>
          <w:lang w:eastAsia="sk-SK"/>
        </w:rPr>
        <w:t>Upravujú sa podmienky financovania projektov podaných v rámci vnútorných grantových schém ministerstva VEGA a KEGA, z tohto titulu nevznikajú vplyvy na štátny rozpočet, keďže podporované sú najlepšie hodnotené projekty v rámci určených limitov na túto grantovú schému vychádzajúcich z limitov štátneho rozpočtu na predmetný rok.</w:t>
      </w:r>
    </w:p>
    <w:p w:rsidR="00332AB8" w:rsidRPr="005D297E" w:rsidP="00332AB8">
      <w:pPr>
        <w:bidi w:val="0"/>
        <w:spacing w:after="0" w:line="240" w:lineRule="auto"/>
        <w:jc w:val="both"/>
        <w:rPr>
          <w:rFonts w:ascii="Times New Roman" w:hAnsi="Times New Roman"/>
          <w:sz w:val="24"/>
          <w:szCs w:val="24"/>
          <w:lang w:eastAsia="sk-SK"/>
        </w:rPr>
      </w:pPr>
    </w:p>
    <w:p w:rsidR="00927E04" w:rsidP="00332AB8">
      <w:pPr>
        <w:bidi w:val="0"/>
        <w:spacing w:after="0" w:line="240" w:lineRule="auto"/>
        <w:jc w:val="both"/>
        <w:rPr>
          <w:rFonts w:ascii="Times New Roman" w:hAnsi="Times New Roman"/>
          <w:sz w:val="24"/>
          <w:szCs w:val="24"/>
          <w:lang w:eastAsia="sk-SK"/>
        </w:rPr>
      </w:pPr>
      <w:r w:rsidRPr="005D297E" w:rsidR="00CD63F8">
        <w:rPr>
          <w:rFonts w:ascii="Times New Roman" w:hAnsi="Times New Roman"/>
          <w:sz w:val="24"/>
          <w:szCs w:val="24"/>
          <w:lang w:eastAsia="sk-SK"/>
        </w:rPr>
        <w:t>Návrh ďalej umožňuje na verejných vysokých školách študovať bezplatne v</w:t>
      </w:r>
      <w:r w:rsidR="00627893">
        <w:rPr>
          <w:rFonts w:ascii="Times New Roman" w:hAnsi="Times New Roman"/>
          <w:sz w:val="24"/>
          <w:szCs w:val="24"/>
          <w:lang w:eastAsia="sk-SK"/>
        </w:rPr>
        <w:t> </w:t>
      </w:r>
      <w:r w:rsidRPr="005D297E" w:rsidR="00CD63F8">
        <w:rPr>
          <w:rFonts w:ascii="Times New Roman" w:hAnsi="Times New Roman"/>
          <w:sz w:val="24"/>
          <w:szCs w:val="24"/>
          <w:lang w:eastAsia="sk-SK"/>
        </w:rPr>
        <w:t>prípade prekročenia štandardnej dĺžky štúdia v dennej forme o jeden rok</w:t>
      </w:r>
      <w:r>
        <w:rPr>
          <w:rFonts w:ascii="Times New Roman" w:hAnsi="Times New Roman"/>
          <w:sz w:val="24"/>
          <w:szCs w:val="24"/>
          <w:lang w:eastAsia="sk-SK"/>
        </w:rPr>
        <w:t xml:space="preserve"> </w:t>
      </w:r>
      <w:r>
        <w:rPr>
          <w:rFonts w:ascii="Times New Roman" w:hAnsi="Times New Roman"/>
          <w:sz w:val="24"/>
          <w:szCs w:val="24"/>
        </w:rPr>
        <w:t>ak je dôvodom  účasť študenta na akademickej mobilite v rámci výmenného programu pri dodržaní podmienok tohto výmenného programu alebo ak študentovi v poslednom roku štúdia počas štandardnej dĺžky štúdia príslušného študijného programu bolo poskytované sociálne štipendium</w:t>
      </w:r>
      <w:r w:rsidRPr="005D297E" w:rsidR="00CD63F8">
        <w:rPr>
          <w:rFonts w:ascii="Times New Roman" w:hAnsi="Times New Roman"/>
          <w:sz w:val="24"/>
          <w:szCs w:val="24"/>
          <w:lang w:eastAsia="sk-SK"/>
        </w:rPr>
        <w:t xml:space="preserve">. </w:t>
      </w:r>
    </w:p>
    <w:p w:rsidR="00927E04" w:rsidP="00332AB8">
      <w:pPr>
        <w:bidi w:val="0"/>
        <w:spacing w:after="0" w:line="240" w:lineRule="auto"/>
        <w:jc w:val="both"/>
        <w:rPr>
          <w:rFonts w:ascii="Times New Roman" w:hAnsi="Times New Roman"/>
          <w:sz w:val="24"/>
          <w:szCs w:val="24"/>
          <w:lang w:eastAsia="sk-SK"/>
        </w:rPr>
      </w:pPr>
    </w:p>
    <w:p w:rsidR="00332AB8" w:rsidRPr="005D297E" w:rsidP="00332AB8">
      <w:pPr>
        <w:bidi w:val="0"/>
        <w:spacing w:after="0" w:line="240" w:lineRule="auto"/>
        <w:jc w:val="both"/>
        <w:rPr>
          <w:rFonts w:ascii="Times New Roman" w:hAnsi="Times New Roman"/>
          <w:sz w:val="24"/>
          <w:szCs w:val="24"/>
          <w:lang w:eastAsia="sk-SK"/>
        </w:rPr>
      </w:pPr>
      <w:r w:rsidRPr="005D297E">
        <w:rPr>
          <w:rFonts w:ascii="Times New Roman" w:hAnsi="Times New Roman"/>
          <w:sz w:val="24"/>
          <w:szCs w:val="24"/>
          <w:lang w:eastAsia="sk-SK"/>
        </w:rPr>
        <w:t>Doterajší stav predpokladá, že študent, ktorý z rôznych dôvodov prekročí štandardnú dĺžku štúdia je povinný hradiť školné. Rektor môže školné vo vymedzených prípadoch znížiť alebo odpustiť s prihliadnutím na študijné výsledky, sociálnu a zdravotnú situáciu študenta alebo na iné skutočnosti hodné osobitného zreteľa.</w:t>
      </w:r>
    </w:p>
    <w:p w:rsidR="00332AB8" w:rsidP="00332AB8">
      <w:pPr>
        <w:bidi w:val="0"/>
        <w:spacing w:after="0" w:line="240" w:lineRule="auto"/>
        <w:jc w:val="both"/>
        <w:rPr>
          <w:rFonts w:ascii="Times New Roman" w:hAnsi="Times New Roman"/>
          <w:sz w:val="24"/>
          <w:szCs w:val="24"/>
          <w:lang w:eastAsia="sk-SK"/>
        </w:rPr>
      </w:pPr>
    </w:p>
    <w:p w:rsidR="00332AB8" w:rsidP="00332AB8">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Návrh vypúšťa zo zákona poplatok za uznanie dokladu o vzdelaní, toto ustanovenie je obsolentné a predmetná úprava už je v súčasnosti súčasťou správnych poplatkov, teda vysoké školy nevyberajú osobitné poplatky. </w:t>
      </w:r>
    </w:p>
    <w:p w:rsidR="00332AB8" w:rsidP="007D5748">
      <w:pPr>
        <w:bidi w:val="0"/>
        <w:spacing w:after="0" w:line="240" w:lineRule="auto"/>
        <w:rPr>
          <w:rFonts w:ascii="Times New Roman" w:hAnsi="Times New Roman"/>
          <w:sz w:val="24"/>
          <w:szCs w:val="24"/>
          <w:lang w:eastAsia="sk-SK"/>
        </w:rPr>
      </w:pPr>
    </w:p>
    <w:p w:rsidR="00627893" w:rsidRPr="007D5748" w:rsidP="00927E04">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 upravuje dotačnú schému v pôsobnosti ministerstva na podporu činností a aktivít súvisiacich s vysokoškolským vzdelávaním. Ide o úpravu procesu pri poskytovaní dotácií, v súčasnosti sa nekalkuluje s úpravou rozpočtu na tento typ podpory.</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00343EFA">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7D5748" w:rsidRPr="007D5748" w:rsidP="007D5748">
      <w:pPr>
        <w:bidi w:val="0"/>
        <w:spacing w:after="0" w:line="240" w:lineRule="auto"/>
        <w:rPr>
          <w:rFonts w:ascii="Times New Roman" w:hAnsi="Times New Roman"/>
          <w:sz w:val="24"/>
          <w:szCs w:val="24"/>
          <w:lang w:eastAsia="sk-SK"/>
        </w:rPr>
      </w:pPr>
    </w:p>
    <w:p w:rsidR="007D5748" w:rsidRPr="007D5748" w:rsidP="007D5748">
      <w:pPr>
        <w:bidi w:val="0"/>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7D5748" w:rsidRPr="007D5748" w:rsidP="007D5748">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005D297E">
              <w:rPr>
                <w:rFonts w:ascii="Times New Roman" w:hAnsi="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005D297E">
              <w:rPr>
                <w:rFonts w:ascii="Times New Roman" w:hAnsi="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005D297E">
              <w:rPr>
                <w:rFonts w:ascii="Times New Roman" w:hAnsi="Times New Roman"/>
                <w:b/>
                <w:bCs/>
                <w:sz w:val="24"/>
                <w:szCs w:val="24"/>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autoSpaceDE w:val="0"/>
              <w:autoSpaceDN w:val="0"/>
              <w:bidi w:val="0"/>
              <w:adjustRightInd w:val="0"/>
              <w:spacing w:after="0" w:line="240" w:lineRule="auto"/>
              <w:jc w:val="center"/>
              <w:rPr>
                <w:rFonts w:ascii="Times New Roman" w:hAnsi="Times New Roman"/>
                <w:b/>
                <w:bCs/>
                <w:sz w:val="24"/>
                <w:szCs w:val="24"/>
                <w:lang w:eastAsia="sk-SK"/>
              </w:rPr>
            </w:pPr>
            <w:r w:rsidR="005D297E">
              <w:rPr>
                <w:rFonts w:ascii="Times New Roman" w:hAnsi="Times New Roman"/>
                <w:b/>
                <w:bCs/>
                <w:sz w:val="24"/>
                <w:szCs w:val="24"/>
                <w:lang w:eastAsia="sk-SK"/>
              </w:rPr>
              <w:t>2021</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627893" w:rsidP="005D297E">
            <w:pPr>
              <w:autoSpaceDE w:val="0"/>
              <w:autoSpaceDN w:val="0"/>
              <w:bidi w:val="0"/>
              <w:adjustRightInd w:val="0"/>
              <w:spacing w:after="0" w:line="240" w:lineRule="auto"/>
              <w:rPr>
                <w:rFonts w:ascii="Times New Roman" w:hAnsi="Times New Roman"/>
                <w:color w:val="000000"/>
                <w:sz w:val="24"/>
                <w:szCs w:val="24"/>
                <w:lang w:eastAsia="sk-SK"/>
              </w:rPr>
            </w:pPr>
            <w:r w:rsidRPr="00627893" w:rsidR="00BB6A27">
              <w:rPr>
                <w:rFonts w:ascii="Times New Roman" w:hAnsi="Times New Roman"/>
                <w:color w:val="000000"/>
                <w:sz w:val="24"/>
                <w:szCs w:val="24"/>
                <w:lang w:eastAsia="sk-SK"/>
              </w:rPr>
              <w:t>Počet</w:t>
            </w:r>
            <w:r w:rsidRPr="00627893" w:rsidR="005D297E">
              <w:rPr>
                <w:rFonts w:ascii="Times New Roman" w:hAnsi="Times New Roman"/>
                <w:color w:val="000000"/>
                <w:sz w:val="24"/>
                <w:szCs w:val="24"/>
                <w:lang w:eastAsia="sk-SK"/>
              </w:rPr>
              <w:t xml:space="preserve"> vykonaných hodnotení tvorivej činnosti</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7D5748" w:rsidP="00EA7C9B">
            <w:pPr>
              <w:autoSpaceDE w:val="0"/>
              <w:autoSpaceDN w:val="0"/>
              <w:bidi w:val="0"/>
              <w:adjustRightInd w:val="0"/>
              <w:spacing w:after="0" w:line="240" w:lineRule="auto"/>
              <w:jc w:val="center"/>
              <w:rPr>
                <w:rFonts w:ascii="Times New Roman" w:hAnsi="Times New Roman"/>
                <w:color w:val="000000"/>
                <w:sz w:val="24"/>
                <w:szCs w:val="24"/>
                <w:lang w:eastAsia="sk-SK"/>
              </w:rPr>
            </w:pPr>
            <w:r w:rsidR="005D297E">
              <w:rPr>
                <w:rFonts w:ascii="Times New Roman" w:hAnsi="Times New Roman"/>
                <w:color w:val="000000"/>
                <w:sz w:val="24"/>
                <w:szCs w:val="24"/>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7D5748" w:rsidP="00045690">
            <w:pPr>
              <w:autoSpaceDE w:val="0"/>
              <w:autoSpaceDN w:val="0"/>
              <w:bidi w:val="0"/>
              <w:adjustRightInd w:val="0"/>
              <w:spacing w:after="0" w:line="240" w:lineRule="auto"/>
              <w:jc w:val="center"/>
              <w:rPr>
                <w:rFonts w:ascii="Times New Roman" w:hAnsi="Times New Roman"/>
                <w:color w:val="000000"/>
                <w:sz w:val="24"/>
                <w:szCs w:val="24"/>
                <w:lang w:eastAsia="sk-SK"/>
              </w:rPr>
            </w:pPr>
            <w:r w:rsidR="005D297E">
              <w:rPr>
                <w:rFonts w:ascii="Times New Roman" w:hAnsi="Times New Roman"/>
                <w:color w:val="000000"/>
                <w:sz w:val="24"/>
                <w:szCs w:val="24"/>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7D5748" w:rsidP="00EA7C9B">
            <w:pPr>
              <w:autoSpaceDE w:val="0"/>
              <w:autoSpaceDN w:val="0"/>
              <w:bidi w:val="0"/>
              <w:adjustRightInd w:val="0"/>
              <w:spacing w:after="0" w:line="240" w:lineRule="auto"/>
              <w:jc w:val="center"/>
              <w:rPr>
                <w:rFonts w:ascii="Times New Roman" w:hAnsi="Times New Roman"/>
                <w:color w:val="000000"/>
                <w:sz w:val="24"/>
                <w:szCs w:val="24"/>
                <w:lang w:eastAsia="sk-SK"/>
              </w:rPr>
            </w:pPr>
            <w:r w:rsidR="005D297E">
              <w:rPr>
                <w:rFonts w:ascii="Times New Roman" w:hAnsi="Times New Roman"/>
                <w:color w:val="000000"/>
                <w:sz w:val="24"/>
                <w:szCs w:val="24"/>
                <w:lang w:eastAsia="sk-SK"/>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7D5748" w:rsidP="00EA7C9B">
            <w:pPr>
              <w:autoSpaceDE w:val="0"/>
              <w:autoSpaceDN w:val="0"/>
              <w:bidi w:val="0"/>
              <w:adjustRightInd w:val="0"/>
              <w:spacing w:after="0" w:line="240" w:lineRule="auto"/>
              <w:jc w:val="center"/>
              <w:rPr>
                <w:rFonts w:ascii="Times New Roman" w:hAnsi="Times New Roman"/>
                <w:color w:val="000000"/>
                <w:sz w:val="24"/>
                <w:szCs w:val="24"/>
                <w:lang w:eastAsia="sk-SK"/>
              </w:rPr>
            </w:pPr>
            <w:r w:rsidR="005D297E">
              <w:rPr>
                <w:rFonts w:ascii="Times New Roman" w:hAnsi="Times New Roman"/>
                <w:color w:val="000000"/>
                <w:sz w:val="24"/>
                <w:szCs w:val="24"/>
                <w:lang w:eastAsia="sk-SK"/>
              </w:rPr>
              <w:t>200</w:t>
            </w:r>
          </w:p>
        </w:tc>
      </w:tr>
    </w:tbl>
    <w:p w:rsidR="007D5748" w:rsidRPr="007D5748" w:rsidP="007D5748">
      <w:pPr>
        <w:bidi w:val="0"/>
        <w:spacing w:after="0" w:line="240" w:lineRule="auto"/>
        <w:rPr>
          <w:rFonts w:ascii="Times New Roman" w:hAnsi="Times New Roman"/>
          <w:sz w:val="24"/>
          <w:szCs w:val="24"/>
          <w:lang w:eastAsia="sk-SK"/>
        </w:rPr>
      </w:pPr>
    </w:p>
    <w:p w:rsidR="00DB28FD" w:rsidP="007D5748">
      <w:pPr>
        <w:bidi w:val="0"/>
        <w:spacing w:after="0" w:line="240" w:lineRule="auto"/>
        <w:rPr>
          <w:rFonts w:ascii="Times New Roman" w:hAnsi="Times New Roman"/>
          <w:b/>
          <w:bCs/>
          <w:sz w:val="24"/>
          <w:szCs w:val="24"/>
          <w:lang w:eastAsia="sk-SK"/>
        </w:rPr>
      </w:pPr>
    </w:p>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7D5748" w:rsidRPr="007D5748" w:rsidP="007D5748">
      <w:pPr>
        <w:bidi w:val="0"/>
        <w:spacing w:after="0" w:line="240" w:lineRule="auto"/>
        <w:rPr>
          <w:rFonts w:ascii="Times New Roman" w:hAnsi="Times New Roman"/>
          <w:sz w:val="24"/>
          <w:szCs w:val="24"/>
          <w:lang w:eastAsia="sk-SK"/>
        </w:rPr>
      </w:pPr>
    </w:p>
    <w:p w:rsidR="00CA2F73" w:rsidP="00366185">
      <w:pPr>
        <w:bidi w:val="0"/>
        <w:spacing w:after="0" w:line="240" w:lineRule="auto"/>
        <w:jc w:val="both"/>
        <w:rPr>
          <w:rFonts w:ascii="Times New Roman" w:hAnsi="Times New Roman"/>
          <w:sz w:val="24"/>
          <w:szCs w:val="24"/>
          <w:lang w:eastAsia="sk-SK"/>
        </w:rPr>
      </w:pPr>
      <w:r w:rsidR="00CD63F8">
        <w:rPr>
          <w:rFonts w:ascii="Times New Roman" w:hAnsi="Times New Roman"/>
          <w:sz w:val="24"/>
          <w:szCs w:val="24"/>
          <w:lang w:eastAsia="sk-SK"/>
        </w:rPr>
        <w:t xml:space="preserve">Ministerstvo </w:t>
      </w:r>
      <w:r w:rsidR="00E76D37">
        <w:rPr>
          <w:rFonts w:ascii="Times New Roman" w:hAnsi="Times New Roman"/>
          <w:sz w:val="24"/>
          <w:szCs w:val="24"/>
          <w:lang w:eastAsia="sk-SK"/>
        </w:rPr>
        <w:t xml:space="preserve">v súčasnosti </w:t>
      </w:r>
      <w:r w:rsidR="00CD63F8">
        <w:rPr>
          <w:rFonts w:ascii="Times New Roman" w:hAnsi="Times New Roman"/>
          <w:sz w:val="24"/>
          <w:szCs w:val="24"/>
          <w:lang w:eastAsia="sk-SK"/>
        </w:rPr>
        <w:t xml:space="preserve">finančne podporuje činnosť Akreditačnej komisie. Predpokladaná úspora súvisiaca so zrušením Akreditačnej komisie vychádza z plánovaného rozpočtu na túto činnosť v rokoch 2018 – 2021. </w:t>
      </w:r>
    </w:p>
    <w:p w:rsidR="00CA2F73" w:rsidP="00366185">
      <w:pPr>
        <w:bidi w:val="0"/>
        <w:spacing w:after="0" w:line="240" w:lineRule="auto"/>
        <w:jc w:val="both"/>
        <w:rPr>
          <w:rFonts w:ascii="Times New Roman" w:hAnsi="Times New Roman"/>
          <w:sz w:val="24"/>
          <w:szCs w:val="24"/>
          <w:lang w:eastAsia="sk-SK"/>
        </w:rPr>
      </w:pPr>
    </w:p>
    <w:p w:rsidR="00CD63F8" w:rsidP="00366185">
      <w:pPr>
        <w:bidi w:val="0"/>
        <w:spacing w:after="0" w:line="240" w:lineRule="auto"/>
        <w:jc w:val="both"/>
        <w:rPr>
          <w:rFonts w:ascii="Times New Roman" w:hAnsi="Times New Roman"/>
          <w:sz w:val="24"/>
          <w:szCs w:val="24"/>
          <w:lang w:eastAsia="sk-SK"/>
        </w:rPr>
      </w:pPr>
      <w:r w:rsidR="00CA2F73">
        <w:rPr>
          <w:rFonts w:ascii="Times New Roman" w:hAnsi="Times New Roman"/>
          <w:sz w:val="24"/>
          <w:szCs w:val="24"/>
          <w:lang w:eastAsia="sk-SK"/>
        </w:rPr>
        <w:t>V </w:t>
      </w:r>
      <w:r w:rsidR="001D6EEA">
        <w:rPr>
          <w:rFonts w:ascii="Times New Roman" w:hAnsi="Times New Roman"/>
          <w:sz w:val="24"/>
          <w:szCs w:val="24"/>
          <w:lang w:eastAsia="sk-SK"/>
        </w:rPr>
        <w:t>súčasnosti</w:t>
      </w:r>
      <w:r w:rsidR="00CA2F73">
        <w:rPr>
          <w:rFonts w:ascii="Times New Roman" w:hAnsi="Times New Roman"/>
          <w:sz w:val="24"/>
          <w:szCs w:val="24"/>
          <w:lang w:eastAsia="sk-SK"/>
        </w:rPr>
        <w:t xml:space="preserve"> je v rámci kapitoly ministerstva na činnosť Akreditačnej komisie alokovaná suma </w:t>
      </w:r>
      <w:r w:rsidRPr="00FB4084" w:rsidR="00CA2F73">
        <w:rPr>
          <w:rFonts w:ascii="Times New Roman" w:hAnsi="Times New Roman"/>
          <w:b/>
          <w:sz w:val="24"/>
          <w:szCs w:val="24"/>
          <w:lang w:eastAsia="sk-SK"/>
        </w:rPr>
        <w:t>282 127 eur</w:t>
      </w:r>
      <w:r w:rsidR="00CA2F73">
        <w:rPr>
          <w:rFonts w:ascii="Times New Roman" w:hAnsi="Times New Roman"/>
          <w:sz w:val="24"/>
          <w:szCs w:val="24"/>
          <w:lang w:eastAsia="sk-SK"/>
        </w:rPr>
        <w:t>. S touto sumou sa pracuje aj v ďalších rokoch. V roku 201</w:t>
      </w:r>
      <w:r w:rsidR="00E76D37">
        <w:rPr>
          <w:rFonts w:ascii="Times New Roman" w:hAnsi="Times New Roman"/>
          <w:sz w:val="24"/>
          <w:szCs w:val="24"/>
          <w:lang w:eastAsia="sk-SK"/>
        </w:rPr>
        <w:t>9</w:t>
      </w:r>
      <w:r w:rsidR="00CA2F73">
        <w:rPr>
          <w:rFonts w:ascii="Times New Roman" w:hAnsi="Times New Roman"/>
          <w:sz w:val="24"/>
          <w:szCs w:val="24"/>
          <w:lang w:eastAsia="sk-SK"/>
        </w:rPr>
        <w:t xml:space="preserve"> sa zachová činnosť Akreditačnej </w:t>
      </w:r>
      <w:r w:rsidRPr="00FB4084" w:rsidR="00CA2F73">
        <w:rPr>
          <w:rFonts w:ascii="Times New Roman" w:hAnsi="Times New Roman"/>
          <w:sz w:val="24"/>
          <w:szCs w:val="24"/>
          <w:lang w:eastAsia="sk-SK"/>
        </w:rPr>
        <w:t xml:space="preserve">komisie do </w:t>
      </w:r>
      <w:r w:rsidRPr="00FB4084" w:rsidR="00CD7DB8">
        <w:rPr>
          <w:rFonts w:ascii="Times New Roman" w:hAnsi="Times New Roman"/>
          <w:sz w:val="24"/>
          <w:szCs w:val="24"/>
          <w:lang w:eastAsia="sk-SK"/>
        </w:rPr>
        <w:t xml:space="preserve">31. decembra </w:t>
      </w:r>
      <w:r w:rsidRPr="00FB4084" w:rsidR="00CA2F73">
        <w:rPr>
          <w:rFonts w:ascii="Times New Roman" w:hAnsi="Times New Roman"/>
          <w:sz w:val="24"/>
          <w:szCs w:val="24"/>
          <w:lang w:eastAsia="sk-SK"/>
        </w:rPr>
        <w:t>201</w:t>
      </w:r>
      <w:r w:rsidRPr="00FB4084" w:rsidR="00E76D37">
        <w:rPr>
          <w:rFonts w:ascii="Times New Roman" w:hAnsi="Times New Roman"/>
          <w:sz w:val="24"/>
          <w:szCs w:val="24"/>
          <w:lang w:eastAsia="sk-SK"/>
        </w:rPr>
        <w:t>9</w:t>
      </w:r>
      <w:r w:rsidRPr="00FB4084" w:rsidR="00CA2F73">
        <w:rPr>
          <w:rFonts w:ascii="Times New Roman" w:hAnsi="Times New Roman"/>
          <w:sz w:val="24"/>
          <w:szCs w:val="24"/>
          <w:lang w:eastAsia="sk-SK"/>
        </w:rPr>
        <w:t xml:space="preserve">, preto sa potenciálna úspora </w:t>
      </w:r>
      <w:r w:rsidRPr="00FB4084" w:rsidR="00CD7DB8">
        <w:rPr>
          <w:rFonts w:ascii="Times New Roman" w:hAnsi="Times New Roman"/>
          <w:sz w:val="24"/>
          <w:szCs w:val="24"/>
          <w:lang w:eastAsia="sk-SK"/>
        </w:rPr>
        <w:t>vykazuje len v rokoch 2020 a 2021</w:t>
      </w:r>
      <w:r w:rsidRPr="00FB4084" w:rsidR="00CA2F73">
        <w:rPr>
          <w:rFonts w:ascii="Times New Roman" w:hAnsi="Times New Roman"/>
          <w:sz w:val="24"/>
          <w:szCs w:val="24"/>
          <w:lang w:eastAsia="sk-SK"/>
        </w:rPr>
        <w:t>. Vzniknutá</w:t>
      </w:r>
      <w:r w:rsidR="00CA2F73">
        <w:rPr>
          <w:rFonts w:ascii="Times New Roman" w:hAnsi="Times New Roman"/>
          <w:sz w:val="24"/>
          <w:szCs w:val="24"/>
          <w:lang w:eastAsia="sk-SK"/>
        </w:rPr>
        <w:t xml:space="preserve"> ú</w:t>
      </w:r>
      <w:r>
        <w:rPr>
          <w:rFonts w:ascii="Times New Roman" w:hAnsi="Times New Roman"/>
          <w:sz w:val="24"/>
          <w:szCs w:val="24"/>
          <w:lang w:eastAsia="sk-SK"/>
        </w:rPr>
        <w:t xml:space="preserve">spora sa použije na </w:t>
      </w:r>
      <w:r w:rsidR="00CA2F73">
        <w:rPr>
          <w:rFonts w:ascii="Times New Roman" w:hAnsi="Times New Roman"/>
          <w:sz w:val="24"/>
          <w:szCs w:val="24"/>
          <w:lang w:eastAsia="sk-SK"/>
        </w:rPr>
        <w:t xml:space="preserve">čiastočné </w:t>
      </w:r>
      <w:r>
        <w:rPr>
          <w:rFonts w:ascii="Times New Roman" w:hAnsi="Times New Roman"/>
          <w:sz w:val="24"/>
          <w:szCs w:val="24"/>
          <w:lang w:eastAsia="sk-SK"/>
        </w:rPr>
        <w:t>krytie výdavkov spojených s činnosťou agentúry, ktorá vznikne podľa osobitného zákona</w:t>
      </w:r>
      <w:r w:rsidR="00055D12">
        <w:rPr>
          <w:rFonts w:ascii="Times New Roman" w:hAnsi="Times New Roman"/>
          <w:sz w:val="24"/>
          <w:szCs w:val="24"/>
          <w:lang w:eastAsia="sk-SK"/>
        </w:rPr>
        <w:t xml:space="preserve"> (paralelne predložený návrh)</w:t>
      </w:r>
      <w:r w:rsidR="00CA2F73">
        <w:rPr>
          <w:rFonts w:ascii="Times New Roman" w:hAnsi="Times New Roman"/>
          <w:sz w:val="24"/>
          <w:szCs w:val="24"/>
          <w:lang w:eastAsia="sk-SK"/>
        </w:rPr>
        <w:t xml:space="preserve"> a prevezme časť </w:t>
      </w:r>
      <w:r w:rsidR="001F629B">
        <w:rPr>
          <w:rFonts w:ascii="Times New Roman" w:hAnsi="Times New Roman"/>
          <w:sz w:val="24"/>
          <w:szCs w:val="24"/>
          <w:lang w:eastAsia="sk-SK"/>
        </w:rPr>
        <w:t>pôsobnost</w:t>
      </w:r>
      <w:r w:rsidR="00FB4084">
        <w:rPr>
          <w:rFonts w:ascii="Times New Roman" w:hAnsi="Times New Roman"/>
          <w:sz w:val="24"/>
          <w:szCs w:val="24"/>
          <w:lang w:eastAsia="sk-SK"/>
        </w:rPr>
        <w:t>í</w:t>
      </w:r>
      <w:r w:rsidR="001F629B">
        <w:rPr>
          <w:rFonts w:ascii="Times New Roman" w:hAnsi="Times New Roman"/>
          <w:sz w:val="24"/>
          <w:szCs w:val="24"/>
          <w:lang w:eastAsia="sk-SK"/>
        </w:rPr>
        <w:t xml:space="preserve"> Akreditačnej </w:t>
      </w:r>
      <w:r w:rsidRPr="00FB4084" w:rsidR="001F629B">
        <w:rPr>
          <w:rFonts w:ascii="Times New Roman" w:hAnsi="Times New Roman"/>
          <w:sz w:val="24"/>
          <w:szCs w:val="24"/>
          <w:lang w:eastAsia="sk-SK"/>
        </w:rPr>
        <w:t>komisie</w:t>
      </w:r>
      <w:r w:rsidRPr="00FB4084" w:rsidR="00217C39">
        <w:rPr>
          <w:rFonts w:ascii="Times New Roman" w:hAnsi="Times New Roman"/>
          <w:sz w:val="24"/>
          <w:szCs w:val="24"/>
          <w:lang w:eastAsia="sk-SK"/>
        </w:rPr>
        <w:t xml:space="preserve"> </w:t>
      </w:r>
      <w:r w:rsidRPr="00FB4084" w:rsidR="00217C39">
        <w:rPr>
          <w:rFonts w:ascii="Times New Roman" w:hAnsi="Times New Roman"/>
          <w:bCs/>
          <w:sz w:val="24"/>
          <w:szCs w:val="24"/>
          <w:lang w:eastAsia="sk-SK"/>
        </w:rPr>
        <w:t>a na zabezpečenie hodnotenia tvorivej činnosti  vysokých škôl v roku 2021</w:t>
      </w:r>
      <w:r w:rsidRPr="00FB4084" w:rsidR="001F629B">
        <w:rPr>
          <w:rFonts w:ascii="Times New Roman" w:hAnsi="Times New Roman"/>
          <w:sz w:val="24"/>
          <w:szCs w:val="24"/>
          <w:lang w:eastAsia="sk-SK"/>
        </w:rPr>
        <w:t>, čím fakticky k</w:t>
      </w:r>
      <w:r w:rsidR="001F629B">
        <w:rPr>
          <w:rFonts w:ascii="Times New Roman" w:hAnsi="Times New Roman"/>
          <w:sz w:val="24"/>
          <w:szCs w:val="24"/>
          <w:lang w:eastAsia="sk-SK"/>
        </w:rPr>
        <w:t xml:space="preserve"> úspore </w:t>
      </w:r>
      <w:r w:rsidR="00944F83">
        <w:rPr>
          <w:rFonts w:ascii="Times New Roman" w:hAnsi="Times New Roman"/>
          <w:sz w:val="24"/>
          <w:szCs w:val="24"/>
          <w:lang w:eastAsia="sk-SK"/>
        </w:rPr>
        <w:t xml:space="preserve">v rámci systému </w:t>
      </w:r>
      <w:r w:rsidR="001F629B">
        <w:rPr>
          <w:rFonts w:ascii="Times New Roman" w:hAnsi="Times New Roman"/>
          <w:sz w:val="24"/>
          <w:szCs w:val="24"/>
          <w:lang w:eastAsia="sk-SK"/>
        </w:rPr>
        <w:t>nedochádza.</w:t>
      </w:r>
    </w:p>
    <w:p w:rsidR="00CD63F8" w:rsidP="00366185">
      <w:pPr>
        <w:bidi w:val="0"/>
        <w:spacing w:after="0" w:line="240" w:lineRule="auto"/>
        <w:jc w:val="both"/>
        <w:rPr>
          <w:rFonts w:ascii="Times New Roman" w:hAnsi="Times New Roman"/>
          <w:sz w:val="24"/>
          <w:szCs w:val="24"/>
          <w:lang w:eastAsia="sk-SK"/>
        </w:rPr>
      </w:pPr>
    </w:p>
    <w:p w:rsidR="003A467A" w:rsidP="003A467A">
      <w:pPr>
        <w:bidi w:val="0"/>
        <w:spacing w:after="0" w:line="240" w:lineRule="auto"/>
        <w:jc w:val="both"/>
        <w:rPr>
          <w:rFonts w:ascii="Times New Roman" w:hAnsi="Times New Roman"/>
          <w:sz w:val="24"/>
          <w:szCs w:val="24"/>
          <w:lang w:eastAsia="sk-SK"/>
        </w:rPr>
      </w:pPr>
      <w:r w:rsidRPr="005A73BA">
        <w:rPr>
          <w:rFonts w:ascii="Times New Roman" w:hAnsi="Times New Roman"/>
          <w:sz w:val="24"/>
          <w:szCs w:val="24"/>
          <w:lang w:eastAsia="sk-SK"/>
        </w:rPr>
        <w:t>Nezohľadňuje sa úspora na zamestnancoch ministerstva, ktorí administratívne podpor</w:t>
      </w:r>
      <w:r w:rsidR="00F70B1C">
        <w:rPr>
          <w:rFonts w:ascii="Times New Roman" w:hAnsi="Times New Roman"/>
          <w:sz w:val="24"/>
          <w:szCs w:val="24"/>
          <w:lang w:eastAsia="sk-SK"/>
        </w:rPr>
        <w:t>ujú</w:t>
      </w:r>
      <w:r w:rsidRPr="005A73BA">
        <w:rPr>
          <w:rFonts w:ascii="Times New Roman" w:hAnsi="Times New Roman"/>
          <w:sz w:val="24"/>
          <w:szCs w:val="24"/>
          <w:lang w:eastAsia="sk-SK"/>
        </w:rPr>
        <w:t xml:space="preserve"> činnosť Akreditačnej komisie (sekretariát Akreditačnej komisie), nakoľko títo posilnia výkon zostávajúcej agendy ministerstva. </w:t>
      </w:r>
      <w:r w:rsidRPr="005A73BA" w:rsidR="00082B45">
        <w:rPr>
          <w:rFonts w:ascii="Times New Roman" w:hAnsi="Times New Roman"/>
          <w:sz w:val="24"/>
          <w:szCs w:val="24"/>
          <w:lang w:eastAsia="sk-SK"/>
        </w:rPr>
        <w:t>C</w:t>
      </w:r>
      <w:r w:rsidRPr="005A73BA">
        <w:rPr>
          <w:rFonts w:ascii="Times New Roman" w:hAnsi="Times New Roman"/>
          <w:sz w:val="24"/>
          <w:szCs w:val="24"/>
          <w:lang w:eastAsia="sk-SK"/>
        </w:rPr>
        <w:t>elkové ročné mzdové náklady vrátane odvodov na 5 zamestnancov (z toho 4 sú štátni zamestnanci a 1 je zamestnanec pri výkone práce vo verejnom záujme) sekretariátu Akreditačnej komisie predstav</w:t>
      </w:r>
      <w:r w:rsidR="00CF41EC">
        <w:rPr>
          <w:rFonts w:ascii="Times New Roman" w:hAnsi="Times New Roman"/>
          <w:sz w:val="24"/>
          <w:szCs w:val="24"/>
          <w:lang w:eastAsia="sk-SK"/>
        </w:rPr>
        <w:t>ovali v uplynulom roku</w:t>
      </w:r>
      <w:r w:rsidRPr="005A73BA">
        <w:rPr>
          <w:rFonts w:ascii="Times New Roman" w:hAnsi="Times New Roman"/>
          <w:sz w:val="24"/>
          <w:szCs w:val="24"/>
          <w:lang w:eastAsia="sk-SK"/>
        </w:rPr>
        <w:t xml:space="preserve"> sumu vo výške </w:t>
      </w:r>
      <w:r w:rsidRPr="005A73BA" w:rsidR="00082B45">
        <w:rPr>
          <w:rFonts w:ascii="Times New Roman" w:hAnsi="Times New Roman"/>
          <w:sz w:val="24"/>
          <w:szCs w:val="24"/>
          <w:lang w:eastAsia="sk-SK"/>
        </w:rPr>
        <w:t>1</w:t>
      </w:r>
      <w:r w:rsidRPr="005A73BA">
        <w:rPr>
          <w:rFonts w:ascii="Times New Roman" w:hAnsi="Times New Roman"/>
          <w:sz w:val="24"/>
          <w:szCs w:val="24"/>
          <w:lang w:eastAsia="sk-SK"/>
        </w:rPr>
        <w:t xml:space="preserve">03 000 eur. </w:t>
      </w:r>
    </w:p>
    <w:p w:rsidR="003A467A" w:rsidP="00366185">
      <w:pPr>
        <w:bidi w:val="0"/>
        <w:spacing w:after="0" w:line="240" w:lineRule="auto"/>
        <w:jc w:val="both"/>
        <w:rPr>
          <w:rFonts w:ascii="Times New Roman" w:hAnsi="Times New Roman"/>
          <w:sz w:val="24"/>
          <w:szCs w:val="24"/>
          <w:lang w:eastAsia="sk-SK"/>
        </w:rPr>
      </w:pPr>
    </w:p>
    <w:p w:rsidR="00B34F2D" w:rsidP="00366185">
      <w:pPr>
        <w:bidi w:val="0"/>
        <w:spacing w:after="0" w:line="240" w:lineRule="auto"/>
        <w:jc w:val="both"/>
        <w:rPr>
          <w:rFonts w:ascii="Times New Roman" w:hAnsi="Times New Roman"/>
          <w:sz w:val="24"/>
          <w:szCs w:val="24"/>
          <w:lang w:eastAsia="sk-SK"/>
        </w:rPr>
      </w:pPr>
      <w:r w:rsidR="00CA2F73">
        <w:rPr>
          <w:rFonts w:ascii="Times New Roman" w:hAnsi="Times New Roman"/>
          <w:sz w:val="24"/>
          <w:szCs w:val="24"/>
          <w:lang w:eastAsia="sk-SK"/>
        </w:rPr>
        <w:t xml:space="preserve">Z hľadiska zabezpečenia nového systému hodnotenia tvorivej činnosti vysokých škôl sa predpokladá vytvorenie hodnotiacich panelov z medzinárodných expertov. </w:t>
      </w:r>
      <w:r w:rsidR="000D6A15">
        <w:rPr>
          <w:rFonts w:ascii="Times New Roman" w:hAnsi="Times New Roman"/>
          <w:sz w:val="24"/>
          <w:szCs w:val="24"/>
          <w:lang w:eastAsia="sk-SK"/>
        </w:rPr>
        <w:t>V rámci komplexnej akreditácie činností vysokej školy sa hodnotilo 251 oblastí výskumu po jednotlivých súčastiach verejných vysokých škôl. S ohľadom na predpokladanú dobrovoľnosť tohto procesu v ďalšom období a predpokladané  zavedenie nutných podmienok</w:t>
      </w:r>
      <w:r w:rsidR="001F629B">
        <w:rPr>
          <w:rFonts w:ascii="Times New Roman" w:hAnsi="Times New Roman"/>
          <w:sz w:val="24"/>
          <w:szCs w:val="24"/>
          <w:lang w:eastAsia="sk-SK"/>
        </w:rPr>
        <w:t xml:space="preserve">, ktoré je potrebné splniť, </w:t>
      </w:r>
      <w:r w:rsidR="000D6A15">
        <w:rPr>
          <w:rFonts w:ascii="Times New Roman" w:hAnsi="Times New Roman"/>
          <w:sz w:val="24"/>
          <w:szCs w:val="24"/>
          <w:lang w:eastAsia="sk-SK"/>
        </w:rPr>
        <w:t xml:space="preserve">predpokladajme potrebu zabezpečenia hodnotenia v 200 oblastiach výskumu v roku 2021, s prípravnou fázou v roku 2020. </w:t>
      </w:r>
    </w:p>
    <w:p w:rsidR="005D297E" w:rsidP="00366185">
      <w:pPr>
        <w:bidi w:val="0"/>
        <w:spacing w:after="0" w:line="240" w:lineRule="auto"/>
        <w:jc w:val="both"/>
        <w:rPr>
          <w:rFonts w:ascii="Times New Roman" w:hAnsi="Times New Roman"/>
          <w:sz w:val="24"/>
          <w:szCs w:val="24"/>
          <w:lang w:eastAsia="sk-SK"/>
        </w:rPr>
      </w:pPr>
    </w:p>
    <w:p w:rsidR="009B03EE" w:rsidP="00366185">
      <w:pPr>
        <w:bidi w:val="0"/>
        <w:spacing w:after="0" w:line="240" w:lineRule="auto"/>
        <w:jc w:val="both"/>
        <w:rPr>
          <w:rFonts w:ascii="Times New Roman" w:hAnsi="Times New Roman"/>
          <w:sz w:val="24"/>
          <w:szCs w:val="24"/>
          <w:lang w:eastAsia="sk-SK"/>
        </w:rPr>
      </w:pPr>
      <w:r w:rsidR="005D297E">
        <w:rPr>
          <w:rFonts w:ascii="Times New Roman" w:hAnsi="Times New Roman"/>
          <w:sz w:val="24"/>
          <w:szCs w:val="24"/>
          <w:lang w:eastAsia="sk-SK"/>
        </w:rPr>
        <w:t xml:space="preserve">Keďže ide o nový typ aktivity, náklady je možné len odhadnúť. </w:t>
      </w:r>
      <w:r>
        <w:rPr>
          <w:rFonts w:ascii="Times New Roman" w:hAnsi="Times New Roman"/>
          <w:sz w:val="24"/>
          <w:szCs w:val="24"/>
          <w:lang w:eastAsia="sk-SK"/>
        </w:rPr>
        <w:t xml:space="preserve">V uplynulom období sa uskutočnila akreditácia činností SAV, ktorá </w:t>
      </w:r>
      <w:r w:rsidR="001F629B">
        <w:rPr>
          <w:rFonts w:ascii="Times New Roman" w:hAnsi="Times New Roman"/>
          <w:sz w:val="24"/>
          <w:szCs w:val="24"/>
          <w:lang w:eastAsia="sk-SK"/>
        </w:rPr>
        <w:t>má spoločný princíp so zavádzaný</w:t>
      </w:r>
      <w:r>
        <w:rPr>
          <w:rFonts w:ascii="Times New Roman" w:hAnsi="Times New Roman"/>
          <w:sz w:val="24"/>
          <w:szCs w:val="24"/>
          <w:lang w:eastAsia="sk-SK"/>
        </w:rPr>
        <w:t>m hodnotením. Podľa dostupných informácií hodnotenie SAV sa uskutočnilo prostredníctvom troch panelov a </w:t>
      </w:r>
      <w:r w:rsidR="00A452DA">
        <w:rPr>
          <w:rFonts w:ascii="Times New Roman" w:hAnsi="Times New Roman"/>
          <w:sz w:val="24"/>
          <w:szCs w:val="24"/>
          <w:lang w:eastAsia="sk-SK"/>
        </w:rPr>
        <w:t>v</w:t>
      </w:r>
      <w:r>
        <w:rPr>
          <w:rFonts w:ascii="Times New Roman" w:hAnsi="Times New Roman"/>
          <w:sz w:val="24"/>
          <w:szCs w:val="24"/>
          <w:lang w:eastAsia="sk-SK"/>
        </w:rPr>
        <w:t xml:space="preserve"> 55 </w:t>
      </w:r>
      <w:r w:rsidR="00A452DA">
        <w:rPr>
          <w:rFonts w:ascii="Times New Roman" w:hAnsi="Times New Roman"/>
          <w:sz w:val="24"/>
          <w:szCs w:val="24"/>
          <w:lang w:eastAsia="sk-SK"/>
        </w:rPr>
        <w:t>organizáciách</w:t>
      </w:r>
      <w:r>
        <w:rPr>
          <w:rFonts w:ascii="Times New Roman" w:hAnsi="Times New Roman"/>
          <w:sz w:val="24"/>
          <w:szCs w:val="24"/>
          <w:lang w:eastAsia="sk-SK"/>
        </w:rPr>
        <w:t xml:space="preserve"> SAV, pričom panel okrem predsedu pozostával z dvoch stálych expertov  a jedného externého experta. </w:t>
      </w:r>
      <w:r w:rsidRPr="005A73BA">
        <w:rPr>
          <w:rFonts w:ascii="Times New Roman" w:hAnsi="Times New Roman"/>
          <w:sz w:val="24"/>
          <w:szCs w:val="24"/>
          <w:lang w:eastAsia="sk-SK"/>
        </w:rPr>
        <w:t>Náklady na externého experta boli 450 eur za hodnotiacu správu, návrh dennej sadzby v prípade člena panelu bol 450 eur/deň s predpokladaným rozsahom 20 dní a rovnako pre predsedu</w:t>
      </w:r>
      <w:r w:rsidR="00840387">
        <w:rPr>
          <w:rFonts w:ascii="Times New Roman" w:hAnsi="Times New Roman"/>
          <w:sz w:val="24"/>
          <w:szCs w:val="24"/>
          <w:lang w:eastAsia="sk-SK"/>
        </w:rPr>
        <w:t xml:space="preserve"> panelu.</w:t>
      </w:r>
      <w:r w:rsidRPr="005A73BA" w:rsidR="008A4506">
        <w:rPr>
          <w:rFonts w:ascii="Times New Roman" w:hAnsi="Times New Roman"/>
          <w:sz w:val="24"/>
          <w:szCs w:val="24"/>
          <w:lang w:eastAsia="sk-SK"/>
        </w:rPr>
        <w:t xml:space="preserve"> (</w:t>
      </w:r>
      <w:hyperlink r:id="rId6" w:history="1">
        <w:r w:rsidRPr="005A73BA" w:rsidR="00FC1001">
          <w:rPr>
            <w:rStyle w:val="Hyperlink"/>
            <w:rFonts w:ascii="Times New Roman" w:hAnsi="Times New Roman"/>
            <w:sz w:val="24"/>
            <w:szCs w:val="24"/>
            <w:lang w:eastAsia="sk-SK"/>
          </w:rPr>
          <w:t>https://www.sav.sk/index.php?lang=sk&amp;doc=sas-commission&amp;folder_no=405</w:t>
        </w:r>
      </w:hyperlink>
      <w:r w:rsidRPr="005A73BA" w:rsidR="008A4506">
        <w:rPr>
          <w:rFonts w:ascii="Times New Roman" w:hAnsi="Times New Roman"/>
          <w:sz w:val="24"/>
          <w:szCs w:val="24"/>
          <w:lang w:eastAsia="sk-SK"/>
        </w:rPr>
        <w:t>)</w:t>
      </w:r>
      <w:r w:rsidRPr="005A73BA" w:rsidR="00FC1001">
        <w:rPr>
          <w:rFonts w:ascii="Times New Roman" w:hAnsi="Times New Roman"/>
          <w:sz w:val="24"/>
          <w:szCs w:val="24"/>
          <w:lang w:eastAsia="sk-SK"/>
        </w:rPr>
        <w:t xml:space="preserve">. </w:t>
      </w:r>
      <w:r w:rsidRPr="005A73BA" w:rsidR="00712925">
        <w:rPr>
          <w:rFonts w:ascii="Times New Roman" w:hAnsi="Times New Roman"/>
          <w:sz w:val="24"/>
          <w:szCs w:val="24"/>
          <w:lang w:eastAsia="sk-SK"/>
        </w:rPr>
        <w:t>I</w:t>
      </w:r>
      <w:r w:rsidRPr="005A73BA" w:rsidR="00FC1001">
        <w:rPr>
          <w:rFonts w:ascii="Times New Roman" w:hAnsi="Times New Roman"/>
          <w:sz w:val="24"/>
          <w:szCs w:val="24"/>
          <w:lang w:eastAsia="sk-SK"/>
        </w:rPr>
        <w:t xml:space="preserve">nformácia zo SAV hovorí o doterajších nákladoch akreditácie činností SAV </w:t>
      </w:r>
      <w:r w:rsidRPr="005A73BA" w:rsidR="00712925">
        <w:rPr>
          <w:rFonts w:ascii="Times New Roman" w:hAnsi="Times New Roman"/>
          <w:sz w:val="24"/>
          <w:szCs w:val="24"/>
          <w:lang w:eastAsia="sk-SK"/>
        </w:rPr>
        <w:t xml:space="preserve">v období 2012-2015 </w:t>
      </w:r>
      <w:r w:rsidRPr="005A73BA" w:rsidR="00FC1001">
        <w:rPr>
          <w:rFonts w:ascii="Times New Roman" w:hAnsi="Times New Roman"/>
          <w:sz w:val="24"/>
          <w:szCs w:val="24"/>
          <w:lang w:eastAsia="sk-SK"/>
        </w:rPr>
        <w:t>vo výške 215 000 eur.</w:t>
      </w:r>
    </w:p>
    <w:p w:rsidR="009B03EE" w:rsidP="00366185">
      <w:pPr>
        <w:bidi w:val="0"/>
        <w:spacing w:after="0" w:line="240" w:lineRule="auto"/>
        <w:jc w:val="both"/>
        <w:rPr>
          <w:rFonts w:ascii="Times New Roman" w:hAnsi="Times New Roman"/>
          <w:sz w:val="24"/>
          <w:szCs w:val="24"/>
          <w:lang w:eastAsia="sk-SK"/>
        </w:rPr>
      </w:pPr>
    </w:p>
    <w:p w:rsidR="009B03EE" w:rsidRPr="00FB4084" w:rsidP="00366185">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V rámci predpokladanej štruktúry hodnotenia sa uvažuje s piatimi až šiestimi panelmi – umenie, humanitné vedy, spoločenské vedy, technické vedy a prírodné a lekárske vedy. Za</w:t>
      </w:r>
      <w:r w:rsidR="001F629B">
        <w:rPr>
          <w:rFonts w:ascii="Times New Roman" w:hAnsi="Times New Roman"/>
          <w:sz w:val="24"/>
          <w:szCs w:val="24"/>
          <w:lang w:eastAsia="sk-SK"/>
        </w:rPr>
        <w:t> </w:t>
      </w:r>
      <w:r>
        <w:rPr>
          <w:rFonts w:ascii="Times New Roman" w:hAnsi="Times New Roman"/>
          <w:sz w:val="24"/>
          <w:szCs w:val="24"/>
          <w:lang w:eastAsia="sk-SK"/>
        </w:rPr>
        <w:t>predpokladu štvorčlenných</w:t>
      </w:r>
      <w:r w:rsidR="001F629B">
        <w:rPr>
          <w:rFonts w:ascii="Times New Roman" w:hAnsi="Times New Roman"/>
          <w:sz w:val="24"/>
          <w:szCs w:val="24"/>
          <w:lang w:eastAsia="sk-SK"/>
        </w:rPr>
        <w:t xml:space="preserve"> panelov, ktoré budú posudzovať 3 až 4 krát viac inštitúcií (200 hodnotení kontra 55 </w:t>
      </w:r>
      <w:r w:rsidR="00A452DA">
        <w:rPr>
          <w:rFonts w:ascii="Times New Roman" w:hAnsi="Times New Roman"/>
          <w:sz w:val="24"/>
          <w:szCs w:val="24"/>
          <w:lang w:eastAsia="sk-SK"/>
        </w:rPr>
        <w:t>organizácií</w:t>
      </w:r>
      <w:r w:rsidR="001F629B">
        <w:rPr>
          <w:rFonts w:ascii="Times New Roman" w:hAnsi="Times New Roman"/>
          <w:sz w:val="24"/>
          <w:szCs w:val="24"/>
          <w:lang w:eastAsia="sk-SK"/>
        </w:rPr>
        <w:t xml:space="preserve"> SAV)</w:t>
      </w:r>
      <w:r>
        <w:rPr>
          <w:rFonts w:ascii="Times New Roman" w:hAnsi="Times New Roman"/>
          <w:sz w:val="24"/>
          <w:szCs w:val="24"/>
          <w:lang w:eastAsia="sk-SK"/>
        </w:rPr>
        <w:t xml:space="preserve">, </w:t>
      </w:r>
      <w:r w:rsidR="001255EE">
        <w:rPr>
          <w:rFonts w:ascii="Times New Roman" w:hAnsi="Times New Roman"/>
          <w:sz w:val="24"/>
          <w:szCs w:val="24"/>
          <w:lang w:eastAsia="sk-SK"/>
        </w:rPr>
        <w:t>sa dostávame na sumu pri dennej sadzbe 500 eur (pr</w:t>
      </w:r>
      <w:r w:rsidR="001F629B">
        <w:rPr>
          <w:rFonts w:ascii="Times New Roman" w:hAnsi="Times New Roman"/>
          <w:sz w:val="24"/>
          <w:szCs w:val="24"/>
          <w:lang w:eastAsia="sk-SK"/>
        </w:rPr>
        <w:t>edpoklad vyššej ceny v roku 2021): 500 eur * 20</w:t>
      </w:r>
      <w:r w:rsidR="001255EE">
        <w:rPr>
          <w:rFonts w:ascii="Times New Roman" w:hAnsi="Times New Roman"/>
          <w:sz w:val="24"/>
          <w:szCs w:val="24"/>
          <w:lang w:eastAsia="sk-SK"/>
        </w:rPr>
        <w:t xml:space="preserve"> (počet členov</w:t>
      </w:r>
      <w:r w:rsidR="001F629B">
        <w:rPr>
          <w:rFonts w:ascii="Times New Roman" w:hAnsi="Times New Roman"/>
          <w:sz w:val="24"/>
          <w:szCs w:val="24"/>
          <w:lang w:eastAsia="sk-SK"/>
        </w:rPr>
        <w:t xml:space="preserve">  * 5 panelov</w:t>
      </w:r>
      <w:r w:rsidR="00622253">
        <w:rPr>
          <w:rFonts w:ascii="Times New Roman" w:hAnsi="Times New Roman"/>
          <w:sz w:val="24"/>
          <w:szCs w:val="24"/>
          <w:lang w:eastAsia="sk-SK"/>
        </w:rPr>
        <w:t xml:space="preserve">) * 60 dní = </w:t>
      </w:r>
      <w:r w:rsidR="001255EE">
        <w:rPr>
          <w:rFonts w:ascii="Times New Roman" w:hAnsi="Times New Roman"/>
          <w:sz w:val="24"/>
          <w:szCs w:val="24"/>
          <w:lang w:eastAsia="sk-SK"/>
        </w:rPr>
        <w:t>6</w:t>
      </w:r>
      <w:r w:rsidR="00622253">
        <w:rPr>
          <w:rFonts w:ascii="Times New Roman" w:hAnsi="Times New Roman"/>
          <w:sz w:val="24"/>
          <w:szCs w:val="24"/>
          <w:lang w:eastAsia="sk-SK"/>
        </w:rPr>
        <w:t>0</w:t>
      </w:r>
      <w:r w:rsidR="001255EE">
        <w:rPr>
          <w:rFonts w:ascii="Times New Roman" w:hAnsi="Times New Roman"/>
          <w:sz w:val="24"/>
          <w:szCs w:val="24"/>
          <w:lang w:eastAsia="sk-SK"/>
        </w:rPr>
        <w:t>0 000 eur. Okrem toho experti pre jednotlivé hodnotenia pri 200 (hodnotení) * 500  eur (sadzba za hodnotenie externého experta) = 100 000 eur. Celkovo by tak náklady</w:t>
      </w:r>
      <w:r w:rsidR="00622253">
        <w:rPr>
          <w:rFonts w:ascii="Times New Roman" w:hAnsi="Times New Roman"/>
          <w:sz w:val="24"/>
          <w:szCs w:val="24"/>
          <w:lang w:eastAsia="sk-SK"/>
        </w:rPr>
        <w:t xml:space="preserve"> </w:t>
      </w:r>
      <w:r w:rsidRPr="00FB4084" w:rsidR="00622253">
        <w:rPr>
          <w:rFonts w:ascii="Times New Roman" w:hAnsi="Times New Roman"/>
          <w:sz w:val="24"/>
          <w:szCs w:val="24"/>
          <w:lang w:eastAsia="sk-SK"/>
        </w:rPr>
        <w:t>predstavovali 70</w:t>
      </w:r>
      <w:r w:rsidRPr="00FB4084" w:rsidR="001255EE">
        <w:rPr>
          <w:rFonts w:ascii="Times New Roman" w:hAnsi="Times New Roman"/>
          <w:sz w:val="24"/>
          <w:szCs w:val="24"/>
          <w:lang w:eastAsia="sk-SK"/>
        </w:rPr>
        <w:t>0 000 eur. K tomu je potrebné pripočítať cestovné náklady spojené s účasťou na hodnotiacom procese a ďalšiu logistickú podporu zo strany ministerstva. Počítajme s priemernou cenou spiatočnej letenky 400 eur, aspoň so štyrmi vycestovaniami člena panelu v trvaní niekoľkých dní a nákladmi na ubytovanie počas pobytu). 400 eur * 4 (cesty) * 4 (počet panelistov) *  5 (počet panelov)  + 200 (externých hodnotiteľov) * 400 eur * 1 (cesta) = 112 000 eur.</w:t>
      </w:r>
      <w:r w:rsidRPr="00FB4084" w:rsidR="008A4506">
        <w:rPr>
          <w:rFonts w:ascii="Times New Roman" w:hAnsi="Times New Roman"/>
          <w:sz w:val="24"/>
          <w:szCs w:val="24"/>
          <w:lang w:eastAsia="sk-SK"/>
        </w:rPr>
        <w:t xml:space="preserve"> Náklady na ubytovanie 4 (cesty) * 5 (počet nocí) * 60 eur (sadzba) * 4 (počet panelistov) *  5 (počet panelov) + 200 (externých hodnotiteľov) * 2 (počet nocí) * 60 eur = 48 000 eur. Celkovo</w:t>
      </w:r>
      <w:r w:rsidR="008A4506">
        <w:rPr>
          <w:rFonts w:ascii="Times New Roman" w:hAnsi="Times New Roman"/>
          <w:sz w:val="24"/>
          <w:szCs w:val="24"/>
          <w:lang w:eastAsia="sk-SK"/>
        </w:rPr>
        <w:t xml:space="preserve"> tak náklady odhadujeme na </w:t>
      </w:r>
      <w:r w:rsidR="00622253">
        <w:rPr>
          <w:rFonts w:ascii="Times New Roman" w:hAnsi="Times New Roman"/>
          <w:sz w:val="24"/>
          <w:szCs w:val="24"/>
          <w:lang w:eastAsia="sk-SK"/>
        </w:rPr>
        <w:t>86</w:t>
      </w:r>
      <w:r w:rsidR="008A4506">
        <w:rPr>
          <w:rFonts w:ascii="Times New Roman" w:hAnsi="Times New Roman"/>
          <w:sz w:val="24"/>
          <w:szCs w:val="24"/>
          <w:lang w:eastAsia="sk-SK"/>
        </w:rPr>
        <w:t>0 000 eur, po vytvorení rezervy na nečakané</w:t>
      </w:r>
      <w:r w:rsidR="00622253">
        <w:rPr>
          <w:rFonts w:ascii="Times New Roman" w:hAnsi="Times New Roman"/>
          <w:sz w:val="24"/>
          <w:szCs w:val="24"/>
          <w:lang w:eastAsia="sk-SK"/>
        </w:rPr>
        <w:t xml:space="preserve"> výdavky a podobne zaokrúhlene </w:t>
      </w:r>
      <w:r w:rsidR="005E159C">
        <w:rPr>
          <w:rFonts w:ascii="Times New Roman" w:hAnsi="Times New Roman"/>
          <w:sz w:val="24"/>
          <w:szCs w:val="24"/>
          <w:lang w:eastAsia="sk-SK"/>
        </w:rPr>
        <w:t xml:space="preserve"> </w:t>
      </w:r>
      <w:r w:rsidRPr="00FB4084" w:rsidR="00622253">
        <w:rPr>
          <w:rFonts w:ascii="Times New Roman" w:hAnsi="Times New Roman"/>
          <w:b/>
          <w:sz w:val="24"/>
          <w:szCs w:val="24"/>
          <w:lang w:eastAsia="sk-SK"/>
        </w:rPr>
        <w:t>9</w:t>
      </w:r>
      <w:r w:rsidRPr="00FB4084" w:rsidR="008A4506">
        <w:rPr>
          <w:rFonts w:ascii="Times New Roman" w:hAnsi="Times New Roman"/>
          <w:b/>
          <w:sz w:val="24"/>
          <w:szCs w:val="24"/>
          <w:lang w:eastAsia="sk-SK"/>
        </w:rPr>
        <w:t xml:space="preserve">00 </w:t>
      </w:r>
      <w:r w:rsidR="00FB4084">
        <w:rPr>
          <w:rFonts w:ascii="Times New Roman" w:hAnsi="Times New Roman"/>
          <w:b/>
          <w:sz w:val="24"/>
          <w:szCs w:val="24"/>
          <w:lang w:eastAsia="sk-SK"/>
        </w:rPr>
        <w:t>000</w:t>
      </w:r>
      <w:r w:rsidRPr="00FB4084" w:rsidR="008A4506">
        <w:rPr>
          <w:rFonts w:ascii="Times New Roman" w:hAnsi="Times New Roman"/>
          <w:b/>
          <w:sz w:val="24"/>
          <w:szCs w:val="24"/>
          <w:lang w:eastAsia="sk-SK"/>
        </w:rPr>
        <w:t xml:space="preserve"> eur</w:t>
      </w:r>
      <w:r w:rsidR="008A4506">
        <w:rPr>
          <w:rFonts w:ascii="Times New Roman" w:hAnsi="Times New Roman"/>
          <w:sz w:val="24"/>
          <w:szCs w:val="24"/>
          <w:lang w:eastAsia="sk-SK"/>
        </w:rPr>
        <w:t xml:space="preserve">. V nákladoch sa nepočíta s prípravnou fázou samotného procesu hodnotenia, jej vykrytie sa predpokladá v rámci </w:t>
      </w:r>
      <w:r w:rsidRPr="00FB4084" w:rsidR="008A4506">
        <w:rPr>
          <w:rFonts w:ascii="Times New Roman" w:hAnsi="Times New Roman"/>
          <w:sz w:val="24"/>
          <w:szCs w:val="24"/>
          <w:lang w:eastAsia="sk-SK"/>
        </w:rPr>
        <w:t>kalkulovanej rezervy.</w:t>
      </w:r>
    </w:p>
    <w:p w:rsidR="009B03EE" w:rsidRPr="00FB4084" w:rsidP="00366185">
      <w:pPr>
        <w:bidi w:val="0"/>
        <w:spacing w:after="0" w:line="240" w:lineRule="auto"/>
        <w:jc w:val="both"/>
        <w:rPr>
          <w:rFonts w:ascii="Times New Roman" w:hAnsi="Times New Roman"/>
          <w:sz w:val="24"/>
          <w:szCs w:val="24"/>
          <w:lang w:eastAsia="sk-SK"/>
        </w:rPr>
      </w:pPr>
    </w:p>
    <w:p w:rsidR="0080281C" w:rsidRPr="00FB4084" w:rsidP="007D5748">
      <w:pPr>
        <w:tabs>
          <w:tab w:val="num" w:pos="1080"/>
        </w:tabs>
        <w:bidi w:val="0"/>
        <w:spacing w:after="0" w:line="240" w:lineRule="auto"/>
        <w:jc w:val="both"/>
        <w:rPr>
          <w:rFonts w:ascii="Times New Roman" w:hAnsi="Times New Roman"/>
          <w:bCs/>
          <w:sz w:val="24"/>
          <w:szCs w:val="24"/>
          <w:lang w:eastAsia="sk-SK"/>
        </w:rPr>
      </w:pPr>
      <w:r w:rsidRPr="00FB4084" w:rsidR="005E159C">
        <w:rPr>
          <w:rFonts w:ascii="Times New Roman" w:hAnsi="Times New Roman"/>
          <w:bCs/>
          <w:sz w:val="24"/>
          <w:szCs w:val="24"/>
          <w:lang w:eastAsia="sk-SK"/>
        </w:rPr>
        <w:t>Navrhované zavedenie bezplatného štúdia v prípade prekročenia štandardnej dĺžky štúdia v dennej forme o jeden rok</w:t>
      </w:r>
      <w:r w:rsidRPr="00FB4084" w:rsidR="00FB4084">
        <w:rPr>
          <w:rFonts w:ascii="Times New Roman" w:hAnsi="Times New Roman"/>
          <w:bCs/>
          <w:sz w:val="24"/>
          <w:szCs w:val="24"/>
          <w:lang w:eastAsia="sk-SK"/>
        </w:rPr>
        <w:t>,</w:t>
      </w:r>
      <w:r w:rsidRPr="00FB4084" w:rsidR="005E159C">
        <w:rPr>
          <w:rFonts w:ascii="Times New Roman" w:hAnsi="Times New Roman"/>
          <w:bCs/>
          <w:sz w:val="24"/>
          <w:szCs w:val="24"/>
          <w:lang w:eastAsia="sk-SK"/>
        </w:rPr>
        <w:t xml:space="preserve"> ak študent študuje dlhšie z dôvodu účasti na akademickej mobilite v rámci výmenného programu alebo ak mu v poslednom roku štúdia počas štandardnej dĺžky štúdia bolo poskytované sociálne štipendium</w:t>
      </w:r>
      <w:r w:rsidRPr="00FB4084" w:rsidR="00FB4084">
        <w:rPr>
          <w:rFonts w:ascii="Times New Roman" w:hAnsi="Times New Roman"/>
          <w:bCs/>
          <w:sz w:val="24"/>
          <w:szCs w:val="24"/>
          <w:lang w:eastAsia="sk-SK"/>
        </w:rPr>
        <w:t>,</w:t>
      </w:r>
      <w:r w:rsidRPr="00FB4084" w:rsidR="005E159C">
        <w:rPr>
          <w:rFonts w:ascii="Times New Roman" w:hAnsi="Times New Roman"/>
          <w:bCs/>
          <w:sz w:val="24"/>
          <w:szCs w:val="24"/>
          <w:lang w:eastAsia="sk-SK"/>
        </w:rPr>
        <w:t xml:space="preserve"> bude znamenať pokles príjmov verejných vysokých škôl. </w:t>
      </w:r>
      <w:r w:rsidRPr="00FB4084" w:rsidR="00FB4084">
        <w:rPr>
          <w:rFonts w:ascii="Times New Roman" w:hAnsi="Times New Roman"/>
          <w:bCs/>
          <w:sz w:val="24"/>
          <w:szCs w:val="24"/>
          <w:lang w:eastAsia="sk-SK"/>
        </w:rPr>
        <w:t>Aj podľa</w:t>
      </w:r>
      <w:r w:rsidRPr="00FB4084" w:rsidR="00657300">
        <w:rPr>
          <w:rFonts w:ascii="Times New Roman" w:hAnsi="Times New Roman"/>
          <w:bCs/>
          <w:sz w:val="24"/>
          <w:szCs w:val="24"/>
          <w:lang w:eastAsia="sk-SK"/>
        </w:rPr>
        <w:t> doterajšej právnej úprav</w:t>
      </w:r>
      <w:r w:rsidRPr="00FB4084" w:rsidR="00FB4084">
        <w:rPr>
          <w:rFonts w:ascii="Times New Roman" w:hAnsi="Times New Roman"/>
          <w:bCs/>
          <w:sz w:val="24"/>
          <w:szCs w:val="24"/>
          <w:lang w:eastAsia="sk-SK"/>
        </w:rPr>
        <w:t>y</w:t>
      </w:r>
      <w:r w:rsidRPr="00FB4084" w:rsidR="00657300">
        <w:rPr>
          <w:rFonts w:ascii="Times New Roman" w:hAnsi="Times New Roman"/>
          <w:bCs/>
          <w:sz w:val="24"/>
          <w:szCs w:val="24"/>
          <w:lang w:eastAsia="sk-SK"/>
        </w:rPr>
        <w:t xml:space="preserve"> mali </w:t>
      </w:r>
      <w:r w:rsidRPr="00FB4084" w:rsidR="00FB4084">
        <w:rPr>
          <w:rFonts w:ascii="Times New Roman" w:hAnsi="Times New Roman"/>
          <w:bCs/>
          <w:sz w:val="24"/>
          <w:szCs w:val="24"/>
          <w:lang w:eastAsia="sk-SK"/>
        </w:rPr>
        <w:t xml:space="preserve">verejné </w:t>
      </w:r>
      <w:r w:rsidRPr="00FB4084" w:rsidR="00657300">
        <w:rPr>
          <w:rFonts w:ascii="Times New Roman" w:hAnsi="Times New Roman"/>
          <w:bCs/>
          <w:sz w:val="24"/>
          <w:szCs w:val="24"/>
          <w:lang w:eastAsia="sk-SK"/>
        </w:rPr>
        <w:t xml:space="preserve">vysoké školy </w:t>
      </w:r>
      <w:r w:rsidRPr="00FB4084" w:rsidR="00FB4084">
        <w:rPr>
          <w:rFonts w:ascii="Times New Roman" w:hAnsi="Times New Roman"/>
          <w:bCs/>
          <w:sz w:val="24"/>
          <w:szCs w:val="24"/>
          <w:lang w:eastAsia="sk-SK"/>
        </w:rPr>
        <w:t xml:space="preserve">a štátne vysoké školy </w:t>
      </w:r>
      <w:r w:rsidRPr="00FB4084" w:rsidR="00657300">
        <w:rPr>
          <w:rFonts w:ascii="Times New Roman" w:hAnsi="Times New Roman"/>
          <w:bCs/>
          <w:sz w:val="24"/>
          <w:szCs w:val="24"/>
          <w:lang w:eastAsia="sk-SK"/>
        </w:rPr>
        <w:t>možnosť školné v týchto (aj iných) prípadoch</w:t>
      </w:r>
      <w:r w:rsidRPr="00FB4084" w:rsidR="005E159C">
        <w:rPr>
          <w:rFonts w:ascii="Times New Roman" w:hAnsi="Times New Roman"/>
          <w:bCs/>
          <w:sz w:val="24"/>
          <w:szCs w:val="24"/>
          <w:lang w:eastAsia="sk-SK"/>
        </w:rPr>
        <w:t xml:space="preserve"> </w:t>
      </w:r>
      <w:r w:rsidRPr="00FB4084" w:rsidR="00657300">
        <w:rPr>
          <w:rFonts w:ascii="Times New Roman" w:hAnsi="Times New Roman"/>
          <w:bCs/>
          <w:sz w:val="24"/>
          <w:szCs w:val="24"/>
          <w:lang w:eastAsia="sk-SK"/>
        </w:rPr>
        <w:t>študentom odpustiť</w:t>
      </w:r>
      <w:r w:rsidRPr="00FB4084">
        <w:rPr>
          <w:rFonts w:ascii="Times New Roman" w:hAnsi="Times New Roman"/>
          <w:bCs/>
          <w:sz w:val="24"/>
          <w:szCs w:val="24"/>
          <w:lang w:eastAsia="sk-SK"/>
        </w:rPr>
        <w:t xml:space="preserve"> a mnohé túto možnosť využívali</w:t>
      </w:r>
      <w:r w:rsidRPr="00FB4084" w:rsidR="00FB4084">
        <w:rPr>
          <w:rFonts w:ascii="Times New Roman" w:hAnsi="Times New Roman"/>
          <w:bCs/>
          <w:sz w:val="24"/>
          <w:szCs w:val="24"/>
          <w:lang w:eastAsia="sk-SK"/>
        </w:rPr>
        <w:t>.</w:t>
      </w:r>
    </w:p>
    <w:p w:rsidR="00FB4084" w:rsidRPr="00FB4084" w:rsidP="007D5748">
      <w:pPr>
        <w:tabs>
          <w:tab w:val="num" w:pos="1080"/>
        </w:tabs>
        <w:bidi w:val="0"/>
        <w:spacing w:after="0" w:line="240" w:lineRule="auto"/>
        <w:jc w:val="both"/>
        <w:rPr>
          <w:rFonts w:ascii="Times New Roman" w:hAnsi="Times New Roman"/>
          <w:bCs/>
          <w:sz w:val="24"/>
          <w:szCs w:val="24"/>
          <w:lang w:eastAsia="sk-SK"/>
        </w:rPr>
      </w:pPr>
    </w:p>
    <w:p w:rsidR="0040671C" w:rsidRPr="00136B06" w:rsidP="007D5748">
      <w:pPr>
        <w:tabs>
          <w:tab w:val="num" w:pos="1080"/>
        </w:tabs>
        <w:bidi w:val="0"/>
        <w:spacing w:after="0" w:line="240" w:lineRule="auto"/>
        <w:jc w:val="both"/>
        <w:rPr>
          <w:rFonts w:ascii="Times New Roman" w:hAnsi="Times New Roman"/>
          <w:bCs/>
          <w:sz w:val="24"/>
          <w:szCs w:val="24"/>
          <w:lang w:eastAsia="sk-SK"/>
        </w:rPr>
      </w:pPr>
      <w:r w:rsidRPr="00FB4084" w:rsidR="00657300">
        <w:rPr>
          <w:rFonts w:ascii="Times New Roman" w:hAnsi="Times New Roman"/>
          <w:bCs/>
          <w:sz w:val="24"/>
          <w:szCs w:val="24"/>
          <w:lang w:eastAsia="sk-SK"/>
        </w:rPr>
        <w:t>Podľa výročných správ o hospodárení verejné vysoké školy v roku 201</w:t>
      </w:r>
      <w:r w:rsidRPr="00FB4084" w:rsidR="00161A4C">
        <w:rPr>
          <w:rFonts w:ascii="Times New Roman" w:hAnsi="Times New Roman"/>
          <w:bCs/>
          <w:sz w:val="24"/>
          <w:szCs w:val="24"/>
          <w:lang w:eastAsia="sk-SK"/>
        </w:rPr>
        <w:t>6</w:t>
      </w:r>
      <w:r w:rsidRPr="00FB4084" w:rsidR="00657300">
        <w:rPr>
          <w:rFonts w:ascii="Times New Roman" w:hAnsi="Times New Roman"/>
          <w:bCs/>
          <w:sz w:val="24"/>
          <w:szCs w:val="24"/>
          <w:lang w:eastAsia="sk-SK"/>
        </w:rPr>
        <w:t xml:space="preserve"> mali príjmy zo školného za prekročenie štandardnej dĺžky štúdia v sume </w:t>
      </w:r>
      <w:r w:rsidRPr="00FB4084" w:rsidR="00161A4C">
        <w:rPr>
          <w:rFonts w:ascii="Times New Roman" w:hAnsi="Times New Roman"/>
          <w:bCs/>
          <w:sz w:val="24"/>
          <w:szCs w:val="24"/>
          <w:lang w:eastAsia="sk-SK"/>
        </w:rPr>
        <w:t>5,8</w:t>
      </w:r>
      <w:r w:rsidRPr="00FB4084" w:rsidR="00657300">
        <w:rPr>
          <w:rFonts w:ascii="Times New Roman" w:hAnsi="Times New Roman"/>
          <w:bCs/>
          <w:sz w:val="24"/>
          <w:szCs w:val="24"/>
          <w:lang w:eastAsia="sk-SK"/>
        </w:rPr>
        <w:t xml:space="preserve"> mil. eur. Je možné predpokladať, že väčšina z tohto príjmu je práve za prvé prekročenie štandardnej dĺžky štúdia. </w:t>
      </w:r>
      <w:r w:rsidRPr="00FB4084" w:rsidR="000E36F9">
        <w:rPr>
          <w:rFonts w:ascii="Times New Roman" w:hAnsi="Times New Roman"/>
          <w:bCs/>
          <w:sz w:val="24"/>
          <w:szCs w:val="24"/>
          <w:lang w:eastAsia="sk-SK"/>
        </w:rPr>
        <w:t>Odhadom sa p</w:t>
      </w:r>
      <w:r w:rsidRPr="00FB4084" w:rsidR="005E159C">
        <w:rPr>
          <w:rFonts w:ascii="Times New Roman" w:hAnsi="Times New Roman"/>
          <w:bCs/>
          <w:sz w:val="24"/>
          <w:szCs w:val="24"/>
          <w:lang w:eastAsia="sk-SK"/>
        </w:rPr>
        <w:t xml:space="preserve">okles </w:t>
      </w:r>
      <w:r w:rsidRPr="00FB4084" w:rsidR="00FB4084">
        <w:rPr>
          <w:rFonts w:ascii="Times New Roman" w:hAnsi="Times New Roman"/>
          <w:bCs/>
          <w:sz w:val="24"/>
          <w:szCs w:val="24"/>
          <w:lang w:eastAsia="sk-SK"/>
        </w:rPr>
        <w:t xml:space="preserve">príjmov </w:t>
      </w:r>
      <w:r w:rsidRPr="00FB4084" w:rsidR="00AB0984">
        <w:rPr>
          <w:rFonts w:ascii="Times New Roman" w:hAnsi="Times New Roman"/>
          <w:bCs/>
          <w:sz w:val="24"/>
          <w:szCs w:val="24"/>
          <w:lang w:eastAsia="sk-SK"/>
        </w:rPr>
        <w:t xml:space="preserve">predpokladá </w:t>
      </w:r>
      <w:r w:rsidRPr="00FB4084" w:rsidR="00D13C70">
        <w:rPr>
          <w:rFonts w:ascii="Times New Roman" w:hAnsi="Times New Roman"/>
          <w:bCs/>
          <w:sz w:val="24"/>
          <w:szCs w:val="24"/>
          <w:lang w:eastAsia="sk-SK"/>
        </w:rPr>
        <w:t xml:space="preserve">v rozsahu </w:t>
      </w:r>
      <w:r w:rsidRPr="00FB4084" w:rsidR="00136B06">
        <w:rPr>
          <w:rFonts w:ascii="Times New Roman" w:hAnsi="Times New Roman"/>
          <w:bCs/>
          <w:sz w:val="24"/>
          <w:szCs w:val="24"/>
          <w:lang w:eastAsia="sk-SK"/>
        </w:rPr>
        <w:t>25</w:t>
      </w:r>
      <w:r w:rsidRPr="00FB4084" w:rsidR="00AB0984">
        <w:rPr>
          <w:rFonts w:ascii="Times New Roman" w:hAnsi="Times New Roman"/>
          <w:bCs/>
          <w:sz w:val="24"/>
          <w:szCs w:val="24"/>
          <w:lang w:eastAsia="sk-SK"/>
        </w:rPr>
        <w:t xml:space="preserve"> %</w:t>
      </w:r>
      <w:r w:rsidRPr="00FB4084" w:rsidR="00D13C70">
        <w:rPr>
          <w:rFonts w:ascii="Times New Roman" w:hAnsi="Times New Roman"/>
          <w:bCs/>
          <w:sz w:val="24"/>
          <w:szCs w:val="24"/>
          <w:lang w:eastAsia="sk-SK"/>
        </w:rPr>
        <w:t xml:space="preserve"> z uvedenej sumy </w:t>
      </w:r>
      <w:r w:rsidRPr="00FB4084" w:rsidR="00136B06">
        <w:rPr>
          <w:rFonts w:ascii="Times New Roman" w:hAnsi="Times New Roman"/>
          <w:bCs/>
          <w:sz w:val="24"/>
          <w:szCs w:val="24"/>
          <w:lang w:eastAsia="sk-SK"/>
        </w:rPr>
        <w:t>5,8</w:t>
      </w:r>
      <w:r w:rsidRPr="00FB4084" w:rsidR="00D13C70">
        <w:rPr>
          <w:rFonts w:ascii="Times New Roman" w:hAnsi="Times New Roman"/>
          <w:bCs/>
          <w:sz w:val="24"/>
          <w:szCs w:val="24"/>
          <w:lang w:eastAsia="sk-SK"/>
        </w:rPr>
        <w:t xml:space="preserve"> mil. eur</w:t>
      </w:r>
      <w:r w:rsidRPr="00FB4084" w:rsidR="00FB4084">
        <w:rPr>
          <w:rFonts w:ascii="Times New Roman" w:hAnsi="Times New Roman"/>
          <w:bCs/>
          <w:sz w:val="24"/>
          <w:szCs w:val="24"/>
          <w:lang w:eastAsia="sk-SK"/>
        </w:rPr>
        <w:t xml:space="preserve"> (= </w:t>
      </w:r>
      <w:r w:rsidRPr="00FB4084" w:rsidR="00FB4084">
        <w:rPr>
          <w:rFonts w:ascii="Times New Roman" w:hAnsi="Times New Roman"/>
          <w:b/>
          <w:bCs/>
          <w:sz w:val="24"/>
          <w:szCs w:val="24"/>
          <w:lang w:eastAsia="sk-SK"/>
        </w:rPr>
        <w:t>1,45 mil. eur</w:t>
      </w:r>
      <w:r w:rsidRPr="00FB4084" w:rsidR="00FB4084">
        <w:rPr>
          <w:rFonts w:ascii="Times New Roman" w:hAnsi="Times New Roman"/>
          <w:bCs/>
          <w:sz w:val="24"/>
          <w:szCs w:val="24"/>
          <w:lang w:eastAsia="sk-SK"/>
        </w:rPr>
        <w:t>)</w:t>
      </w:r>
      <w:r w:rsidRPr="00FB4084" w:rsidR="00AB0984">
        <w:rPr>
          <w:rFonts w:ascii="Times New Roman" w:hAnsi="Times New Roman"/>
          <w:bCs/>
          <w:sz w:val="24"/>
          <w:szCs w:val="24"/>
          <w:lang w:eastAsia="sk-SK"/>
        </w:rPr>
        <w:t xml:space="preserve">. S ohľadom na klesajúci počet študujúcich sa </w:t>
      </w:r>
      <w:r w:rsidRPr="00FB4084" w:rsidR="000E36F9">
        <w:rPr>
          <w:rFonts w:ascii="Times New Roman" w:hAnsi="Times New Roman"/>
          <w:bCs/>
          <w:sz w:val="24"/>
          <w:szCs w:val="24"/>
          <w:lang w:eastAsia="sk-SK"/>
        </w:rPr>
        <w:t xml:space="preserve">zároveň </w:t>
      </w:r>
      <w:r w:rsidRPr="00FB4084" w:rsidR="00AB0984">
        <w:rPr>
          <w:rFonts w:ascii="Times New Roman" w:hAnsi="Times New Roman"/>
          <w:bCs/>
          <w:sz w:val="24"/>
          <w:szCs w:val="24"/>
          <w:lang w:eastAsia="sk-SK"/>
        </w:rPr>
        <w:t>nepredpokladá nárast počtu platiacich študentov</w:t>
      </w:r>
      <w:r w:rsidRPr="00FB4084" w:rsidR="00136B06">
        <w:rPr>
          <w:rFonts w:ascii="Times New Roman" w:hAnsi="Times New Roman"/>
          <w:bCs/>
          <w:sz w:val="24"/>
          <w:szCs w:val="24"/>
          <w:lang w:eastAsia="sk-SK"/>
        </w:rPr>
        <w:t>.</w:t>
      </w:r>
      <w:r w:rsidRPr="00136B06" w:rsidR="00AB0984">
        <w:rPr>
          <w:rFonts w:ascii="Times New Roman" w:hAnsi="Times New Roman"/>
          <w:bCs/>
          <w:sz w:val="24"/>
          <w:szCs w:val="24"/>
          <w:lang w:eastAsia="sk-SK"/>
        </w:rPr>
        <w:t xml:space="preserve"> </w:t>
      </w:r>
    </w:p>
    <w:p w:rsidR="0040671C" w:rsidP="007D5748">
      <w:pPr>
        <w:tabs>
          <w:tab w:val="num" w:pos="1080"/>
        </w:tabs>
        <w:bidi w:val="0"/>
        <w:spacing w:after="0" w:line="240" w:lineRule="auto"/>
        <w:jc w:val="both"/>
        <w:rPr>
          <w:rFonts w:ascii="Times New Roman" w:hAnsi="Times New Roman"/>
          <w:bCs/>
          <w:sz w:val="24"/>
          <w:szCs w:val="24"/>
          <w:lang w:eastAsia="sk-SK"/>
        </w:rPr>
      </w:pPr>
    </w:p>
    <w:p w:rsidR="000D6A15" w:rsidP="007D5748">
      <w:pPr>
        <w:tabs>
          <w:tab w:val="num" w:pos="1080"/>
        </w:tabs>
        <w:bidi w:val="0"/>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Vplyv na štátne vysoké školy sa nepredpokladá, resp. je zanedbateľný. Vojenské </w:t>
      </w:r>
      <w:r w:rsidR="000E36F9">
        <w:rPr>
          <w:rFonts w:ascii="Times New Roman" w:hAnsi="Times New Roman"/>
          <w:bCs/>
          <w:sz w:val="24"/>
          <w:szCs w:val="24"/>
          <w:lang w:eastAsia="sk-SK"/>
        </w:rPr>
        <w:t xml:space="preserve">vysoké školy </w:t>
      </w:r>
      <w:r>
        <w:rPr>
          <w:rFonts w:ascii="Times New Roman" w:hAnsi="Times New Roman"/>
          <w:bCs/>
          <w:sz w:val="24"/>
          <w:szCs w:val="24"/>
          <w:lang w:eastAsia="sk-SK"/>
        </w:rPr>
        <w:t>a zdravotnícke vysoké školy neuvádzajú v </w:t>
      </w:r>
      <w:r w:rsidR="00344360">
        <w:rPr>
          <w:rFonts w:ascii="Times New Roman" w:hAnsi="Times New Roman"/>
          <w:bCs/>
          <w:sz w:val="24"/>
          <w:szCs w:val="24"/>
          <w:lang w:eastAsia="sk-SK"/>
        </w:rPr>
        <w:t xml:space="preserve">údajoch </w:t>
      </w:r>
      <w:r>
        <w:rPr>
          <w:rFonts w:ascii="Times New Roman" w:hAnsi="Times New Roman"/>
          <w:bCs/>
          <w:sz w:val="24"/>
          <w:szCs w:val="24"/>
          <w:lang w:eastAsia="sk-SK"/>
        </w:rPr>
        <w:t>v centrálnom registri študentov vznik školného z </w:t>
      </w:r>
      <w:r w:rsidR="000E36F9">
        <w:rPr>
          <w:rFonts w:ascii="Times New Roman" w:hAnsi="Times New Roman"/>
          <w:bCs/>
          <w:sz w:val="24"/>
          <w:szCs w:val="24"/>
          <w:lang w:eastAsia="sk-SK"/>
        </w:rPr>
        <w:t>dôvodu</w:t>
      </w:r>
      <w:r>
        <w:rPr>
          <w:rFonts w:ascii="Times New Roman" w:hAnsi="Times New Roman"/>
          <w:bCs/>
          <w:sz w:val="24"/>
          <w:szCs w:val="24"/>
          <w:lang w:eastAsia="sk-SK"/>
        </w:rPr>
        <w:t xml:space="preserve"> prekročenia štandardnej dĺžky štúdia v ostatných dvoch akademických rokoch. Policajné vysoké školy uviedli jednorazovo školné v sume 10 360 eur v akademickom roku 2015/2016</w:t>
      </w:r>
      <w:r w:rsidR="000E36F9">
        <w:rPr>
          <w:rFonts w:ascii="Times New Roman" w:hAnsi="Times New Roman"/>
          <w:bCs/>
          <w:sz w:val="24"/>
          <w:szCs w:val="24"/>
          <w:lang w:eastAsia="sk-SK"/>
        </w:rPr>
        <w:t xml:space="preserve">. Odhad predpokladaného </w:t>
      </w:r>
      <w:r>
        <w:rPr>
          <w:rFonts w:ascii="Times New Roman" w:hAnsi="Times New Roman"/>
          <w:bCs/>
          <w:sz w:val="24"/>
          <w:szCs w:val="24"/>
          <w:lang w:eastAsia="sk-SK"/>
        </w:rPr>
        <w:t>výpadk</w:t>
      </w:r>
      <w:r w:rsidR="000E36F9">
        <w:rPr>
          <w:rFonts w:ascii="Times New Roman" w:hAnsi="Times New Roman"/>
          <w:bCs/>
          <w:sz w:val="24"/>
          <w:szCs w:val="24"/>
          <w:lang w:eastAsia="sk-SK"/>
        </w:rPr>
        <w:t>u</w:t>
      </w:r>
      <w:r>
        <w:rPr>
          <w:rFonts w:ascii="Times New Roman" w:hAnsi="Times New Roman"/>
          <w:bCs/>
          <w:sz w:val="24"/>
          <w:szCs w:val="24"/>
          <w:lang w:eastAsia="sk-SK"/>
        </w:rPr>
        <w:t xml:space="preserve"> školného v ďalších rokoch je tak zanedbateľný.</w:t>
      </w:r>
    </w:p>
    <w:p w:rsidR="007D5748" w:rsidRPr="007D5748" w:rsidP="007D5748">
      <w:pPr>
        <w:tabs>
          <w:tab w:val="num" w:pos="1080"/>
        </w:tabs>
        <w:bidi w:val="0"/>
        <w:spacing w:after="0" w:line="240" w:lineRule="auto"/>
        <w:jc w:val="both"/>
        <w:rPr>
          <w:rFonts w:ascii="Times New Roman" w:hAnsi="Times New Roman"/>
          <w:bCs/>
          <w:sz w:val="24"/>
          <w:szCs w:val="20"/>
          <w:lang w:eastAsia="sk-SK"/>
        </w:rPr>
      </w:pPr>
    </w:p>
    <w:p w:rsidR="004C5FEB" w:rsidP="00AB0984">
      <w:pPr>
        <w:tabs>
          <w:tab w:val="num" w:pos="1080"/>
        </w:tabs>
        <w:bidi w:val="0"/>
        <w:spacing w:after="0" w:line="240" w:lineRule="auto"/>
        <w:rPr>
          <w:rFonts w:ascii="Times New Roman" w:hAnsi="Times New Roman"/>
          <w:bCs/>
          <w:sz w:val="24"/>
          <w:szCs w:val="24"/>
          <w:lang w:eastAsia="sk-SK"/>
        </w:rPr>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lnNumType w:distance="0"/>
          <w:cols w:space="708"/>
          <w:noEndnote w:val="0"/>
          <w:bidi w:val="0"/>
          <w:docGrid w:linePitch="360"/>
        </w:sectPr>
      </w:pPr>
    </w:p>
    <w:p w:rsidR="003A054E" w:rsidP="00D26F84">
      <w:pPr>
        <w:tabs>
          <w:tab w:val="num" w:pos="1080"/>
        </w:tabs>
        <w:bidi w:val="0"/>
        <w:spacing w:after="0" w:line="240" w:lineRule="auto"/>
        <w:rPr>
          <w:rFonts w:ascii="Times New Roman" w:hAnsi="Times New Roman"/>
          <w:bCs/>
          <w:sz w:val="24"/>
          <w:szCs w:val="24"/>
          <w:lang w:eastAsia="sk-SK"/>
        </w:rPr>
      </w:pPr>
    </w:p>
    <w:p w:rsidR="003A054E" w:rsidP="003A054E">
      <w:pPr>
        <w:tabs>
          <w:tab w:val="num" w:pos="1080"/>
        </w:tabs>
        <w:bidi w:val="0"/>
        <w:spacing w:after="0" w:line="240" w:lineRule="auto"/>
        <w:jc w:val="right"/>
        <w:rPr>
          <w:rFonts w:ascii="Times New Roman" w:hAnsi="Times New Roman"/>
          <w:bCs/>
          <w:sz w:val="24"/>
          <w:szCs w:val="24"/>
          <w:lang w:eastAsia="sk-SK"/>
        </w:rPr>
      </w:pPr>
      <w:r w:rsidRPr="007D5748" w:rsidR="00D26F84">
        <w:rPr>
          <w:rFonts w:ascii="Times New Roman" w:hAnsi="Times New Roman"/>
          <w:bCs/>
          <w:sz w:val="24"/>
          <w:szCs w:val="24"/>
          <w:lang w:eastAsia="sk-SK"/>
        </w:rPr>
        <w:t xml:space="preserve">Tabuľka č. 3 </w:t>
      </w:r>
      <w:r w:rsidR="00D26F84">
        <w:rPr>
          <w:rFonts w:ascii="Times New Roman" w:hAnsi="Times New Roman"/>
          <w:bCs/>
          <w:sz w:val="24"/>
          <w:szCs w:val="24"/>
          <w:lang w:eastAsia="sk-SK"/>
        </w:rPr>
        <w:t xml:space="preserve"> </w:t>
      </w:r>
    </w:p>
    <w:p w:rsidR="00D26F84" w:rsidP="00D26F84">
      <w:pPr>
        <w:tabs>
          <w:tab w:val="num" w:pos="1080"/>
        </w:tabs>
        <w:bidi w:val="0"/>
        <w:spacing w:after="0" w:line="240" w:lineRule="auto"/>
        <w:rPr>
          <w:rFonts w:ascii="Times New Roman" w:hAnsi="Times New Roman"/>
          <w:bCs/>
          <w:sz w:val="24"/>
          <w:szCs w:val="24"/>
          <w:lang w:eastAsia="sk-SK"/>
        </w:rPr>
      </w:pPr>
      <w:r>
        <w:rPr>
          <w:rFonts w:ascii="Times New Roman" w:hAnsi="Times New Roman"/>
          <w:bCs/>
          <w:sz w:val="24"/>
          <w:szCs w:val="24"/>
          <w:lang w:eastAsia="sk-SK"/>
        </w:rPr>
        <w:t>Verejné vysoké školy</w:t>
      </w:r>
      <w:r w:rsidRPr="007D5748">
        <w:rPr>
          <w:rFonts w:ascii="Times New Roman" w:hAnsi="Times New Roman"/>
          <w:bCs/>
          <w:sz w:val="24"/>
          <w:szCs w:val="24"/>
          <w:lang w:eastAsia="sk-SK"/>
        </w:rPr>
        <w:t xml:space="preserve"> </w:t>
      </w:r>
      <w:r>
        <w:rPr>
          <w:rFonts w:ascii="Times New Roman" w:hAnsi="Times New Roman"/>
          <w:bCs/>
          <w:sz w:val="24"/>
          <w:szCs w:val="24"/>
          <w:lang w:eastAsia="sk-SK"/>
        </w:rPr>
        <w:t xml:space="preserve">         </w:t>
      </w:r>
    </w:p>
    <w:p w:rsidR="00D26F84" w:rsidP="00D26F84">
      <w:pPr>
        <w:tabs>
          <w:tab w:val="num" w:pos="1080"/>
        </w:tabs>
        <w:bidi w:val="0"/>
        <w:spacing w:after="0" w:line="240" w:lineRule="auto"/>
        <w:rPr>
          <w:rFonts w:ascii="Times New Roman" w:hAnsi="Times New Roman"/>
          <w:bCs/>
          <w:sz w:val="24"/>
          <w:szCs w:val="24"/>
          <w:lang w:eastAsia="sk-SK"/>
        </w:rPr>
      </w:pPr>
      <w:r>
        <w:rPr>
          <w:rFonts w:ascii="Times New Roman" w:hAnsi="Times New Roman"/>
          <w:bCs/>
          <w:sz w:val="24"/>
          <w:szCs w:val="24"/>
          <w:lang w:eastAsia="sk-SK"/>
        </w:rPr>
        <w:t xml:space="preserve">                                                                                                                                                                                   </w:t>
      </w:r>
    </w:p>
    <w:tbl>
      <w:tblPr>
        <w:tblStyle w:val="TableNormal"/>
        <w:tblW w:w="14290" w:type="dxa"/>
        <w:jc w:val="center"/>
        <w:tblCellMar>
          <w:left w:w="70" w:type="dxa"/>
          <w:right w:w="70" w:type="dxa"/>
        </w:tblCellMar>
      </w:tblPr>
      <w:tblGrid>
        <w:gridCol w:w="4950"/>
        <w:gridCol w:w="1500"/>
        <w:gridCol w:w="1500"/>
        <w:gridCol w:w="1500"/>
        <w:gridCol w:w="1500"/>
        <w:gridCol w:w="3340"/>
      </w:tblGrid>
      <w:tr>
        <w:tblPrEx>
          <w:tblW w:w="14290" w:type="dxa"/>
          <w:jc w:val="center"/>
          <w:tblCellMar>
            <w:left w:w="70" w:type="dxa"/>
            <w:right w:w="70" w:type="dxa"/>
          </w:tblCellMar>
        </w:tblPrEx>
        <w:trPr>
          <w:trHeight w:val="255"/>
          <w:jc w:val="center"/>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4290" w:type="dxa"/>
          <w:jc w:val="center"/>
          <w:tblCellMar>
            <w:left w:w="70" w:type="dxa"/>
            <w:right w:w="70" w:type="dxa"/>
          </w:tblCellMar>
        </w:tblPrEx>
        <w:trPr>
          <w:trHeight w:val="255"/>
          <w:jc w:val="center"/>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3A054E">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r w:rsidR="00DF0DB4">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r w:rsidR="00DF0DB4">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r w:rsidR="00DF0DB4">
              <w:rPr>
                <w:rFonts w:ascii="Times New Roman" w:hAnsi="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r w:rsidR="00DF0DB4">
              <w:rPr>
                <w:rFonts w:ascii="Times New Roman" w:hAnsi="Times New Roman"/>
                <w:b/>
                <w:bCs/>
                <w:sz w:val="24"/>
                <w:szCs w:val="24"/>
                <w:lang w:eastAsia="sk-SK"/>
              </w:rPr>
              <w:t>2021</w:t>
            </w:r>
          </w:p>
        </w:tc>
        <w:tc>
          <w:tcPr>
            <w:tcW w:w="334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3A054E">
            <w:pPr>
              <w:bidi w:val="0"/>
              <w:spacing w:after="0" w:line="240" w:lineRule="auto"/>
              <w:rPr>
                <w:rFonts w:ascii="Times New Roman" w:hAnsi="Times New Roman"/>
                <w:b/>
                <w:bCs/>
                <w:color w:val="FFFFFF"/>
                <w:sz w:val="24"/>
                <w:szCs w:val="24"/>
                <w:lang w:eastAsia="sk-SK"/>
              </w:rPr>
            </w:pP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7D5748" w:rsidRPr="007D5748" w:rsidP="003A054E">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7D5748" w:rsidP="003A054E">
            <w:pPr>
              <w:bidi w:val="0"/>
              <w:spacing w:after="0" w:line="240" w:lineRule="auto"/>
              <w:jc w:val="center"/>
              <w:rPr>
                <w:rFonts w:ascii="Times New Roman" w:hAnsi="Times New Roman"/>
                <w:b/>
                <w:bCs/>
                <w:sz w:val="24"/>
                <w:szCs w:val="24"/>
                <w:lang w:eastAsia="sk-SK"/>
              </w:rPr>
            </w:pPr>
          </w:p>
        </w:tc>
        <w:tc>
          <w:tcPr>
            <w:tcW w:w="3340" w:type="dxa"/>
            <w:tcBorders>
              <w:top w:val="nil"/>
              <w:left w:val="nil"/>
              <w:bottom w:val="single" w:sz="4" w:space="0" w:color="auto"/>
              <w:right w:val="single" w:sz="4" w:space="0" w:color="auto"/>
            </w:tcBorders>
            <w:noWrap/>
            <w:textDirection w:val="lrTb"/>
            <w:vAlign w:val="bottom"/>
          </w:tcPr>
          <w:p w:rsidR="007D5748" w:rsidRPr="007D5748" w:rsidP="003A054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AB0984" w:rsidRPr="007D5748" w:rsidP="003A054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sidR="00A07F8C">
              <w:rPr>
                <w:rFonts w:ascii="Times New Roman" w:hAnsi="Times New Roman"/>
                <w:b/>
                <w:bCs/>
                <w:sz w:val="24"/>
                <w:szCs w:val="24"/>
                <w:lang w:eastAsia="sk-SK"/>
              </w:rPr>
              <w:t>- 1 </w:t>
            </w:r>
            <w:r w:rsidR="001434DF">
              <w:rPr>
                <w:rFonts w:ascii="Times New Roman" w:hAnsi="Times New Roman"/>
                <w:b/>
                <w:bCs/>
                <w:sz w:val="24"/>
                <w:szCs w:val="24"/>
                <w:lang w:eastAsia="sk-SK"/>
              </w:rPr>
              <w:t>45</w:t>
            </w:r>
            <w:r w:rsidR="00A07F8C">
              <w:rPr>
                <w:rFonts w:ascii="Times New Roman" w:hAnsi="Times New Roman"/>
                <w:b/>
                <w:bCs/>
                <w:sz w:val="24"/>
                <w:szCs w:val="24"/>
                <w:lang w:eastAsia="sk-SK"/>
              </w:rPr>
              <w:t>0 000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w:t>
            </w:r>
            <w:r w:rsidR="000B7C72">
              <w:rPr>
                <w:rFonts w:ascii="Times New Roman" w:hAnsi="Times New Roman"/>
                <w:b/>
                <w:bCs/>
                <w:sz w:val="24"/>
                <w:szCs w:val="24"/>
                <w:lang w:eastAsia="sk-SK"/>
              </w:rPr>
              <w:t xml:space="preserve"> 1</w:t>
            </w:r>
            <w:r>
              <w:rPr>
                <w:rFonts w:ascii="Times New Roman" w:hAnsi="Times New Roman"/>
                <w:b/>
                <w:bCs/>
                <w:sz w:val="24"/>
                <w:szCs w:val="24"/>
                <w:lang w:eastAsia="sk-SK"/>
              </w:rPr>
              <w:t> </w:t>
            </w:r>
            <w:r w:rsidR="001434DF">
              <w:rPr>
                <w:rFonts w:ascii="Times New Roman" w:hAnsi="Times New Roman"/>
                <w:b/>
                <w:bCs/>
                <w:sz w:val="24"/>
                <w:szCs w:val="24"/>
                <w:lang w:eastAsia="sk-SK"/>
              </w:rPr>
              <w:t>45</w:t>
            </w:r>
            <w:r w:rsidR="001D0C99">
              <w:rPr>
                <w:rFonts w:ascii="Times New Roman" w:hAnsi="Times New Roman"/>
                <w:b/>
                <w:bCs/>
                <w:sz w:val="24"/>
                <w:szCs w:val="24"/>
                <w:lang w:eastAsia="sk-SK"/>
              </w:rPr>
              <w:t>0</w:t>
            </w:r>
            <w:r>
              <w:rPr>
                <w:rFonts w:ascii="Times New Roman" w:hAnsi="Times New Roman"/>
                <w:b/>
                <w:bCs/>
                <w:sz w:val="24"/>
                <w:szCs w:val="24"/>
                <w:lang w:eastAsia="sk-SK"/>
              </w:rPr>
              <w:t xml:space="preserve">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w:t>
            </w:r>
            <w:r w:rsidR="000B7C72">
              <w:rPr>
                <w:rFonts w:ascii="Times New Roman" w:hAnsi="Times New Roman"/>
                <w:b/>
                <w:bCs/>
                <w:sz w:val="24"/>
                <w:szCs w:val="24"/>
                <w:lang w:eastAsia="sk-SK"/>
              </w:rPr>
              <w:t xml:space="preserve"> 1</w:t>
            </w:r>
            <w:r>
              <w:rPr>
                <w:rFonts w:ascii="Times New Roman" w:hAnsi="Times New Roman"/>
                <w:b/>
                <w:bCs/>
                <w:sz w:val="24"/>
                <w:szCs w:val="24"/>
                <w:lang w:eastAsia="sk-SK"/>
              </w:rPr>
              <w:t> </w:t>
            </w:r>
            <w:r w:rsidR="001434DF">
              <w:rPr>
                <w:rFonts w:ascii="Times New Roman" w:hAnsi="Times New Roman"/>
                <w:b/>
                <w:bCs/>
                <w:sz w:val="24"/>
                <w:szCs w:val="24"/>
                <w:lang w:eastAsia="sk-SK"/>
              </w:rPr>
              <w:t>45</w:t>
            </w:r>
            <w:r w:rsidR="001D0C99">
              <w:rPr>
                <w:rFonts w:ascii="Times New Roman" w:hAnsi="Times New Roman"/>
                <w:b/>
                <w:bCs/>
                <w:sz w:val="24"/>
                <w:szCs w:val="24"/>
                <w:lang w:eastAsia="sk-SK"/>
              </w:rPr>
              <w:t>0</w:t>
            </w:r>
            <w:r>
              <w:rPr>
                <w:rFonts w:ascii="Times New Roman" w:hAnsi="Times New Roman"/>
                <w:b/>
                <w:bCs/>
                <w:sz w:val="24"/>
                <w:szCs w:val="24"/>
                <w:lang w:eastAsia="sk-SK"/>
              </w:rPr>
              <w:t xml:space="preserve">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xml:space="preserve">- </w:t>
            </w:r>
            <w:r w:rsidR="000B7C72">
              <w:rPr>
                <w:rFonts w:ascii="Times New Roman" w:hAnsi="Times New Roman"/>
                <w:b/>
                <w:bCs/>
                <w:sz w:val="24"/>
                <w:szCs w:val="24"/>
                <w:lang w:eastAsia="sk-SK"/>
              </w:rPr>
              <w:t>1</w:t>
            </w:r>
            <w:r>
              <w:rPr>
                <w:rFonts w:ascii="Times New Roman" w:hAnsi="Times New Roman"/>
                <w:b/>
                <w:bCs/>
                <w:sz w:val="24"/>
                <w:szCs w:val="24"/>
                <w:lang w:eastAsia="sk-SK"/>
              </w:rPr>
              <w:t> </w:t>
            </w:r>
            <w:r w:rsidR="001434DF">
              <w:rPr>
                <w:rFonts w:ascii="Times New Roman" w:hAnsi="Times New Roman"/>
                <w:b/>
                <w:bCs/>
                <w:sz w:val="24"/>
                <w:szCs w:val="24"/>
                <w:lang w:eastAsia="sk-SK"/>
              </w:rPr>
              <w:t>45</w:t>
            </w:r>
            <w:r w:rsidR="001D0C99">
              <w:rPr>
                <w:rFonts w:ascii="Times New Roman" w:hAnsi="Times New Roman"/>
                <w:b/>
                <w:bCs/>
                <w:sz w:val="24"/>
                <w:szCs w:val="24"/>
                <w:lang w:eastAsia="sk-SK"/>
              </w:rPr>
              <w:t>0</w:t>
            </w:r>
            <w:r>
              <w:rPr>
                <w:rFonts w:ascii="Times New Roman" w:hAnsi="Times New Roman"/>
                <w:b/>
                <w:bCs/>
                <w:sz w:val="24"/>
                <w:szCs w:val="24"/>
                <w:lang w:eastAsia="sk-SK"/>
              </w:rPr>
              <w:t xml:space="preserve"> 000</w:t>
            </w:r>
          </w:p>
        </w:tc>
        <w:tc>
          <w:tcPr>
            <w:tcW w:w="3340" w:type="dxa"/>
            <w:tcBorders>
              <w:top w:val="nil"/>
              <w:left w:val="nil"/>
              <w:bottom w:val="single" w:sz="4" w:space="0" w:color="auto"/>
              <w:right w:val="single" w:sz="4" w:space="0" w:color="auto"/>
            </w:tcBorders>
            <w:noWrap/>
            <w:textDirection w:val="lrTb"/>
            <w:vAlign w:val="bottom"/>
          </w:tcPr>
          <w:p w:rsidR="00AB0984" w:rsidRPr="007D5748" w:rsidP="002E249E">
            <w:pPr>
              <w:bidi w:val="0"/>
              <w:spacing w:after="0" w:line="240" w:lineRule="auto"/>
              <w:rPr>
                <w:rFonts w:ascii="Times New Roman" w:hAnsi="Times New Roman"/>
                <w:sz w:val="24"/>
                <w:szCs w:val="24"/>
                <w:lang w:eastAsia="sk-SK"/>
              </w:rPr>
            </w:pPr>
            <w:r w:rsidRPr="002E249E">
              <w:rPr>
                <w:rFonts w:ascii="Times New Roman" w:hAnsi="Times New Roman"/>
                <w:sz w:val="20"/>
                <w:szCs w:val="24"/>
                <w:lang w:eastAsia="sk-SK"/>
              </w:rPr>
              <w:t xml:space="preserve">Odhadovaný pokles príjmov verejných </w:t>
            </w:r>
            <w:r w:rsidR="00BA53B8">
              <w:rPr>
                <w:rFonts w:ascii="Times New Roman" w:hAnsi="Times New Roman"/>
                <w:sz w:val="20"/>
                <w:szCs w:val="24"/>
                <w:lang w:eastAsia="sk-SK"/>
              </w:rPr>
              <w:t xml:space="preserve">a štátnych </w:t>
            </w:r>
            <w:r w:rsidRPr="002E249E">
              <w:rPr>
                <w:rFonts w:ascii="Times New Roman" w:hAnsi="Times New Roman"/>
                <w:sz w:val="20"/>
                <w:szCs w:val="24"/>
                <w:lang w:eastAsia="sk-SK"/>
              </w:rPr>
              <w:t xml:space="preserve">vysokých škôl </w:t>
            </w:r>
            <w:r w:rsidRPr="002E249E" w:rsidR="00975E17">
              <w:rPr>
                <w:rFonts w:ascii="Times New Roman" w:hAnsi="Times New Roman"/>
                <w:sz w:val="20"/>
                <w:szCs w:val="24"/>
                <w:lang w:eastAsia="sk-SK"/>
              </w:rPr>
              <w:t xml:space="preserve">vzhľadom na navrhované </w:t>
            </w:r>
            <w:r w:rsidRPr="002E249E" w:rsidR="00A50A23">
              <w:rPr>
                <w:rFonts w:ascii="Times New Roman" w:hAnsi="Times New Roman"/>
                <w:sz w:val="20"/>
                <w:szCs w:val="24"/>
                <w:lang w:eastAsia="sk-SK"/>
              </w:rPr>
              <w:t>bezplatné štúdium v prípade prekročenia štandardnej dĺžky štúdia v dennej forme o jeden rok</w:t>
            </w:r>
            <w:r w:rsidRPr="002E249E" w:rsidR="002E249E">
              <w:rPr>
                <w:rFonts w:ascii="Times New Roman" w:hAnsi="Times New Roman"/>
                <w:sz w:val="20"/>
                <w:szCs w:val="24"/>
                <w:lang w:eastAsia="sk-SK"/>
              </w:rPr>
              <w:t xml:space="preserve"> </w:t>
            </w:r>
            <w:r w:rsidRPr="002E249E" w:rsidR="002E249E">
              <w:rPr>
                <w:rFonts w:ascii="Times New Roman" w:hAnsi="Times New Roman"/>
                <w:sz w:val="20"/>
                <w:szCs w:val="24"/>
              </w:rPr>
              <w:t>ak študent študijný program študuje dlhšie ako je jeho štandardná dĺžka štúdia z dôvodu účasti na akademickej mobilite v rámci výmenného programu pri dodržaní podmienok tohto výmenného programu alebo ak mu v poslednom roku štúdia počas štandardnej dĺžky štúdia bolo poskytované sociálne štipendium</w:t>
            </w: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AB0984" w:rsidRPr="007D5748" w:rsidP="003A054E">
            <w:pPr>
              <w:bidi w:val="0"/>
              <w:spacing w:after="0" w:line="240" w:lineRule="auto"/>
              <w:rPr>
                <w:rFonts w:ascii="Times New Roman" w:hAnsi="Times New Roman"/>
                <w:b/>
                <w:bCs/>
                <w:sz w:val="24"/>
                <w:szCs w:val="24"/>
                <w:lang w:eastAsia="sk-SK"/>
              </w:rPr>
            </w:pPr>
            <w:r>
              <w:rPr>
                <w:rFonts w:ascii="Times New Roman" w:hAnsi="Times New Roman"/>
                <w:b/>
                <w:bCs/>
                <w:sz w:val="24"/>
                <w:szCs w:val="24"/>
                <w:lang w:eastAsia="sk-SK"/>
              </w:rPr>
              <w:t>Poplatky a platby z nepriemyselných a náhodného predaja a služieb (223)</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sidR="0040671C">
              <w:rPr>
                <w:rFonts w:ascii="Times New Roman" w:hAnsi="Times New Roman"/>
                <w:b/>
                <w:bCs/>
                <w:sz w:val="24"/>
                <w:szCs w:val="24"/>
                <w:lang w:eastAsia="sk-SK"/>
              </w:rPr>
              <w:t>- 1 </w:t>
            </w:r>
            <w:r w:rsidR="001434DF">
              <w:rPr>
                <w:rFonts w:ascii="Times New Roman" w:hAnsi="Times New Roman"/>
                <w:b/>
                <w:bCs/>
                <w:sz w:val="24"/>
                <w:szCs w:val="24"/>
                <w:lang w:eastAsia="sk-SK"/>
              </w:rPr>
              <w:t>45</w:t>
            </w:r>
            <w:r w:rsidR="0040671C">
              <w:rPr>
                <w:rFonts w:ascii="Times New Roman" w:hAnsi="Times New Roman"/>
                <w:b/>
                <w:bCs/>
                <w:sz w:val="24"/>
                <w:szCs w:val="24"/>
                <w:lang w:eastAsia="sk-SK"/>
              </w:rPr>
              <w:t>0 000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sidR="001434DF">
              <w:rPr>
                <w:rFonts w:ascii="Times New Roman" w:hAnsi="Times New Roman"/>
                <w:b/>
                <w:bCs/>
                <w:sz w:val="24"/>
                <w:szCs w:val="24"/>
                <w:lang w:eastAsia="sk-SK"/>
              </w:rPr>
              <w:t>- 1 45</w:t>
            </w:r>
            <w:r w:rsidR="0040671C">
              <w:rPr>
                <w:rFonts w:ascii="Times New Roman" w:hAnsi="Times New Roman"/>
                <w:b/>
                <w:bCs/>
                <w:sz w:val="24"/>
                <w:szCs w:val="24"/>
                <w:lang w:eastAsia="sk-SK"/>
              </w:rPr>
              <w:t>0 000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sidR="0040671C">
              <w:rPr>
                <w:rFonts w:ascii="Times New Roman" w:hAnsi="Times New Roman"/>
                <w:b/>
                <w:bCs/>
                <w:sz w:val="24"/>
                <w:szCs w:val="24"/>
                <w:lang w:eastAsia="sk-SK"/>
              </w:rPr>
              <w:t>- 1 </w:t>
            </w:r>
            <w:r w:rsidR="001434DF">
              <w:rPr>
                <w:rFonts w:ascii="Times New Roman" w:hAnsi="Times New Roman"/>
                <w:b/>
                <w:bCs/>
                <w:sz w:val="24"/>
                <w:szCs w:val="24"/>
                <w:lang w:eastAsia="sk-SK"/>
              </w:rPr>
              <w:t>45</w:t>
            </w:r>
            <w:r w:rsidR="0040671C">
              <w:rPr>
                <w:rFonts w:ascii="Times New Roman" w:hAnsi="Times New Roman"/>
                <w:b/>
                <w:bCs/>
                <w:sz w:val="24"/>
                <w:szCs w:val="24"/>
                <w:lang w:eastAsia="sk-SK"/>
              </w:rPr>
              <w:t>0 000</w:t>
            </w:r>
          </w:p>
        </w:tc>
        <w:tc>
          <w:tcPr>
            <w:tcW w:w="1500" w:type="dxa"/>
            <w:tcBorders>
              <w:top w:val="nil"/>
              <w:left w:val="nil"/>
              <w:bottom w:val="single" w:sz="4" w:space="0" w:color="auto"/>
              <w:right w:val="single" w:sz="4" w:space="0" w:color="auto"/>
            </w:tcBorders>
            <w:textDirection w:val="lrTb"/>
            <w:vAlign w:val="top"/>
          </w:tcPr>
          <w:p w:rsidR="00AB0984" w:rsidRPr="007D5748" w:rsidP="001434DF">
            <w:pPr>
              <w:bidi w:val="0"/>
              <w:spacing w:after="0" w:line="240" w:lineRule="auto"/>
              <w:jc w:val="center"/>
              <w:rPr>
                <w:rFonts w:ascii="Times New Roman" w:hAnsi="Times New Roman"/>
                <w:b/>
                <w:bCs/>
                <w:sz w:val="24"/>
                <w:szCs w:val="24"/>
                <w:lang w:eastAsia="sk-SK"/>
              </w:rPr>
            </w:pPr>
            <w:r w:rsidR="0040671C">
              <w:rPr>
                <w:rFonts w:ascii="Times New Roman" w:hAnsi="Times New Roman"/>
                <w:b/>
                <w:bCs/>
                <w:sz w:val="24"/>
                <w:szCs w:val="24"/>
                <w:lang w:eastAsia="sk-SK"/>
              </w:rPr>
              <w:t>- 1 </w:t>
            </w:r>
            <w:r w:rsidR="001434DF">
              <w:rPr>
                <w:rFonts w:ascii="Times New Roman" w:hAnsi="Times New Roman"/>
                <w:b/>
                <w:bCs/>
                <w:sz w:val="24"/>
                <w:szCs w:val="24"/>
                <w:lang w:eastAsia="sk-SK"/>
              </w:rPr>
              <w:t>45</w:t>
            </w:r>
            <w:r w:rsidR="0040671C">
              <w:rPr>
                <w:rFonts w:ascii="Times New Roman" w:hAnsi="Times New Roman"/>
                <w:b/>
                <w:bCs/>
                <w:sz w:val="24"/>
                <w:szCs w:val="24"/>
                <w:lang w:eastAsia="sk-SK"/>
              </w:rPr>
              <w:t>0 000</w:t>
            </w:r>
          </w:p>
        </w:tc>
        <w:tc>
          <w:tcPr>
            <w:tcW w:w="3340" w:type="dxa"/>
            <w:tcBorders>
              <w:top w:val="nil"/>
              <w:left w:val="nil"/>
              <w:bottom w:val="single" w:sz="4" w:space="0" w:color="auto"/>
              <w:right w:val="single" w:sz="4" w:space="0" w:color="auto"/>
            </w:tcBorders>
            <w:noWrap/>
            <w:textDirection w:val="lrTb"/>
            <w:vAlign w:val="bottom"/>
          </w:tcPr>
          <w:p w:rsidR="00AB0984" w:rsidRPr="007D5748" w:rsidP="003A054E">
            <w:pPr>
              <w:bidi w:val="0"/>
              <w:spacing w:after="0" w:line="240" w:lineRule="auto"/>
              <w:rPr>
                <w:rFonts w:ascii="Times New Roman" w:hAnsi="Times New Roman"/>
                <w:sz w:val="24"/>
                <w:szCs w:val="24"/>
                <w:lang w:eastAsia="sk-SK"/>
              </w:rPr>
            </w:pP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257026" w:rsidRPr="007D5748" w:rsidP="003A054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p>
        </w:tc>
        <w:tc>
          <w:tcPr>
            <w:tcW w:w="3340" w:type="dxa"/>
            <w:tcBorders>
              <w:top w:val="nil"/>
              <w:left w:val="nil"/>
              <w:bottom w:val="single" w:sz="4" w:space="0" w:color="auto"/>
              <w:right w:val="single" w:sz="4" w:space="0" w:color="auto"/>
            </w:tcBorders>
            <w:noWrap/>
            <w:textDirection w:val="lrTb"/>
            <w:vAlign w:val="bottom"/>
          </w:tcPr>
          <w:p w:rsidR="00257026" w:rsidRPr="007D5748" w:rsidP="003A054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257026" w:rsidRPr="007D5748" w:rsidP="003A054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340" w:type="dxa"/>
            <w:tcBorders>
              <w:top w:val="nil"/>
              <w:left w:val="nil"/>
              <w:bottom w:val="single" w:sz="4" w:space="0" w:color="auto"/>
              <w:right w:val="single" w:sz="4" w:space="0" w:color="auto"/>
            </w:tcBorders>
            <w:noWrap/>
            <w:textDirection w:val="lrTb"/>
            <w:vAlign w:val="bottom"/>
          </w:tcPr>
          <w:p w:rsidR="00257026" w:rsidRPr="007D5748" w:rsidP="003A054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257026" w:rsidRPr="007D5748" w:rsidP="003A054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257026" w:rsidRPr="007D5748" w:rsidP="003A054E">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340" w:type="dxa"/>
            <w:tcBorders>
              <w:top w:val="nil"/>
              <w:left w:val="nil"/>
              <w:bottom w:val="single" w:sz="4" w:space="0" w:color="auto"/>
              <w:right w:val="single" w:sz="4" w:space="0" w:color="auto"/>
            </w:tcBorders>
            <w:noWrap/>
            <w:textDirection w:val="lrTb"/>
            <w:vAlign w:val="bottom"/>
          </w:tcPr>
          <w:p w:rsidR="00257026" w:rsidRPr="007D5748" w:rsidP="003A054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429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1434DF" w:rsidRPr="007D5748" w:rsidP="003A054E">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1434DF" w:rsidRPr="007D5748" w:rsidP="0090308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- 1 450 000</w:t>
            </w:r>
          </w:p>
        </w:tc>
        <w:tc>
          <w:tcPr>
            <w:tcW w:w="1500" w:type="dxa"/>
            <w:tcBorders>
              <w:top w:val="nil"/>
              <w:left w:val="nil"/>
              <w:bottom w:val="single" w:sz="4" w:space="0" w:color="auto"/>
              <w:right w:val="single" w:sz="4" w:space="0" w:color="auto"/>
            </w:tcBorders>
            <w:shd w:val="clear" w:color="auto" w:fill="BFBFBF"/>
            <w:textDirection w:val="lrTb"/>
            <w:vAlign w:val="top"/>
          </w:tcPr>
          <w:p w:rsidR="001434DF" w:rsidRPr="007D5748" w:rsidP="0090308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- 1 450 000</w:t>
            </w:r>
          </w:p>
        </w:tc>
        <w:tc>
          <w:tcPr>
            <w:tcW w:w="1500" w:type="dxa"/>
            <w:tcBorders>
              <w:top w:val="nil"/>
              <w:left w:val="nil"/>
              <w:bottom w:val="single" w:sz="4" w:space="0" w:color="auto"/>
              <w:right w:val="single" w:sz="4" w:space="0" w:color="auto"/>
            </w:tcBorders>
            <w:shd w:val="clear" w:color="auto" w:fill="BFBFBF"/>
            <w:textDirection w:val="lrTb"/>
            <w:vAlign w:val="top"/>
          </w:tcPr>
          <w:p w:rsidR="001434DF" w:rsidRPr="007D5748" w:rsidP="0090308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- 1 450 000</w:t>
            </w:r>
          </w:p>
        </w:tc>
        <w:tc>
          <w:tcPr>
            <w:tcW w:w="1500" w:type="dxa"/>
            <w:tcBorders>
              <w:top w:val="nil"/>
              <w:left w:val="nil"/>
              <w:bottom w:val="single" w:sz="4" w:space="0" w:color="auto"/>
              <w:right w:val="single" w:sz="4" w:space="0" w:color="auto"/>
            </w:tcBorders>
            <w:shd w:val="clear" w:color="auto" w:fill="BFBFBF"/>
            <w:textDirection w:val="lrTb"/>
            <w:vAlign w:val="top"/>
          </w:tcPr>
          <w:p w:rsidR="001434DF" w:rsidRPr="007D5748" w:rsidP="0090308F">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- 1 450 000</w:t>
            </w:r>
          </w:p>
        </w:tc>
        <w:tc>
          <w:tcPr>
            <w:tcW w:w="3340" w:type="dxa"/>
            <w:tcBorders>
              <w:top w:val="nil"/>
              <w:left w:val="nil"/>
              <w:bottom w:val="single" w:sz="4" w:space="0" w:color="auto"/>
              <w:right w:val="single" w:sz="4" w:space="0" w:color="auto"/>
            </w:tcBorders>
            <w:shd w:val="clear" w:color="auto" w:fill="BFBFBF"/>
            <w:noWrap/>
            <w:textDirection w:val="lrTb"/>
            <w:vAlign w:val="bottom"/>
          </w:tcPr>
          <w:p w:rsidR="001434DF" w:rsidRPr="007D5748" w:rsidP="003A054E">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7D5748" w:rsidRPr="007D5748" w:rsidP="007D5748">
      <w:pPr>
        <w:tabs>
          <w:tab w:val="num" w:pos="1080"/>
        </w:tabs>
        <w:bidi w:val="0"/>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7D5748" w:rsidRPr="007D5748" w:rsidP="007D5748">
      <w:pPr>
        <w:tabs>
          <w:tab w:val="num" w:pos="1080"/>
        </w:tabs>
        <w:bidi w:val="0"/>
        <w:spacing w:after="0" w:line="240" w:lineRule="auto"/>
        <w:jc w:val="both"/>
        <w:rPr>
          <w:rFonts w:ascii="Times New Roman" w:hAnsi="Times New Roman"/>
          <w:bCs/>
          <w:sz w:val="24"/>
          <w:szCs w:val="20"/>
          <w:lang w:eastAsia="sk-SK"/>
        </w:rPr>
      </w:pPr>
    </w:p>
    <w:p w:rsidR="007D5748" w:rsidRPr="007D5748" w:rsidP="007D5748">
      <w:pPr>
        <w:tabs>
          <w:tab w:val="num" w:pos="1080"/>
        </w:tabs>
        <w:bidi w:val="0"/>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7D5748" w:rsidRPr="007D5748" w:rsidP="007D5748">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7D5748" w:rsidRPr="007D5748" w:rsidP="007D5748">
      <w:pPr>
        <w:tabs>
          <w:tab w:val="num" w:pos="1080"/>
        </w:tabs>
        <w:bidi w:val="0"/>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7D5748" w:rsidRPr="007D5748" w:rsidP="007D5748">
      <w:pPr>
        <w:tabs>
          <w:tab w:val="num" w:pos="1080"/>
        </w:tabs>
        <w:bidi w:val="0"/>
        <w:spacing w:after="0" w:line="240" w:lineRule="auto"/>
        <w:ind w:right="-578"/>
        <w:jc w:val="right"/>
        <w:rPr>
          <w:rFonts w:ascii="Times New Roman" w:hAnsi="Times New Roman"/>
          <w:bCs/>
          <w:sz w:val="24"/>
          <w:szCs w:val="24"/>
          <w:lang w:eastAsia="sk-SK"/>
        </w:rPr>
      </w:pPr>
    </w:p>
    <w:p w:rsidR="007D5748" w:rsidRPr="007D5748" w:rsidP="007D5748">
      <w:pPr>
        <w:tabs>
          <w:tab w:val="num" w:pos="1080"/>
        </w:tabs>
        <w:bidi w:val="0"/>
        <w:spacing w:after="0" w:line="240" w:lineRule="auto"/>
        <w:ind w:right="-578"/>
        <w:jc w:val="right"/>
        <w:rPr>
          <w:rFonts w:ascii="Times New Roman" w:hAnsi="Times New Roman"/>
          <w:bCs/>
          <w:sz w:val="24"/>
          <w:szCs w:val="24"/>
          <w:lang w:eastAsia="sk-SK"/>
        </w:rPr>
      </w:pPr>
    </w:p>
    <w:p w:rsidR="007D5748" w:rsidRPr="007D5748" w:rsidP="007D5748">
      <w:pPr>
        <w:tabs>
          <w:tab w:val="num" w:pos="1080"/>
        </w:tabs>
        <w:bidi w:val="0"/>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4 </w:t>
      </w:r>
    </w:p>
    <w:p w:rsidR="007D5748" w:rsidP="004F024C">
      <w:pPr>
        <w:tabs>
          <w:tab w:val="num" w:pos="1080"/>
        </w:tabs>
        <w:bidi w:val="0"/>
        <w:spacing w:after="0" w:line="240" w:lineRule="auto"/>
        <w:jc w:val="both"/>
        <w:rPr>
          <w:rStyle w:val="PlaceholderText"/>
        </w:rPr>
      </w:pPr>
      <w:r w:rsidRPr="001D68AA" w:rsidR="004A6D9B">
        <w:rPr>
          <w:rStyle w:val="PlaceholderText"/>
        </w:rPr>
        <w:t>Ministerstv</w:t>
      </w:r>
      <w:r w:rsidR="004A6D9B">
        <w:rPr>
          <w:rStyle w:val="PlaceholderText"/>
        </w:rPr>
        <w:t>o</w:t>
      </w:r>
      <w:r w:rsidRPr="001D68AA" w:rsidR="004A6D9B">
        <w:rPr>
          <w:rStyle w:val="PlaceholderText"/>
        </w:rPr>
        <w:t xml:space="preserve"> školstva, vedy, výskumu a športu SR</w:t>
      </w:r>
    </w:p>
    <w:p w:rsidR="004A6D9B" w:rsidRPr="007D5748" w:rsidP="007D5748">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6449"/>
        <w:gridCol w:w="1843"/>
        <w:gridCol w:w="1701"/>
        <w:gridCol w:w="1559"/>
        <w:gridCol w:w="1418"/>
        <w:gridCol w:w="2480"/>
      </w:tblGrid>
      <w:tr>
        <w:tblPrEx>
          <w:tblW w:w="15450" w:type="dxa"/>
          <w:tblCellMar>
            <w:left w:w="70" w:type="dxa"/>
            <w:right w:w="70" w:type="dxa"/>
          </w:tblCellMar>
        </w:tblPrEx>
        <w:trPr>
          <w:cantSplit/>
          <w:trHeight w:val="255"/>
        </w:trPr>
        <w:tc>
          <w:tcPr>
            <w:tcW w:w="6449"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521"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6449" w:type="dxa"/>
            <w:vMerge/>
            <w:tcBorders>
              <w:top w:val="single" w:sz="4" w:space="0" w:color="auto"/>
              <w:left w:val="single" w:sz="4" w:space="0" w:color="auto"/>
              <w:bottom w:val="single" w:sz="4" w:space="0" w:color="000000"/>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0"/>
                <w:szCs w:val="20"/>
                <w:lang w:eastAsia="sk-SK"/>
              </w:rPr>
            </w:pPr>
          </w:p>
        </w:tc>
        <w:tc>
          <w:tcPr>
            <w:tcW w:w="1843" w:type="dxa"/>
            <w:tcBorders>
              <w:top w:val="nil"/>
              <w:left w:val="nil"/>
              <w:bottom w:val="single" w:sz="4" w:space="0" w:color="auto"/>
              <w:right w:val="single" w:sz="4" w:space="0" w:color="auto"/>
            </w:tcBorders>
            <w:shd w:val="clear" w:color="auto" w:fill="BFBFBF"/>
            <w:textDirection w:val="lrTb"/>
            <w:vAlign w:val="top"/>
          </w:tcPr>
          <w:p w:rsidR="007D5748" w:rsidRPr="00A66747" w:rsidP="007D5748">
            <w:pPr>
              <w:bidi w:val="0"/>
              <w:spacing w:after="0" w:line="240" w:lineRule="auto"/>
              <w:jc w:val="center"/>
              <w:rPr>
                <w:rFonts w:ascii="Times New Roman" w:hAnsi="Times New Roman"/>
                <w:b/>
                <w:bCs/>
                <w:sz w:val="20"/>
                <w:szCs w:val="20"/>
                <w:lang w:eastAsia="sk-SK"/>
              </w:rPr>
            </w:pPr>
            <w:r w:rsidRPr="00A66747" w:rsidR="00A66747">
              <w:rPr>
                <w:rFonts w:ascii="Times New Roman" w:hAnsi="Times New Roman"/>
                <w:b/>
                <w:bCs/>
                <w:sz w:val="20"/>
                <w:szCs w:val="20"/>
                <w:lang w:eastAsia="sk-SK"/>
              </w:rPr>
              <w:t>2018</w:t>
            </w:r>
          </w:p>
        </w:tc>
        <w:tc>
          <w:tcPr>
            <w:tcW w:w="1701" w:type="dxa"/>
            <w:tcBorders>
              <w:top w:val="nil"/>
              <w:left w:val="nil"/>
              <w:bottom w:val="single" w:sz="4" w:space="0" w:color="auto"/>
              <w:right w:val="single" w:sz="4" w:space="0" w:color="auto"/>
            </w:tcBorders>
            <w:shd w:val="clear" w:color="auto" w:fill="BFBFBF"/>
            <w:textDirection w:val="lrTb"/>
            <w:vAlign w:val="top"/>
          </w:tcPr>
          <w:p w:rsidR="007D5748" w:rsidRPr="00A66747" w:rsidP="007D5748">
            <w:pPr>
              <w:bidi w:val="0"/>
              <w:spacing w:after="0" w:line="240" w:lineRule="auto"/>
              <w:jc w:val="center"/>
              <w:rPr>
                <w:rFonts w:ascii="Times New Roman" w:hAnsi="Times New Roman"/>
                <w:b/>
                <w:bCs/>
                <w:sz w:val="20"/>
                <w:szCs w:val="20"/>
                <w:lang w:eastAsia="sk-SK"/>
              </w:rPr>
            </w:pPr>
            <w:r w:rsidRPr="00A66747" w:rsidR="00A66747">
              <w:rPr>
                <w:rFonts w:ascii="Times New Roman" w:hAnsi="Times New Roman"/>
                <w:b/>
                <w:bCs/>
                <w:sz w:val="20"/>
                <w:szCs w:val="20"/>
                <w:lang w:eastAsia="sk-SK"/>
              </w:rPr>
              <w:t>2019</w:t>
            </w:r>
          </w:p>
        </w:tc>
        <w:tc>
          <w:tcPr>
            <w:tcW w:w="1559" w:type="dxa"/>
            <w:tcBorders>
              <w:top w:val="nil"/>
              <w:left w:val="nil"/>
              <w:bottom w:val="single" w:sz="4" w:space="0" w:color="auto"/>
              <w:right w:val="single" w:sz="4" w:space="0" w:color="auto"/>
            </w:tcBorders>
            <w:shd w:val="clear" w:color="auto" w:fill="BFBFBF"/>
            <w:textDirection w:val="lrTb"/>
            <w:vAlign w:val="top"/>
          </w:tcPr>
          <w:p w:rsidR="007D5748" w:rsidRPr="00A66747" w:rsidP="007D5748">
            <w:pPr>
              <w:bidi w:val="0"/>
              <w:spacing w:after="0" w:line="240" w:lineRule="auto"/>
              <w:jc w:val="center"/>
              <w:rPr>
                <w:rFonts w:ascii="Times New Roman" w:hAnsi="Times New Roman"/>
                <w:b/>
                <w:bCs/>
                <w:sz w:val="20"/>
                <w:szCs w:val="20"/>
                <w:lang w:eastAsia="sk-SK"/>
              </w:rPr>
            </w:pPr>
            <w:r w:rsidRPr="00A66747" w:rsidR="00A66747">
              <w:rPr>
                <w:rFonts w:ascii="Times New Roman" w:hAnsi="Times New Roman"/>
                <w:b/>
                <w:bCs/>
                <w:sz w:val="20"/>
                <w:szCs w:val="20"/>
                <w:lang w:eastAsia="sk-SK"/>
              </w:rPr>
              <w:t>2020</w:t>
            </w:r>
          </w:p>
        </w:tc>
        <w:tc>
          <w:tcPr>
            <w:tcW w:w="1418" w:type="dxa"/>
            <w:tcBorders>
              <w:top w:val="nil"/>
              <w:left w:val="nil"/>
              <w:bottom w:val="single" w:sz="4" w:space="0" w:color="auto"/>
              <w:right w:val="single" w:sz="4" w:space="0" w:color="auto"/>
            </w:tcBorders>
            <w:shd w:val="clear" w:color="auto" w:fill="BFBFBF"/>
            <w:textDirection w:val="lrTb"/>
            <w:vAlign w:val="top"/>
          </w:tcPr>
          <w:p w:rsidR="007D5748" w:rsidRPr="00A66747" w:rsidP="007D5748">
            <w:pPr>
              <w:bidi w:val="0"/>
              <w:spacing w:after="0" w:line="240" w:lineRule="auto"/>
              <w:jc w:val="center"/>
              <w:rPr>
                <w:rFonts w:ascii="Times New Roman" w:hAnsi="Times New Roman"/>
                <w:b/>
                <w:bCs/>
                <w:sz w:val="20"/>
                <w:szCs w:val="20"/>
                <w:lang w:eastAsia="sk-SK"/>
              </w:rPr>
            </w:pPr>
            <w:r w:rsidRPr="00A66747" w:rsidR="00A66747">
              <w:rPr>
                <w:rFonts w:ascii="Times New Roman" w:hAnsi="Times New Roman"/>
                <w:b/>
                <w:bCs/>
                <w:sz w:val="20"/>
                <w:szCs w:val="20"/>
                <w:lang w:eastAsia="sk-SK"/>
              </w:rPr>
              <w:t>2021</w:t>
            </w:r>
          </w:p>
        </w:tc>
        <w:tc>
          <w:tcPr>
            <w:tcW w:w="248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7D5748" w:rsidP="007D5748">
            <w:pPr>
              <w:bidi w:val="0"/>
              <w:spacing w:after="0" w:line="240" w:lineRule="auto"/>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713AB" w:rsidRPr="007D5748" w:rsidP="004713AB">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843" w:type="dxa"/>
            <w:tcBorders>
              <w:top w:val="nil"/>
              <w:left w:val="nil"/>
              <w:bottom w:val="single" w:sz="4" w:space="0" w:color="auto"/>
              <w:right w:val="single" w:sz="4" w:space="0" w:color="auto"/>
            </w:tcBorders>
            <w:textDirection w:val="lrTb"/>
            <w:vAlign w:val="top"/>
          </w:tcPr>
          <w:p w:rsidR="004713AB" w:rsidRPr="007D5748" w:rsidP="004713AB">
            <w:pPr>
              <w:bidi w:val="0"/>
              <w:spacing w:after="0" w:line="240" w:lineRule="auto"/>
              <w:jc w:val="center"/>
              <w:rPr>
                <w:rFonts w:ascii="Times New Roman" w:hAnsi="Times New Roman"/>
                <w:b/>
                <w:bCs/>
                <w:sz w:val="20"/>
                <w:szCs w:val="20"/>
                <w:lang w:eastAsia="sk-SK"/>
              </w:rPr>
            </w:pPr>
            <w:r>
              <w:rPr>
                <w:rFonts w:ascii="Times New Roman" w:hAnsi="Times New Roman"/>
                <w:sz w:val="20"/>
                <w:szCs w:val="20"/>
                <w:lang w:eastAsia="sk-SK"/>
              </w:rPr>
              <w:t>0</w:t>
            </w:r>
          </w:p>
        </w:tc>
        <w:tc>
          <w:tcPr>
            <w:tcW w:w="1701" w:type="dxa"/>
            <w:tcBorders>
              <w:top w:val="nil"/>
              <w:left w:val="nil"/>
              <w:bottom w:val="single" w:sz="4" w:space="0" w:color="auto"/>
              <w:right w:val="single" w:sz="4" w:space="0" w:color="auto"/>
            </w:tcBorders>
            <w:textDirection w:val="lrTb"/>
            <w:vAlign w:val="top"/>
          </w:tcPr>
          <w:p w:rsidR="004713AB" w:rsidRPr="007D5748" w:rsidP="004713AB">
            <w:pPr>
              <w:bidi w:val="0"/>
              <w:spacing w:after="0" w:line="240" w:lineRule="auto"/>
              <w:jc w:val="center"/>
              <w:rPr>
                <w:rFonts w:ascii="Times New Roman" w:hAnsi="Times New Roman"/>
                <w:b/>
                <w:bCs/>
                <w:sz w:val="20"/>
                <w:szCs w:val="20"/>
                <w:lang w:eastAsia="sk-SK"/>
              </w:rPr>
            </w:pPr>
            <w:r w:rsidR="00345BC5">
              <w:rPr>
                <w:rFonts w:ascii="Times New Roman" w:hAnsi="Times New Roman"/>
                <w:sz w:val="20"/>
                <w:szCs w:val="20"/>
                <w:lang w:eastAsia="sk-SK"/>
              </w:rPr>
              <w:t>0</w:t>
            </w:r>
          </w:p>
        </w:tc>
        <w:tc>
          <w:tcPr>
            <w:tcW w:w="1559" w:type="dxa"/>
            <w:tcBorders>
              <w:top w:val="nil"/>
              <w:left w:val="nil"/>
              <w:bottom w:val="single" w:sz="4" w:space="0" w:color="auto"/>
              <w:right w:val="single" w:sz="4" w:space="0" w:color="auto"/>
            </w:tcBorders>
            <w:textDirection w:val="lrTb"/>
            <w:vAlign w:val="top"/>
          </w:tcPr>
          <w:p w:rsidR="004713AB" w:rsidRPr="007D5748" w:rsidP="004713AB">
            <w:pPr>
              <w:bidi w:val="0"/>
              <w:spacing w:after="0" w:line="240" w:lineRule="auto"/>
              <w:jc w:val="center"/>
              <w:rPr>
                <w:rFonts w:ascii="Times New Roman" w:hAnsi="Times New Roman"/>
                <w:b/>
                <w:bCs/>
                <w:sz w:val="20"/>
                <w:szCs w:val="20"/>
                <w:lang w:eastAsia="sk-SK"/>
              </w:rPr>
            </w:pPr>
            <w:r w:rsidRPr="00206A1C">
              <w:rPr>
                <w:rFonts w:ascii="Times New Roman" w:hAnsi="Times New Roman"/>
                <w:sz w:val="20"/>
                <w:szCs w:val="20"/>
                <w:lang w:eastAsia="sk-SK"/>
              </w:rPr>
              <w:t>-</w:t>
            </w:r>
            <w:r>
              <w:rPr>
                <w:rFonts w:ascii="Times New Roman" w:hAnsi="Times New Roman"/>
                <w:sz w:val="20"/>
                <w:szCs w:val="20"/>
                <w:lang w:eastAsia="sk-SK"/>
              </w:rPr>
              <w:t xml:space="preserve"> </w:t>
            </w:r>
            <w:r w:rsidRPr="00206A1C">
              <w:rPr>
                <w:rFonts w:ascii="Times New Roman" w:hAnsi="Times New Roman"/>
                <w:sz w:val="20"/>
                <w:szCs w:val="20"/>
                <w:lang w:eastAsia="sk-SK"/>
              </w:rPr>
              <w:t>282 127</w:t>
            </w:r>
          </w:p>
        </w:tc>
        <w:tc>
          <w:tcPr>
            <w:tcW w:w="1418" w:type="dxa"/>
            <w:tcBorders>
              <w:top w:val="nil"/>
              <w:left w:val="nil"/>
              <w:bottom w:val="single" w:sz="4" w:space="0" w:color="auto"/>
              <w:right w:val="single" w:sz="4" w:space="0" w:color="auto"/>
            </w:tcBorders>
            <w:textDirection w:val="lrTb"/>
            <w:vAlign w:val="top"/>
          </w:tcPr>
          <w:p w:rsidR="004713AB" w:rsidRPr="00964795" w:rsidP="004713AB">
            <w:pPr>
              <w:bidi w:val="0"/>
              <w:spacing w:after="0" w:line="240" w:lineRule="auto"/>
              <w:jc w:val="center"/>
              <w:rPr>
                <w:rFonts w:ascii="Times New Roman" w:hAnsi="Times New Roman"/>
                <w:bCs/>
                <w:sz w:val="24"/>
                <w:szCs w:val="24"/>
                <w:lang w:eastAsia="sk-SK"/>
              </w:rPr>
            </w:pPr>
            <w:r w:rsidRPr="00964795">
              <w:rPr>
                <w:rFonts w:ascii="Times New Roman" w:hAnsi="Times New Roman"/>
                <w:bCs/>
                <w:sz w:val="20"/>
                <w:szCs w:val="24"/>
                <w:lang w:eastAsia="sk-SK"/>
              </w:rPr>
              <w:t>+ 617 873</w:t>
            </w:r>
          </w:p>
        </w:tc>
        <w:tc>
          <w:tcPr>
            <w:tcW w:w="2480" w:type="dxa"/>
            <w:tcBorders>
              <w:top w:val="nil"/>
              <w:left w:val="nil"/>
              <w:bottom w:val="single" w:sz="4" w:space="0" w:color="auto"/>
              <w:right w:val="single" w:sz="4" w:space="0" w:color="auto"/>
            </w:tcBorders>
            <w:noWrap/>
            <w:textDirection w:val="lrTb"/>
            <w:vAlign w:val="bottom"/>
          </w:tcPr>
          <w:p w:rsidR="004713AB" w:rsidRPr="007D5748" w:rsidP="004713A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713AB" w:rsidRPr="007D5748" w:rsidP="004713AB">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843"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2480" w:type="dxa"/>
            <w:tcBorders>
              <w:top w:val="nil"/>
              <w:left w:val="nil"/>
              <w:bottom w:val="single" w:sz="4" w:space="0" w:color="auto"/>
              <w:right w:val="single" w:sz="4" w:space="0" w:color="auto"/>
            </w:tcBorders>
            <w:noWrap/>
            <w:textDirection w:val="lrTb"/>
            <w:vAlign w:val="bottom"/>
          </w:tcPr>
          <w:p w:rsidR="004713AB" w:rsidRPr="00581D4B" w:rsidP="004713AB">
            <w:pPr>
              <w:bidi w:val="0"/>
              <w:spacing w:after="0" w:line="240" w:lineRule="auto"/>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713AB" w:rsidRPr="007D5748" w:rsidP="004713AB">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843"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4713AB" w:rsidRPr="001B498F" w:rsidP="004713AB">
            <w:pPr>
              <w:bidi w:val="0"/>
              <w:spacing w:after="0" w:line="240" w:lineRule="auto"/>
              <w:jc w:val="center"/>
              <w:rPr>
                <w:rFonts w:ascii="Times New Roman" w:hAnsi="Times New Roman"/>
                <w:sz w:val="20"/>
                <w:szCs w:val="20"/>
                <w:lang w:eastAsia="sk-SK"/>
              </w:rPr>
            </w:pPr>
          </w:p>
        </w:tc>
        <w:tc>
          <w:tcPr>
            <w:tcW w:w="2480" w:type="dxa"/>
            <w:tcBorders>
              <w:top w:val="nil"/>
              <w:left w:val="nil"/>
              <w:bottom w:val="single" w:sz="4" w:space="0" w:color="auto"/>
              <w:right w:val="single" w:sz="4" w:space="0" w:color="auto"/>
            </w:tcBorders>
            <w:noWrap/>
            <w:textDirection w:val="lrTb"/>
            <w:vAlign w:val="bottom"/>
          </w:tcPr>
          <w:p w:rsidR="004713AB" w:rsidRPr="007D5748" w:rsidP="004713AB">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713AB" w:rsidRPr="007D5748" w:rsidP="004713AB">
            <w:pPr>
              <w:bidi w:val="0"/>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843" w:type="dxa"/>
            <w:tcBorders>
              <w:top w:val="nil"/>
              <w:left w:val="nil"/>
              <w:bottom w:val="single" w:sz="4" w:space="0" w:color="auto"/>
              <w:right w:val="single" w:sz="4" w:space="0" w:color="auto"/>
            </w:tcBorders>
            <w:textDirection w:val="lrTb"/>
            <w:vAlign w:val="top"/>
          </w:tcPr>
          <w:p w:rsidR="004713AB" w:rsidRPr="00206A1C" w:rsidP="004713AB">
            <w:pPr>
              <w:pStyle w:val="ListParagraph"/>
              <w:bidi w:val="0"/>
              <w:spacing w:after="0" w:line="240" w:lineRule="auto"/>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4713AB" w:rsidRPr="00206A1C" w:rsidP="004713AB">
            <w:pPr>
              <w:pStyle w:val="ListParagraph"/>
              <w:bidi w:val="0"/>
              <w:spacing w:after="0" w:line="240" w:lineRule="auto"/>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4"/>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4713AB" w:rsidRPr="00206A1C" w:rsidP="004713AB">
            <w:pPr>
              <w:bidi w:val="0"/>
              <w:spacing w:after="0" w:line="240" w:lineRule="auto"/>
              <w:rPr>
                <w:rFonts w:ascii="Times New Roman" w:hAnsi="Times New Roman"/>
                <w:sz w:val="20"/>
                <w:szCs w:val="24"/>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4713AB" w:rsidRPr="007D5748" w:rsidP="004713AB">
            <w:pPr>
              <w:bidi w:val="0"/>
              <w:spacing w:after="0" w:line="240" w:lineRule="auto"/>
              <w:rPr>
                <w:rFonts w:ascii="Times New Roman" w:hAnsi="Times New Roman"/>
                <w:sz w:val="20"/>
                <w:szCs w:val="20"/>
                <w:lang w:eastAsia="sk-SK"/>
              </w:rPr>
            </w:pPr>
            <w:r>
              <w:rPr>
                <w:rFonts w:ascii="Times New Roman" w:hAnsi="Times New Roman"/>
                <w:sz w:val="20"/>
                <w:szCs w:val="20"/>
                <w:lang w:eastAsia="sk-SK"/>
              </w:rPr>
              <w:t>Služby (637)</w:t>
            </w:r>
          </w:p>
        </w:tc>
        <w:tc>
          <w:tcPr>
            <w:tcW w:w="1843"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0"/>
                <w:szCs w:val="20"/>
                <w:lang w:eastAsia="sk-SK"/>
              </w:rPr>
            </w:pPr>
            <w:r>
              <w:rPr>
                <w:rFonts w:ascii="Times New Roman" w:hAnsi="Times New Roman"/>
                <w:sz w:val="20"/>
                <w:szCs w:val="20"/>
                <w:lang w:eastAsia="sk-SK"/>
              </w:rPr>
              <w:t>0</w:t>
            </w:r>
          </w:p>
        </w:tc>
        <w:tc>
          <w:tcPr>
            <w:tcW w:w="1701"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0"/>
                <w:szCs w:val="20"/>
                <w:lang w:eastAsia="sk-SK"/>
              </w:rPr>
            </w:pPr>
            <w:r w:rsidR="00345BC5">
              <w:rPr>
                <w:rFonts w:ascii="Times New Roman" w:hAnsi="Times New Roman"/>
                <w:sz w:val="20"/>
                <w:szCs w:val="20"/>
                <w:lang w:eastAsia="sk-SK"/>
              </w:rPr>
              <w:t>0</w:t>
            </w:r>
          </w:p>
        </w:tc>
        <w:tc>
          <w:tcPr>
            <w:tcW w:w="1559"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0"/>
                <w:szCs w:val="20"/>
                <w:lang w:eastAsia="sk-SK"/>
              </w:rPr>
            </w:pPr>
            <w:r w:rsidRPr="00206A1C">
              <w:rPr>
                <w:rFonts w:ascii="Times New Roman" w:hAnsi="Times New Roman"/>
                <w:sz w:val="20"/>
                <w:szCs w:val="20"/>
                <w:lang w:eastAsia="sk-SK"/>
              </w:rPr>
              <w:t>-</w:t>
            </w:r>
            <w:r>
              <w:rPr>
                <w:rFonts w:ascii="Times New Roman" w:hAnsi="Times New Roman"/>
                <w:sz w:val="20"/>
                <w:szCs w:val="20"/>
                <w:lang w:eastAsia="sk-SK"/>
              </w:rPr>
              <w:t xml:space="preserve"> </w:t>
            </w:r>
            <w:r w:rsidRPr="00206A1C">
              <w:rPr>
                <w:rFonts w:ascii="Times New Roman" w:hAnsi="Times New Roman"/>
                <w:sz w:val="20"/>
                <w:szCs w:val="20"/>
                <w:lang w:eastAsia="sk-SK"/>
              </w:rPr>
              <w:t>282 127</w:t>
            </w:r>
          </w:p>
        </w:tc>
        <w:tc>
          <w:tcPr>
            <w:tcW w:w="1418" w:type="dxa"/>
            <w:tcBorders>
              <w:top w:val="nil"/>
              <w:left w:val="nil"/>
              <w:bottom w:val="single" w:sz="4" w:space="0" w:color="auto"/>
              <w:right w:val="single" w:sz="4" w:space="0" w:color="auto"/>
            </w:tcBorders>
            <w:textDirection w:val="lrTb"/>
            <w:vAlign w:val="top"/>
          </w:tcPr>
          <w:p w:rsidR="004713AB" w:rsidRPr="00206A1C" w:rsidP="004713AB">
            <w:pPr>
              <w:bidi w:val="0"/>
              <w:spacing w:after="0" w:line="240" w:lineRule="auto"/>
              <w:jc w:val="center"/>
              <w:rPr>
                <w:rFonts w:ascii="Times New Roman" w:hAnsi="Times New Roman"/>
                <w:sz w:val="24"/>
                <w:szCs w:val="24"/>
                <w:lang w:eastAsia="sk-SK"/>
              </w:rPr>
            </w:pPr>
            <w:r w:rsidRPr="00E53375">
              <w:rPr>
                <w:rFonts w:ascii="Times New Roman" w:hAnsi="Times New Roman"/>
                <w:sz w:val="20"/>
                <w:szCs w:val="20"/>
                <w:lang w:eastAsia="sk-SK"/>
              </w:rPr>
              <w:t>-</w:t>
            </w:r>
            <w:r>
              <w:rPr>
                <w:rFonts w:ascii="Times New Roman" w:hAnsi="Times New Roman"/>
                <w:sz w:val="20"/>
                <w:szCs w:val="20"/>
                <w:lang w:eastAsia="sk-SK"/>
              </w:rPr>
              <w:t xml:space="preserve"> </w:t>
            </w:r>
            <w:r w:rsidRPr="00E53375">
              <w:rPr>
                <w:rFonts w:ascii="Times New Roman" w:hAnsi="Times New Roman"/>
                <w:sz w:val="20"/>
                <w:szCs w:val="20"/>
                <w:lang w:eastAsia="sk-SK"/>
              </w:rPr>
              <w:t>282 127</w:t>
            </w:r>
            <w:r w:rsidRPr="00206A1C">
              <w:rPr>
                <w:rFonts w:ascii="Times New Roman" w:hAnsi="Times New Roman"/>
                <w:sz w:val="24"/>
                <w:szCs w:val="24"/>
                <w:lang w:eastAsia="sk-SK"/>
              </w:rPr>
              <w:t xml:space="preserve"> </w:t>
            </w:r>
          </w:p>
        </w:tc>
        <w:tc>
          <w:tcPr>
            <w:tcW w:w="2480" w:type="dxa"/>
            <w:tcBorders>
              <w:top w:val="nil"/>
              <w:left w:val="nil"/>
              <w:bottom w:val="single" w:sz="4" w:space="0" w:color="auto"/>
              <w:right w:val="single" w:sz="4" w:space="0" w:color="auto"/>
            </w:tcBorders>
            <w:noWrap/>
            <w:textDirection w:val="lrTb"/>
            <w:vAlign w:val="bottom"/>
          </w:tcPr>
          <w:p w:rsidR="004713AB" w:rsidRPr="00206A1C" w:rsidP="004713AB">
            <w:pPr>
              <w:bidi w:val="0"/>
              <w:spacing w:after="0" w:line="240" w:lineRule="auto"/>
              <w:rPr>
                <w:rFonts w:ascii="Times New Roman" w:hAnsi="Times New Roman"/>
                <w:sz w:val="20"/>
                <w:szCs w:val="24"/>
                <w:lang w:eastAsia="sk-SK"/>
              </w:rPr>
            </w:pPr>
            <w:r w:rsidRPr="00206A1C">
              <w:rPr>
                <w:rFonts w:ascii="Times New Roman" w:hAnsi="Times New Roman"/>
                <w:sz w:val="20"/>
                <w:szCs w:val="24"/>
                <w:lang w:eastAsia="sk-SK"/>
              </w:rPr>
              <w:t>Rozpočet na činnosť AK</w:t>
            </w:r>
            <w:r w:rsidR="00EE3753">
              <w:rPr>
                <w:rFonts w:ascii="Times New Roman" w:hAnsi="Times New Roman"/>
                <w:sz w:val="20"/>
                <w:szCs w:val="24"/>
                <w:lang w:eastAsia="sk-SK"/>
              </w:rPr>
              <w:t xml:space="preserve"> (úspora bude využitá v rámci MŠVVaŠ SR)</w:t>
            </w:r>
            <w:r>
              <w:rPr>
                <w:rFonts w:ascii="Times New Roman" w:hAnsi="Times New Roman"/>
                <w:sz w:val="20"/>
                <w:szCs w:val="24"/>
                <w:lang w:eastAsia="sk-SK"/>
              </w:rPr>
              <w:t xml:space="preserve"> </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BF651B" w:rsidRPr="007D5748" w:rsidP="00BF651B">
            <w:pPr>
              <w:bidi w:val="0"/>
              <w:spacing w:after="0" w:line="240" w:lineRule="auto"/>
              <w:rPr>
                <w:rFonts w:ascii="Times New Roman" w:hAnsi="Times New Roman"/>
                <w:sz w:val="20"/>
                <w:szCs w:val="20"/>
                <w:lang w:eastAsia="sk-SK"/>
              </w:rPr>
            </w:pPr>
            <w:r>
              <w:rPr>
                <w:rFonts w:ascii="Times New Roman" w:hAnsi="Times New Roman"/>
                <w:sz w:val="20"/>
                <w:szCs w:val="20"/>
                <w:lang w:eastAsia="sk-SK"/>
              </w:rPr>
              <w:t>Služby (637)</w:t>
            </w:r>
          </w:p>
        </w:tc>
        <w:tc>
          <w:tcPr>
            <w:tcW w:w="1843" w:type="dxa"/>
            <w:tcBorders>
              <w:top w:val="nil"/>
              <w:left w:val="nil"/>
              <w:bottom w:val="single" w:sz="4" w:space="0" w:color="auto"/>
              <w:right w:val="single" w:sz="4" w:space="0" w:color="auto"/>
            </w:tcBorders>
            <w:textDirection w:val="lrTb"/>
            <w:vAlign w:val="top"/>
          </w:tcPr>
          <w:p w:rsidR="00BF651B" w:rsidRPr="00206A1C" w:rsidP="00E03622">
            <w:pPr>
              <w:bidi w:val="0"/>
              <w:spacing w:after="0" w:line="240" w:lineRule="auto"/>
              <w:jc w:val="center"/>
              <w:rPr>
                <w:rFonts w:ascii="Times New Roman" w:hAnsi="Times New Roman"/>
                <w:sz w:val="20"/>
                <w:szCs w:val="20"/>
                <w:lang w:eastAsia="sk-SK"/>
              </w:rPr>
            </w:pPr>
            <w:r w:rsidRPr="00206A1C">
              <w:rPr>
                <w:rFonts w:ascii="Times New Roman" w:hAnsi="Times New Roman"/>
                <w:sz w:val="20"/>
                <w:szCs w:val="20"/>
                <w:lang w:eastAsia="sk-SK"/>
              </w:rPr>
              <w:t>0</w:t>
            </w:r>
          </w:p>
        </w:tc>
        <w:tc>
          <w:tcPr>
            <w:tcW w:w="1701" w:type="dxa"/>
            <w:tcBorders>
              <w:top w:val="nil"/>
              <w:left w:val="nil"/>
              <w:bottom w:val="single" w:sz="4" w:space="0" w:color="auto"/>
              <w:right w:val="single" w:sz="4" w:space="0" w:color="auto"/>
            </w:tcBorders>
            <w:textDirection w:val="lrTb"/>
            <w:vAlign w:val="top"/>
          </w:tcPr>
          <w:p w:rsidR="00BF651B" w:rsidRPr="00206A1C" w:rsidP="00E03622">
            <w:pPr>
              <w:bidi w:val="0"/>
              <w:spacing w:after="0" w:line="240" w:lineRule="auto"/>
              <w:jc w:val="center"/>
              <w:rPr>
                <w:rFonts w:ascii="Times New Roman" w:hAnsi="Times New Roman"/>
                <w:sz w:val="20"/>
                <w:szCs w:val="20"/>
                <w:lang w:eastAsia="sk-SK"/>
              </w:rPr>
            </w:pPr>
            <w:r w:rsidRPr="00206A1C">
              <w:rPr>
                <w:rFonts w:ascii="Times New Roman" w:hAnsi="Times New Roman"/>
                <w:sz w:val="20"/>
                <w:szCs w:val="20"/>
                <w:lang w:eastAsia="sk-SK"/>
              </w:rPr>
              <w:t>0</w:t>
            </w:r>
          </w:p>
        </w:tc>
        <w:tc>
          <w:tcPr>
            <w:tcW w:w="1559" w:type="dxa"/>
            <w:tcBorders>
              <w:top w:val="nil"/>
              <w:left w:val="nil"/>
              <w:bottom w:val="single" w:sz="4" w:space="0" w:color="auto"/>
              <w:right w:val="single" w:sz="4" w:space="0" w:color="auto"/>
            </w:tcBorders>
            <w:textDirection w:val="lrTb"/>
            <w:vAlign w:val="top"/>
          </w:tcPr>
          <w:p w:rsidR="00BF651B" w:rsidRPr="00206A1C" w:rsidP="00E03622">
            <w:pPr>
              <w:bidi w:val="0"/>
              <w:spacing w:after="0" w:line="240" w:lineRule="auto"/>
              <w:jc w:val="center"/>
              <w:rPr>
                <w:rFonts w:ascii="Times New Roman" w:hAnsi="Times New Roman"/>
                <w:sz w:val="20"/>
                <w:szCs w:val="20"/>
                <w:lang w:eastAsia="sk-SK"/>
              </w:rPr>
            </w:pPr>
            <w:r w:rsidRPr="00206A1C">
              <w:rPr>
                <w:rFonts w:ascii="Times New Roman" w:hAnsi="Times New Roman"/>
                <w:sz w:val="20"/>
                <w:szCs w:val="20"/>
                <w:lang w:eastAsia="sk-SK"/>
              </w:rPr>
              <w:t>0</w:t>
            </w:r>
          </w:p>
        </w:tc>
        <w:tc>
          <w:tcPr>
            <w:tcW w:w="1418" w:type="dxa"/>
            <w:tcBorders>
              <w:top w:val="nil"/>
              <w:left w:val="nil"/>
              <w:bottom w:val="single" w:sz="4" w:space="0" w:color="auto"/>
              <w:right w:val="single" w:sz="4" w:space="0" w:color="auto"/>
            </w:tcBorders>
            <w:textDirection w:val="lrTb"/>
            <w:vAlign w:val="top"/>
          </w:tcPr>
          <w:p w:rsidR="00BF651B" w:rsidRPr="00206A1C" w:rsidP="00BF651B">
            <w:pPr>
              <w:bidi w:val="0"/>
              <w:spacing w:after="0" w:line="240" w:lineRule="auto"/>
              <w:jc w:val="center"/>
              <w:rPr>
                <w:rFonts w:ascii="Times New Roman" w:hAnsi="Times New Roman"/>
                <w:sz w:val="24"/>
                <w:szCs w:val="24"/>
                <w:lang w:eastAsia="sk-SK"/>
              </w:rPr>
            </w:pPr>
            <w:r w:rsidRPr="00E53375">
              <w:rPr>
                <w:rFonts w:ascii="Times New Roman" w:hAnsi="Times New Roman"/>
                <w:sz w:val="20"/>
                <w:szCs w:val="20"/>
                <w:lang w:eastAsia="sk-SK"/>
              </w:rPr>
              <w:t>+ 900 000</w:t>
            </w:r>
          </w:p>
        </w:tc>
        <w:tc>
          <w:tcPr>
            <w:tcW w:w="2480" w:type="dxa"/>
            <w:tcBorders>
              <w:top w:val="nil"/>
              <w:left w:val="nil"/>
              <w:bottom w:val="single" w:sz="4" w:space="0" w:color="auto"/>
              <w:right w:val="single" w:sz="4" w:space="0" w:color="auto"/>
            </w:tcBorders>
            <w:noWrap/>
            <w:textDirection w:val="lrTb"/>
            <w:vAlign w:val="bottom"/>
          </w:tcPr>
          <w:p w:rsidR="00BF651B" w:rsidRPr="00206A1C" w:rsidP="00BF651B">
            <w:pPr>
              <w:bidi w:val="0"/>
              <w:spacing w:after="0" w:line="240" w:lineRule="auto"/>
              <w:rPr>
                <w:rFonts w:ascii="Times New Roman" w:hAnsi="Times New Roman"/>
                <w:sz w:val="24"/>
                <w:szCs w:val="24"/>
                <w:lang w:eastAsia="sk-SK"/>
              </w:rPr>
            </w:pPr>
            <w:r w:rsidRPr="00206A1C">
              <w:rPr>
                <w:rFonts w:ascii="Times New Roman" w:hAnsi="Times New Roman"/>
                <w:sz w:val="20"/>
                <w:szCs w:val="24"/>
                <w:lang w:eastAsia="sk-SK"/>
              </w:rPr>
              <w:t xml:space="preserve">Náklady na zabezpečenie hodnotenia tvorivej </w:t>
            </w:r>
            <w:r w:rsidRPr="00235ADD">
              <w:rPr>
                <w:rFonts w:ascii="Times New Roman" w:hAnsi="Times New Roman"/>
                <w:sz w:val="20"/>
                <w:szCs w:val="20"/>
                <w:lang w:eastAsia="sk-SK"/>
              </w:rPr>
              <w:t>činnosti</w:t>
            </w:r>
            <w:r w:rsidRPr="00235ADD" w:rsidR="00235ADD">
              <w:rPr>
                <w:rFonts w:ascii="Times New Roman" w:hAnsi="Times New Roman"/>
                <w:sz w:val="20"/>
                <w:szCs w:val="20"/>
                <w:lang w:eastAsia="sk-SK"/>
              </w:rPr>
              <w:t xml:space="preserve">  vysokých škôl</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277477" w:rsidRPr="007D5748" w:rsidP="00BF651B">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843" w:type="dxa"/>
            <w:tcBorders>
              <w:top w:val="nil"/>
              <w:left w:val="nil"/>
              <w:bottom w:val="single" w:sz="4" w:space="0" w:color="auto"/>
              <w:right w:val="single" w:sz="4" w:space="0" w:color="auto"/>
            </w:tcBorders>
            <w:textDirection w:val="lrTb"/>
            <w:vAlign w:val="center"/>
          </w:tcPr>
          <w:p w:rsidR="00277477" w:rsidRPr="007D5748" w:rsidP="000C63B8">
            <w:pPr>
              <w:bidi w:val="0"/>
              <w:spacing w:after="0" w:line="240" w:lineRule="auto"/>
              <w:jc w:val="center"/>
              <w:rPr>
                <w:rFonts w:ascii="Times New Roman" w:hAnsi="Times New Roman"/>
                <w:sz w:val="24"/>
                <w:szCs w:val="24"/>
                <w:lang w:eastAsia="sk-SK"/>
              </w:rPr>
            </w:pPr>
          </w:p>
        </w:tc>
        <w:tc>
          <w:tcPr>
            <w:tcW w:w="1701" w:type="dxa"/>
            <w:tcBorders>
              <w:top w:val="nil"/>
              <w:left w:val="nil"/>
              <w:bottom w:val="single" w:sz="4" w:space="0" w:color="auto"/>
              <w:right w:val="single" w:sz="4" w:space="0" w:color="auto"/>
            </w:tcBorders>
            <w:textDirection w:val="lrTb"/>
            <w:vAlign w:val="center"/>
          </w:tcPr>
          <w:p w:rsidR="00277477" w:rsidRPr="007D5748" w:rsidP="000C63B8">
            <w:pPr>
              <w:bidi w:val="0"/>
              <w:spacing w:after="0" w:line="240" w:lineRule="auto"/>
              <w:jc w:val="center"/>
              <w:rPr>
                <w:rFonts w:ascii="Times New Roman" w:hAnsi="Times New Roman"/>
                <w:sz w:val="24"/>
                <w:szCs w:val="24"/>
                <w:lang w:eastAsia="sk-SK"/>
              </w:rPr>
            </w:pPr>
          </w:p>
        </w:tc>
        <w:tc>
          <w:tcPr>
            <w:tcW w:w="1559" w:type="dxa"/>
            <w:tcBorders>
              <w:top w:val="nil"/>
              <w:left w:val="nil"/>
              <w:bottom w:val="single" w:sz="4" w:space="0" w:color="auto"/>
              <w:right w:val="single" w:sz="4" w:space="0" w:color="auto"/>
            </w:tcBorders>
            <w:textDirection w:val="lrTb"/>
            <w:vAlign w:val="center"/>
          </w:tcPr>
          <w:p w:rsidR="00277477" w:rsidRPr="007D5748" w:rsidP="000C63B8">
            <w:pPr>
              <w:bidi w:val="0"/>
              <w:spacing w:after="0" w:line="240" w:lineRule="auto"/>
              <w:jc w:val="center"/>
              <w:rPr>
                <w:rFonts w:ascii="Times New Roman" w:hAnsi="Times New Roman"/>
                <w:sz w:val="24"/>
                <w:szCs w:val="24"/>
                <w:lang w:eastAsia="sk-SK"/>
              </w:rPr>
            </w:pPr>
          </w:p>
        </w:tc>
        <w:tc>
          <w:tcPr>
            <w:tcW w:w="1418" w:type="dxa"/>
            <w:tcBorders>
              <w:top w:val="nil"/>
              <w:left w:val="nil"/>
              <w:bottom w:val="single" w:sz="4" w:space="0" w:color="auto"/>
              <w:right w:val="single" w:sz="4" w:space="0" w:color="auto"/>
            </w:tcBorders>
            <w:textDirection w:val="lrTb"/>
            <w:vAlign w:val="center"/>
          </w:tcPr>
          <w:p w:rsidR="00277477" w:rsidRPr="000E0D19" w:rsidP="000C63B8">
            <w:pPr>
              <w:bidi w:val="0"/>
              <w:spacing w:after="0" w:line="240" w:lineRule="auto"/>
              <w:jc w:val="center"/>
              <w:rPr>
                <w:rFonts w:ascii="Times New Roman" w:hAnsi="Times New Roman"/>
                <w:sz w:val="20"/>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277477" w:rsidRPr="007D5748" w:rsidP="00C75B24">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center"/>
          </w:tcPr>
          <w:p w:rsidR="00277477" w:rsidRPr="007D5748" w:rsidP="00BF651B">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843"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4"/>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277477" w:rsidRPr="007D5748" w:rsidP="00BF651B">
            <w:pPr>
              <w:bidi w:val="0"/>
              <w:spacing w:after="0" w:line="240" w:lineRule="auto"/>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277477" w:rsidRPr="007D5748" w:rsidP="00BF651B">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843"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b/>
                <w:bCs/>
                <w:sz w:val="24"/>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277477" w:rsidRPr="007D5748" w:rsidP="00BF651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277477" w:rsidRPr="007D5748" w:rsidP="00BF651B">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843"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4"/>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277477" w:rsidRPr="007D5748" w:rsidP="00BF651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277477" w:rsidRPr="007D5748" w:rsidP="00BF651B">
            <w:pPr>
              <w:bidi w:val="0"/>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843"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701"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559"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textDirection w:val="lrTb"/>
            <w:vAlign w:val="top"/>
          </w:tcPr>
          <w:p w:rsidR="00277477" w:rsidRPr="007D5748" w:rsidP="00BF651B">
            <w:pPr>
              <w:bidi w:val="0"/>
              <w:spacing w:after="0" w:line="240" w:lineRule="auto"/>
              <w:jc w:val="center"/>
              <w:rPr>
                <w:rFonts w:ascii="Times New Roman" w:hAnsi="Times New Roman"/>
                <w:sz w:val="24"/>
                <w:szCs w:val="24"/>
                <w:lang w:eastAsia="sk-SK"/>
              </w:rPr>
            </w:pPr>
          </w:p>
        </w:tc>
        <w:tc>
          <w:tcPr>
            <w:tcW w:w="2480" w:type="dxa"/>
            <w:tcBorders>
              <w:top w:val="nil"/>
              <w:left w:val="nil"/>
              <w:bottom w:val="single" w:sz="4" w:space="0" w:color="auto"/>
              <w:right w:val="single" w:sz="4" w:space="0" w:color="auto"/>
            </w:tcBorders>
            <w:noWrap/>
            <w:textDirection w:val="lrTb"/>
            <w:vAlign w:val="bottom"/>
          </w:tcPr>
          <w:p w:rsidR="00277477" w:rsidRPr="007D5748" w:rsidP="00BF651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449" w:type="dxa"/>
            <w:tcBorders>
              <w:top w:val="nil"/>
              <w:left w:val="single" w:sz="4" w:space="0" w:color="auto"/>
              <w:bottom w:val="single" w:sz="4" w:space="0" w:color="auto"/>
              <w:right w:val="single" w:sz="4" w:space="0" w:color="auto"/>
            </w:tcBorders>
            <w:textDirection w:val="lrTb"/>
            <w:vAlign w:val="top"/>
          </w:tcPr>
          <w:p w:rsidR="00277477" w:rsidRPr="007D5748" w:rsidP="00BF651B">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843" w:type="dxa"/>
            <w:tcBorders>
              <w:top w:val="nil"/>
              <w:left w:val="nil"/>
              <w:bottom w:val="single" w:sz="4" w:space="0" w:color="auto"/>
              <w:right w:val="single" w:sz="4" w:space="0" w:color="auto"/>
            </w:tcBorders>
            <w:shd w:val="clear" w:color="auto" w:fill="FFFF99"/>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701" w:type="dxa"/>
            <w:tcBorders>
              <w:top w:val="nil"/>
              <w:left w:val="nil"/>
              <w:bottom w:val="single" w:sz="4" w:space="0" w:color="auto"/>
              <w:right w:val="single" w:sz="4" w:space="0" w:color="auto"/>
            </w:tcBorders>
            <w:shd w:val="clear" w:color="auto" w:fill="FFFF99"/>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59" w:type="dxa"/>
            <w:tcBorders>
              <w:top w:val="nil"/>
              <w:left w:val="nil"/>
              <w:bottom w:val="single" w:sz="4" w:space="0" w:color="auto"/>
              <w:right w:val="single" w:sz="4" w:space="0" w:color="auto"/>
            </w:tcBorders>
            <w:shd w:val="clear" w:color="auto" w:fill="FFFF99"/>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418" w:type="dxa"/>
            <w:tcBorders>
              <w:top w:val="nil"/>
              <w:left w:val="nil"/>
              <w:bottom w:val="single" w:sz="4" w:space="0" w:color="auto"/>
              <w:right w:val="single" w:sz="4" w:space="0" w:color="auto"/>
            </w:tcBorders>
            <w:shd w:val="clear" w:color="auto" w:fill="FFFF99"/>
            <w:textDirection w:val="lrTb"/>
            <w:vAlign w:val="top"/>
          </w:tcPr>
          <w:p w:rsidR="00277477" w:rsidRPr="007D5748" w:rsidP="00BF651B">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480" w:type="dxa"/>
            <w:tcBorders>
              <w:top w:val="nil"/>
              <w:left w:val="nil"/>
              <w:bottom w:val="single" w:sz="4" w:space="0" w:color="auto"/>
              <w:right w:val="single" w:sz="4" w:space="0" w:color="auto"/>
            </w:tcBorders>
            <w:noWrap/>
            <w:textDirection w:val="lrTb"/>
            <w:vAlign w:val="bottom"/>
          </w:tcPr>
          <w:p w:rsidR="00277477" w:rsidRPr="007D5748" w:rsidP="00BF651B">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50" w:type="dxa"/>
          <w:tblCellMar>
            <w:left w:w="70" w:type="dxa"/>
            <w:right w:w="70" w:type="dxa"/>
          </w:tblCellMar>
        </w:tblPrEx>
        <w:trPr>
          <w:trHeight w:val="255"/>
        </w:trPr>
        <w:tc>
          <w:tcPr>
            <w:tcW w:w="6449"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77477" w:rsidRPr="007D5748" w:rsidP="00BF651B">
            <w:pPr>
              <w:bidi w:val="0"/>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843" w:type="dxa"/>
            <w:tcBorders>
              <w:top w:val="single" w:sz="4" w:space="0" w:color="auto"/>
              <w:left w:val="nil"/>
              <w:bottom w:val="single" w:sz="4" w:space="0" w:color="auto"/>
              <w:right w:val="single" w:sz="4" w:space="0" w:color="auto"/>
            </w:tcBorders>
            <w:shd w:val="clear" w:color="auto" w:fill="BFBFBF"/>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00B5223D">
              <w:rPr>
                <w:rFonts w:ascii="Times New Roman" w:hAnsi="Times New Roman"/>
                <w:b/>
                <w:bCs/>
                <w:sz w:val="20"/>
                <w:szCs w:val="20"/>
                <w:lang w:eastAsia="sk-SK"/>
              </w:rPr>
              <w:t>0</w:t>
            </w:r>
          </w:p>
        </w:tc>
        <w:tc>
          <w:tcPr>
            <w:tcW w:w="1701" w:type="dxa"/>
            <w:tcBorders>
              <w:top w:val="single" w:sz="4" w:space="0" w:color="auto"/>
              <w:left w:val="nil"/>
              <w:bottom w:val="single" w:sz="4" w:space="0" w:color="auto"/>
              <w:right w:val="single" w:sz="4" w:space="0" w:color="auto"/>
            </w:tcBorders>
            <w:shd w:val="clear" w:color="auto" w:fill="BFBFBF"/>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00B5223D">
              <w:rPr>
                <w:rFonts w:ascii="Times New Roman" w:hAnsi="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shd w:val="clear" w:color="auto" w:fill="BFBFBF"/>
            <w:textDirection w:val="lrTb"/>
            <w:vAlign w:val="top"/>
          </w:tcPr>
          <w:p w:rsidR="00277477" w:rsidRPr="007D5748" w:rsidP="00BF651B">
            <w:pPr>
              <w:bidi w:val="0"/>
              <w:spacing w:after="0" w:line="240" w:lineRule="auto"/>
              <w:jc w:val="center"/>
              <w:rPr>
                <w:rFonts w:ascii="Times New Roman" w:hAnsi="Times New Roman"/>
                <w:b/>
                <w:bCs/>
                <w:sz w:val="20"/>
                <w:szCs w:val="20"/>
                <w:lang w:eastAsia="sk-SK"/>
              </w:rPr>
            </w:pPr>
            <w:r w:rsidR="00B5223D">
              <w:rPr>
                <w:rFonts w:ascii="Times New Roman" w:hAnsi="Times New Roman"/>
                <w:b/>
                <w:bCs/>
                <w:sz w:val="20"/>
                <w:szCs w:val="20"/>
                <w:lang w:eastAsia="sk-SK"/>
              </w:rPr>
              <w:t>- 282 127</w:t>
            </w:r>
          </w:p>
        </w:tc>
        <w:tc>
          <w:tcPr>
            <w:tcW w:w="1418" w:type="dxa"/>
            <w:tcBorders>
              <w:top w:val="single" w:sz="4" w:space="0" w:color="auto"/>
              <w:left w:val="nil"/>
              <w:bottom w:val="single" w:sz="4" w:space="0" w:color="auto"/>
              <w:right w:val="single" w:sz="4" w:space="0" w:color="auto"/>
            </w:tcBorders>
            <w:shd w:val="clear" w:color="auto" w:fill="BFBFBF"/>
            <w:textDirection w:val="lrTb"/>
            <w:vAlign w:val="top"/>
          </w:tcPr>
          <w:p w:rsidR="00277477" w:rsidRPr="007D5748" w:rsidP="00BF651B">
            <w:pPr>
              <w:bidi w:val="0"/>
              <w:spacing w:after="0" w:line="240" w:lineRule="auto"/>
              <w:jc w:val="center"/>
              <w:rPr>
                <w:rFonts w:ascii="Times New Roman" w:hAnsi="Times New Roman"/>
                <w:b/>
                <w:bCs/>
                <w:sz w:val="24"/>
                <w:szCs w:val="24"/>
                <w:lang w:eastAsia="sk-SK"/>
              </w:rPr>
            </w:pPr>
            <w:r w:rsidR="00B5223D">
              <w:rPr>
                <w:rFonts w:ascii="Times New Roman" w:hAnsi="Times New Roman"/>
                <w:b/>
                <w:bCs/>
                <w:sz w:val="20"/>
                <w:szCs w:val="24"/>
                <w:lang w:eastAsia="sk-SK"/>
              </w:rPr>
              <w:t>+ 617 873</w:t>
            </w:r>
          </w:p>
        </w:tc>
        <w:tc>
          <w:tcPr>
            <w:tcW w:w="2480" w:type="dxa"/>
            <w:tcBorders>
              <w:top w:val="single" w:sz="4" w:space="0" w:color="auto"/>
              <w:left w:val="nil"/>
              <w:bottom w:val="single" w:sz="4" w:space="0" w:color="auto"/>
              <w:right w:val="single" w:sz="4" w:space="0" w:color="auto"/>
            </w:tcBorders>
            <w:shd w:val="clear" w:color="auto" w:fill="BFBFBF"/>
            <w:noWrap/>
            <w:textDirection w:val="lrTb"/>
            <w:vAlign w:val="bottom"/>
          </w:tcPr>
          <w:p w:rsidR="00277477" w:rsidRPr="00A452DA" w:rsidP="00345BC5">
            <w:pPr>
              <w:bidi w:val="0"/>
              <w:spacing w:after="0" w:line="240" w:lineRule="auto"/>
              <w:rPr>
                <w:rFonts w:ascii="Times New Roman" w:hAnsi="Times New Roman"/>
                <w:sz w:val="20"/>
                <w:szCs w:val="20"/>
                <w:lang w:eastAsia="sk-SK"/>
              </w:rPr>
            </w:pPr>
            <w:r w:rsidRPr="00A452DA">
              <w:rPr>
                <w:rFonts w:ascii="Times New Roman" w:hAnsi="Times New Roman"/>
                <w:sz w:val="20"/>
                <w:szCs w:val="20"/>
                <w:lang w:eastAsia="sk-SK"/>
              </w:rPr>
              <w:t> </w:t>
            </w:r>
            <w:r>
              <w:rPr>
                <w:rFonts w:ascii="Times New Roman" w:hAnsi="Times New Roman"/>
                <w:sz w:val="20"/>
                <w:szCs w:val="20"/>
                <w:lang w:eastAsia="sk-SK"/>
              </w:rPr>
              <w:t>Výpočet v roku 2021:</w:t>
            </w:r>
            <w:r w:rsidRPr="00A452DA">
              <w:rPr>
                <w:rFonts w:ascii="Times New Roman" w:hAnsi="Times New Roman"/>
                <w:sz w:val="20"/>
                <w:szCs w:val="20"/>
                <w:lang w:eastAsia="sk-SK"/>
              </w:rPr>
              <w:t xml:space="preserve"> 900 000 – 282</w:t>
            </w:r>
            <w:r>
              <w:rPr>
                <w:rFonts w:ascii="Times New Roman" w:hAnsi="Times New Roman"/>
                <w:sz w:val="20"/>
                <w:szCs w:val="20"/>
                <w:lang w:eastAsia="sk-SK"/>
              </w:rPr>
              <w:t> </w:t>
            </w:r>
            <w:r w:rsidRPr="00A452DA">
              <w:rPr>
                <w:rFonts w:ascii="Times New Roman" w:hAnsi="Times New Roman"/>
                <w:sz w:val="20"/>
                <w:szCs w:val="20"/>
                <w:lang w:eastAsia="sk-SK"/>
              </w:rPr>
              <w:t>127</w:t>
            </w:r>
            <w:r>
              <w:rPr>
                <w:rFonts w:ascii="Times New Roman" w:hAnsi="Times New Roman"/>
                <w:sz w:val="20"/>
                <w:szCs w:val="20"/>
                <w:lang w:eastAsia="sk-SK"/>
              </w:rPr>
              <w:t xml:space="preserve"> + 1 450 000</w:t>
            </w:r>
          </w:p>
        </w:tc>
      </w:tr>
    </w:tbl>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7D5748" w:rsidRPr="007D5748" w:rsidP="007D5748">
      <w:pPr>
        <w:tabs>
          <w:tab w:val="num" w:pos="1080"/>
        </w:tabs>
        <w:bidi w:val="0"/>
        <w:spacing w:after="0" w:line="240" w:lineRule="auto"/>
        <w:ind w:left="-900"/>
        <w:jc w:val="both"/>
        <w:rPr>
          <w:rFonts w:ascii="Times New Roman" w:hAnsi="Times New Roman"/>
          <w:bCs/>
          <w:sz w:val="24"/>
          <w:szCs w:val="20"/>
          <w:lang w:eastAsia="sk-SK"/>
        </w:rPr>
      </w:pPr>
    </w:p>
    <w:p w:rsidR="007D5748" w:rsidRPr="00DA63C5" w:rsidP="007D5748">
      <w:pPr>
        <w:tabs>
          <w:tab w:val="num" w:pos="1080"/>
        </w:tabs>
        <w:bidi w:val="0"/>
        <w:spacing w:after="0" w:line="240" w:lineRule="auto"/>
        <w:ind w:left="-900"/>
        <w:jc w:val="both"/>
        <w:rPr>
          <w:rFonts w:ascii="Times New Roman" w:hAnsi="Times New Roman"/>
          <w:b/>
          <w:bCs/>
          <w:sz w:val="16"/>
          <w:szCs w:val="20"/>
          <w:lang w:eastAsia="sk-SK"/>
        </w:rPr>
      </w:pPr>
      <w:r w:rsidRPr="00DA63C5">
        <w:rPr>
          <w:rFonts w:ascii="Times New Roman" w:hAnsi="Times New Roman"/>
          <w:b/>
          <w:bCs/>
          <w:sz w:val="20"/>
          <w:szCs w:val="20"/>
          <w:lang w:eastAsia="sk-SK"/>
        </w:rPr>
        <w:t>Poznámka:</w:t>
      </w: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r w:rsidRPr="00DA63C5">
        <w:rPr>
          <w:rFonts w:ascii="Times New Roman" w:hAnsi="Times New Roman"/>
          <w:bCs/>
          <w:sz w:val="20"/>
          <w:szCs w:val="20"/>
          <w:lang w:eastAsia="sk-SK"/>
        </w:rPr>
        <w:t>Ak sa vplyv týka viacerých subjektov verejnej správy, vypĺňa sa samostatná tabuľka za každý subjekt.</w:t>
      </w: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7D5748" w:rsidP="004B0BF9">
      <w:pPr>
        <w:tabs>
          <w:tab w:val="num" w:pos="1080"/>
        </w:tabs>
        <w:bidi w:val="0"/>
        <w:spacing w:after="0" w:line="240" w:lineRule="auto"/>
        <w:ind w:left="-900"/>
        <w:jc w:val="right"/>
        <w:rPr>
          <w:rFonts w:ascii="Times New Roman" w:hAnsi="Times New Roman"/>
          <w:bCs/>
          <w:sz w:val="20"/>
          <w:szCs w:val="20"/>
          <w:lang w:eastAsia="sk-SK"/>
        </w:rPr>
      </w:pPr>
      <w:r w:rsidRPr="007D5748" w:rsidR="004B0BF9">
        <w:rPr>
          <w:rFonts w:ascii="Times New Roman" w:hAnsi="Times New Roman"/>
          <w:bCs/>
          <w:sz w:val="24"/>
          <w:szCs w:val="24"/>
          <w:lang w:eastAsia="sk-SK"/>
        </w:rPr>
        <w:t>Tabuľka č. 5</w:t>
      </w:r>
    </w:p>
    <w:p w:rsidR="007D5748" w:rsidRPr="007D5748" w:rsidP="007D5748">
      <w:pPr>
        <w:tabs>
          <w:tab w:val="num" w:pos="1080"/>
        </w:tabs>
        <w:bidi w:val="0"/>
        <w:spacing w:after="0" w:line="240" w:lineRule="auto"/>
        <w:ind w:left="-900"/>
        <w:jc w:val="both"/>
        <w:rPr>
          <w:rFonts w:ascii="Times New Roman" w:hAnsi="Times New Roman"/>
          <w:bCs/>
          <w:sz w:val="20"/>
          <w:szCs w:val="20"/>
          <w:lang w:eastAsia="sk-SK"/>
        </w:rPr>
      </w:pPr>
    </w:p>
    <w:p w:rsidR="007D5748" w:rsidRPr="004B0BF9" w:rsidP="004B0BF9">
      <w:pPr>
        <w:tabs>
          <w:tab w:val="num" w:pos="1080"/>
        </w:tabs>
        <w:bidi w:val="0"/>
        <w:spacing w:after="0" w:line="240" w:lineRule="auto"/>
        <w:jc w:val="both"/>
        <w:rPr>
          <w:rFonts w:ascii="Times New Roman" w:hAnsi="Times New Roman"/>
          <w:color w:val="000000"/>
        </w:rPr>
      </w:pPr>
      <w:r w:rsidRPr="001D68AA" w:rsidR="009876F6">
        <w:rPr>
          <w:rStyle w:val="PlaceholderText"/>
        </w:rPr>
        <w:t>Ministerstv</w:t>
      </w:r>
      <w:r w:rsidR="009876F6">
        <w:rPr>
          <w:rStyle w:val="PlaceholderText"/>
        </w:rPr>
        <w:t>o</w:t>
      </w:r>
      <w:r w:rsidRPr="001D68AA" w:rsidR="009876F6">
        <w:rPr>
          <w:rStyle w:val="PlaceholderText"/>
        </w:rPr>
        <w:t xml:space="preserve"> školstva, vedy, výskumu a športu SR</w:t>
      </w:r>
      <w:r w:rsidRPr="007D5748">
        <w:rPr>
          <w:rFonts w:ascii="Times New Roman" w:hAnsi="Times New Roman"/>
          <w:bCs/>
          <w:sz w:val="24"/>
          <w:szCs w:val="24"/>
          <w:lang w:eastAsia="sk-SK"/>
        </w:rPr>
        <w:t xml:space="preserve">             </w:t>
      </w:r>
    </w:p>
    <w:p w:rsidR="007D5748" w:rsidRPr="007D5748" w:rsidP="007D5748">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7D5748" w:rsidRPr="007D5748" w:rsidP="007D5748">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7D5748" w:rsidP="007D5748">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88" w:type="dxa"/>
            <w:tcBorders>
              <w:top w:val="nil"/>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22" w:type="dxa"/>
            <w:tcBorders>
              <w:top w:val="nil"/>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C91312" w:rsidP="007D5748">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C91312" w:rsidP="007D5748">
            <w:pPr>
              <w:bidi w:val="0"/>
              <w:spacing w:after="0" w:line="240" w:lineRule="auto"/>
              <w:rPr>
                <w:rFonts w:ascii="Times New Roman" w:hAnsi="Times New Roman"/>
                <w:sz w:val="20"/>
                <w:szCs w:val="20"/>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C91312" w:rsidP="007D5748">
            <w:pPr>
              <w:bidi w:val="0"/>
              <w:spacing w:after="0" w:line="240" w:lineRule="auto"/>
              <w:jc w:val="center"/>
              <w:rPr>
                <w:rFonts w:ascii="Times New Roman" w:hAnsi="Times New Roman"/>
                <w:b/>
                <w:bCs/>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C91312" w:rsidP="007D5748">
            <w:pPr>
              <w:bidi w:val="0"/>
              <w:spacing w:after="0" w:line="240" w:lineRule="auto"/>
              <w:rPr>
                <w:rFonts w:ascii="Times New Roman" w:hAnsi="Times New Roman"/>
                <w:sz w:val="20"/>
                <w:szCs w:val="20"/>
                <w:lang w:eastAsia="sk-SK"/>
              </w:rPr>
            </w:pPr>
            <w:r w:rsidRPr="00C91312">
              <w:rPr>
                <w:rFonts w:ascii="Times New Roman" w:hAnsi="Times New Roman"/>
                <w:sz w:val="20"/>
                <w:szCs w:val="20"/>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7D5748" w:rsidP="007D5748">
            <w:pPr>
              <w:bidi w:val="0"/>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7D5748" w:rsidP="007D5748">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C91312" w:rsidRPr="007D5748" w:rsidP="00C9131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C91312" w:rsidRPr="007D5748" w:rsidP="00C91312">
            <w:pPr>
              <w:bidi w:val="0"/>
              <w:spacing w:after="0" w:line="240" w:lineRule="auto"/>
              <w:jc w:val="center"/>
              <w:rPr>
                <w:rFonts w:ascii="Times New Roman" w:hAnsi="Times New Roman"/>
                <w:b/>
                <w:bCs/>
                <w:sz w:val="20"/>
                <w:szCs w:val="20"/>
                <w:lang w:eastAsia="sk-SK"/>
              </w:rPr>
            </w:pPr>
          </w:p>
        </w:tc>
        <w:tc>
          <w:tcPr>
            <w:tcW w:w="1788" w:type="dxa"/>
            <w:tcBorders>
              <w:top w:val="nil"/>
              <w:left w:val="nil"/>
              <w:bottom w:val="single" w:sz="4" w:space="0" w:color="auto"/>
              <w:right w:val="single" w:sz="4" w:space="0" w:color="auto"/>
            </w:tcBorders>
            <w:shd w:val="clear" w:color="auto" w:fill="BFBFBF"/>
            <w:textDirection w:val="lrTb"/>
            <w:vAlign w:val="top"/>
          </w:tcPr>
          <w:p w:rsidR="00C91312" w:rsidRPr="007D5748" w:rsidP="00C91312">
            <w:pPr>
              <w:bidi w:val="0"/>
              <w:spacing w:after="0" w:line="240" w:lineRule="auto"/>
              <w:jc w:val="center"/>
              <w:rPr>
                <w:rFonts w:ascii="Times New Roman" w:hAnsi="Times New Roman"/>
                <w:b/>
                <w:bCs/>
                <w:sz w:val="20"/>
                <w:szCs w:val="20"/>
                <w:lang w:eastAsia="sk-SK"/>
              </w:rPr>
            </w:pP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C91312" w:rsidRPr="007D5748" w:rsidP="00C91312">
            <w:pPr>
              <w:bidi w:val="0"/>
              <w:spacing w:after="0" w:line="240" w:lineRule="auto"/>
              <w:jc w:val="center"/>
              <w:rPr>
                <w:rFonts w:ascii="Times New Roman" w:hAnsi="Times New Roman"/>
                <w:b/>
                <w:bCs/>
                <w:sz w:val="20"/>
                <w:szCs w:val="20"/>
                <w:lang w:eastAsia="sk-SK"/>
              </w:rPr>
            </w:pPr>
          </w:p>
        </w:tc>
        <w:tc>
          <w:tcPr>
            <w:tcW w:w="1722" w:type="dxa"/>
            <w:tcBorders>
              <w:top w:val="nil"/>
              <w:left w:val="nil"/>
              <w:bottom w:val="single" w:sz="4" w:space="0" w:color="auto"/>
              <w:right w:val="single" w:sz="4" w:space="0" w:color="auto"/>
            </w:tcBorders>
            <w:shd w:val="clear" w:color="auto" w:fill="BFBFBF"/>
            <w:textDirection w:val="lrTb"/>
            <w:vAlign w:val="top"/>
          </w:tcPr>
          <w:p w:rsidR="00C91312" w:rsidRPr="007D5748" w:rsidP="00C91312">
            <w:pPr>
              <w:bidi w:val="0"/>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C91312" w:rsidRPr="007D5748" w:rsidP="00C9131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7DC5" w:rsidRPr="007D5748" w:rsidP="003E7DC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8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2418" w:type="dxa"/>
            <w:gridSpan w:val="2"/>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22"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E7DC5" w:rsidRPr="007D5748" w:rsidP="003E7DC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E7DC5" w:rsidRPr="001B498F" w:rsidP="00332AB8">
            <w:pPr>
              <w:bidi w:val="0"/>
              <w:spacing w:after="0" w:line="240" w:lineRule="auto"/>
              <w:jc w:val="center"/>
              <w:rPr>
                <w:rFonts w:ascii="Times New Roman" w:hAnsi="Times New Roman"/>
                <w:sz w:val="20"/>
                <w:szCs w:val="20"/>
                <w:lang w:eastAsia="sk-SK"/>
              </w:rPr>
            </w:pPr>
          </w:p>
        </w:tc>
        <w:tc>
          <w:tcPr>
            <w:tcW w:w="1788" w:type="dxa"/>
            <w:tcBorders>
              <w:top w:val="nil"/>
              <w:left w:val="nil"/>
              <w:bottom w:val="single" w:sz="4" w:space="0" w:color="auto"/>
              <w:right w:val="single" w:sz="4" w:space="0" w:color="auto"/>
            </w:tcBorders>
            <w:textDirection w:val="lrTb"/>
            <w:vAlign w:val="top"/>
          </w:tcPr>
          <w:p w:rsidR="003E7DC5" w:rsidRPr="001B498F" w:rsidP="00332AB8">
            <w:pPr>
              <w:bidi w:val="0"/>
              <w:spacing w:after="0" w:line="240" w:lineRule="auto"/>
              <w:jc w:val="center"/>
              <w:rPr>
                <w:rFonts w:ascii="Times New Roman" w:hAnsi="Times New Roman"/>
                <w:sz w:val="20"/>
                <w:szCs w:val="20"/>
                <w:lang w:eastAsia="sk-SK"/>
              </w:rPr>
            </w:pPr>
          </w:p>
        </w:tc>
        <w:tc>
          <w:tcPr>
            <w:tcW w:w="2418" w:type="dxa"/>
            <w:gridSpan w:val="2"/>
            <w:tcBorders>
              <w:top w:val="nil"/>
              <w:left w:val="nil"/>
              <w:bottom w:val="single" w:sz="4" w:space="0" w:color="auto"/>
              <w:right w:val="single" w:sz="4" w:space="0" w:color="auto"/>
            </w:tcBorders>
            <w:textDirection w:val="lrTb"/>
            <w:vAlign w:val="top"/>
          </w:tcPr>
          <w:p w:rsidR="003E7DC5" w:rsidRPr="001B498F" w:rsidP="00332AB8">
            <w:pPr>
              <w:bidi w:val="0"/>
              <w:spacing w:after="0" w:line="240" w:lineRule="auto"/>
              <w:jc w:val="center"/>
              <w:rPr>
                <w:rFonts w:ascii="Times New Roman" w:hAnsi="Times New Roman"/>
                <w:sz w:val="20"/>
                <w:szCs w:val="20"/>
                <w:lang w:eastAsia="sk-SK"/>
              </w:rPr>
            </w:pPr>
          </w:p>
        </w:tc>
        <w:tc>
          <w:tcPr>
            <w:tcW w:w="1722" w:type="dxa"/>
            <w:tcBorders>
              <w:top w:val="nil"/>
              <w:left w:val="nil"/>
              <w:bottom w:val="single" w:sz="4" w:space="0" w:color="auto"/>
              <w:right w:val="single" w:sz="4" w:space="0" w:color="auto"/>
            </w:tcBorders>
            <w:textDirection w:val="lrTb"/>
            <w:vAlign w:val="top"/>
          </w:tcPr>
          <w:p w:rsidR="003E7DC5" w:rsidRPr="001B498F" w:rsidP="00332AB8">
            <w:pPr>
              <w:bidi w:val="0"/>
              <w:spacing w:after="0" w:line="240" w:lineRule="auto"/>
              <w:jc w:val="center"/>
              <w:rPr>
                <w:rFonts w:ascii="Times New Roman" w:hAnsi="Times New Roman"/>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7DC5" w:rsidRPr="007D5748" w:rsidP="003E7DC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8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2418" w:type="dxa"/>
            <w:gridSpan w:val="2"/>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22"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E7DC5" w:rsidRPr="007D5748" w:rsidP="003E7DC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88"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2418" w:type="dxa"/>
            <w:gridSpan w:val="2"/>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722" w:type="dxa"/>
            <w:tcBorders>
              <w:top w:val="nil"/>
              <w:left w:val="nil"/>
              <w:bottom w:val="single" w:sz="4" w:space="0" w:color="auto"/>
              <w:right w:val="single" w:sz="4" w:space="0" w:color="auto"/>
            </w:tcBorders>
            <w:textDirection w:val="lrTb"/>
            <w:vAlign w:val="top"/>
          </w:tcPr>
          <w:p w:rsidR="003E7DC5" w:rsidRPr="001B498F" w:rsidP="003E7DC5">
            <w:pPr>
              <w:bidi w:val="0"/>
              <w:spacing w:after="0" w:line="240" w:lineRule="auto"/>
              <w:jc w:val="center"/>
              <w:rPr>
                <w:rFonts w:ascii="Times New Roman" w:hAnsi="Times New Roman"/>
                <w:sz w:val="20"/>
                <w:szCs w:val="20"/>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E7DC5" w:rsidRPr="007D5748" w:rsidP="003E7DC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E7DC5" w:rsidRPr="007D5748" w:rsidP="003E7DC5">
            <w:pPr>
              <w:tabs>
                <w:tab w:val="num" w:pos="1080"/>
              </w:tabs>
              <w:bidi w:val="0"/>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3E7DC5" w:rsidRPr="007D5748" w:rsidP="003E7DC5">
            <w:pPr>
              <w:bidi w:val="0"/>
              <w:spacing w:after="0" w:line="240" w:lineRule="auto"/>
              <w:rPr>
                <w:rFonts w:ascii="Times New Roman" w:hAnsi="Times New Roman"/>
                <w:sz w:val="24"/>
                <w:szCs w:val="24"/>
                <w:lang w:eastAsia="sk-SK"/>
              </w:rPr>
            </w:pPr>
          </w:p>
        </w:tc>
      </w:tr>
    </w:tbl>
    <w:p w:rsidR="00CB3623" w:rsidP="00AB2952">
      <w:pPr>
        <w:bidi w:val="0"/>
        <w:spacing w:after="0" w:line="240" w:lineRule="auto"/>
        <w:jc w:val="center"/>
      </w:pPr>
    </w:p>
    <w:sectPr w:rsidSect="004C5FEB">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62789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F7CE6">
      <w:rPr>
        <w:rFonts w:ascii="Times New Roman" w:hAnsi="Times New Roman"/>
        <w:noProof/>
      </w:rPr>
      <w:t>2</w:t>
    </w:r>
    <w:r>
      <w:rPr>
        <w:rFonts w:ascii="Times New Roman" w:hAnsi="Times New Roman"/>
      </w:rPr>
      <w:fldChar w:fldCharType="end"/>
    </w:r>
  </w:p>
  <w:p w:rsidR="00627893">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62789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rsidP="00332AB8">
    <w:pPr>
      <w:pStyle w:val="Header"/>
      <w:bidi w:val="0"/>
      <w:jc w:val="right"/>
      <w:rPr>
        <w:rFonts w:ascii="Times New Roman" w:hAnsi="Times New Roman"/>
        <w:sz w:val="24"/>
        <w:szCs w:val="24"/>
      </w:rPr>
    </w:pPr>
    <w:r>
      <w:rPr>
        <w:rFonts w:ascii="Times New Roman" w:hAnsi="Times New Roman"/>
        <w:sz w:val="24"/>
        <w:szCs w:val="24"/>
      </w:rPr>
      <w:t>Príloha č. 2</w:t>
    </w:r>
  </w:p>
  <w:p w:rsidR="00627893" w:rsidRPr="00EB59C8" w:rsidP="00332AB8">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rsidRPr="0024067A">
    <w:pPr>
      <w:pStyle w:val="Header"/>
      <w:bidi w:val="0"/>
      <w:jc w:val="right"/>
      <w:rPr>
        <w:rFonts w:ascii="Times New Roman" w:hAnsi="Times New Roman"/>
        <w:sz w:val="24"/>
        <w:szCs w:val="24"/>
      </w:rPr>
    </w:pPr>
    <w:r w:rsidRPr="0024067A">
      <w:rPr>
        <w:rFonts w:ascii="Times New Roman" w:hAnsi="Times New Roman"/>
        <w:sz w:val="24"/>
        <w:szCs w:val="24"/>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893" w:rsidRPr="000A15AE" w:rsidP="00332AB8">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EA3299E"/>
    <w:multiLevelType w:val="hybridMultilevel"/>
    <w:tmpl w:val="53207FC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characterSpacingControl w:val="doNotCompress"/>
  <w:compat/>
  <w:rsids>
    <w:rsidRoot w:val="005005EC"/>
    <w:rsid w:val="00000010"/>
    <w:rsid w:val="0003171F"/>
    <w:rsid w:val="00035AF9"/>
    <w:rsid w:val="00035EB6"/>
    <w:rsid w:val="00042A21"/>
    <w:rsid w:val="00045690"/>
    <w:rsid w:val="000506CB"/>
    <w:rsid w:val="00055D12"/>
    <w:rsid w:val="00057135"/>
    <w:rsid w:val="00057CCE"/>
    <w:rsid w:val="00082B45"/>
    <w:rsid w:val="000A15AE"/>
    <w:rsid w:val="000A23E3"/>
    <w:rsid w:val="000A6541"/>
    <w:rsid w:val="000B433D"/>
    <w:rsid w:val="000B7C72"/>
    <w:rsid w:val="000C4AA4"/>
    <w:rsid w:val="000C54D1"/>
    <w:rsid w:val="000C62A4"/>
    <w:rsid w:val="000C63B8"/>
    <w:rsid w:val="000D1045"/>
    <w:rsid w:val="000D61D7"/>
    <w:rsid w:val="000D6A15"/>
    <w:rsid w:val="000E0D19"/>
    <w:rsid w:val="000E36F9"/>
    <w:rsid w:val="000E7D31"/>
    <w:rsid w:val="000F7CFA"/>
    <w:rsid w:val="00107D00"/>
    <w:rsid w:val="001127A8"/>
    <w:rsid w:val="00115748"/>
    <w:rsid w:val="0012075C"/>
    <w:rsid w:val="00120E33"/>
    <w:rsid w:val="001255EE"/>
    <w:rsid w:val="00130834"/>
    <w:rsid w:val="00133E1E"/>
    <w:rsid w:val="00136B06"/>
    <w:rsid w:val="001434DF"/>
    <w:rsid w:val="00153420"/>
    <w:rsid w:val="00161A4C"/>
    <w:rsid w:val="00170D2B"/>
    <w:rsid w:val="001843BB"/>
    <w:rsid w:val="00194633"/>
    <w:rsid w:val="00195E1D"/>
    <w:rsid w:val="001A4B0D"/>
    <w:rsid w:val="001B498F"/>
    <w:rsid w:val="001B7102"/>
    <w:rsid w:val="001C2269"/>
    <w:rsid w:val="001D0C99"/>
    <w:rsid w:val="001D266E"/>
    <w:rsid w:val="001D68AA"/>
    <w:rsid w:val="001D6EEA"/>
    <w:rsid w:val="001F1368"/>
    <w:rsid w:val="001F629B"/>
    <w:rsid w:val="00200898"/>
    <w:rsid w:val="00204212"/>
    <w:rsid w:val="00205B6E"/>
    <w:rsid w:val="00206A1C"/>
    <w:rsid w:val="00212894"/>
    <w:rsid w:val="0021387A"/>
    <w:rsid w:val="00217C39"/>
    <w:rsid w:val="00235ADD"/>
    <w:rsid w:val="0024067A"/>
    <w:rsid w:val="00257026"/>
    <w:rsid w:val="00263136"/>
    <w:rsid w:val="00277477"/>
    <w:rsid w:val="00280E78"/>
    <w:rsid w:val="00292596"/>
    <w:rsid w:val="002E249E"/>
    <w:rsid w:val="002F2D50"/>
    <w:rsid w:val="00301410"/>
    <w:rsid w:val="00317B90"/>
    <w:rsid w:val="00325886"/>
    <w:rsid w:val="00332AB8"/>
    <w:rsid w:val="00343EFA"/>
    <w:rsid w:val="00344360"/>
    <w:rsid w:val="00345BC5"/>
    <w:rsid w:val="0035719D"/>
    <w:rsid w:val="003574F5"/>
    <w:rsid w:val="00363893"/>
    <w:rsid w:val="00366185"/>
    <w:rsid w:val="003725C0"/>
    <w:rsid w:val="00375474"/>
    <w:rsid w:val="00375BF4"/>
    <w:rsid w:val="00384E14"/>
    <w:rsid w:val="0038774C"/>
    <w:rsid w:val="003A054E"/>
    <w:rsid w:val="003A467A"/>
    <w:rsid w:val="003A4DCF"/>
    <w:rsid w:val="003A767F"/>
    <w:rsid w:val="003B6081"/>
    <w:rsid w:val="003D31E8"/>
    <w:rsid w:val="003E2B87"/>
    <w:rsid w:val="003E7DC5"/>
    <w:rsid w:val="003F379F"/>
    <w:rsid w:val="0040671C"/>
    <w:rsid w:val="00410155"/>
    <w:rsid w:val="00415E39"/>
    <w:rsid w:val="00420A25"/>
    <w:rsid w:val="004277E1"/>
    <w:rsid w:val="004713AB"/>
    <w:rsid w:val="00487203"/>
    <w:rsid w:val="00494F9A"/>
    <w:rsid w:val="004A6D9B"/>
    <w:rsid w:val="004B0BF9"/>
    <w:rsid w:val="004B2BFC"/>
    <w:rsid w:val="004C5FEB"/>
    <w:rsid w:val="004D36DC"/>
    <w:rsid w:val="004D5DFB"/>
    <w:rsid w:val="004F024C"/>
    <w:rsid w:val="005005EC"/>
    <w:rsid w:val="005227D5"/>
    <w:rsid w:val="00523694"/>
    <w:rsid w:val="00526182"/>
    <w:rsid w:val="00551008"/>
    <w:rsid w:val="00553FEA"/>
    <w:rsid w:val="00554226"/>
    <w:rsid w:val="00554DF8"/>
    <w:rsid w:val="00581D4B"/>
    <w:rsid w:val="005A53E7"/>
    <w:rsid w:val="005A73BA"/>
    <w:rsid w:val="005B4809"/>
    <w:rsid w:val="005C315B"/>
    <w:rsid w:val="005D297E"/>
    <w:rsid w:val="005D3CFE"/>
    <w:rsid w:val="005E159C"/>
    <w:rsid w:val="0060173C"/>
    <w:rsid w:val="006033A8"/>
    <w:rsid w:val="00606E95"/>
    <w:rsid w:val="006073A9"/>
    <w:rsid w:val="00610BE2"/>
    <w:rsid w:val="00612B66"/>
    <w:rsid w:val="00622253"/>
    <w:rsid w:val="00627893"/>
    <w:rsid w:val="00645C27"/>
    <w:rsid w:val="00651646"/>
    <w:rsid w:val="00656015"/>
    <w:rsid w:val="00657300"/>
    <w:rsid w:val="006727E4"/>
    <w:rsid w:val="00680D32"/>
    <w:rsid w:val="006810A8"/>
    <w:rsid w:val="006C5190"/>
    <w:rsid w:val="006D4223"/>
    <w:rsid w:val="006D5C56"/>
    <w:rsid w:val="006F6E22"/>
    <w:rsid w:val="006F7CE6"/>
    <w:rsid w:val="007061AF"/>
    <w:rsid w:val="007101E3"/>
    <w:rsid w:val="00711A93"/>
    <w:rsid w:val="00712925"/>
    <w:rsid w:val="007246BD"/>
    <w:rsid w:val="00724C9B"/>
    <w:rsid w:val="007420AC"/>
    <w:rsid w:val="00773364"/>
    <w:rsid w:val="00776ABE"/>
    <w:rsid w:val="00787C7B"/>
    <w:rsid w:val="00794BB9"/>
    <w:rsid w:val="007B2D42"/>
    <w:rsid w:val="007D1992"/>
    <w:rsid w:val="007D5748"/>
    <w:rsid w:val="007E12BD"/>
    <w:rsid w:val="0080281C"/>
    <w:rsid w:val="00813F3D"/>
    <w:rsid w:val="00816ED4"/>
    <w:rsid w:val="00822D57"/>
    <w:rsid w:val="00840387"/>
    <w:rsid w:val="00840994"/>
    <w:rsid w:val="00862D3D"/>
    <w:rsid w:val="00863113"/>
    <w:rsid w:val="008631E7"/>
    <w:rsid w:val="00890B22"/>
    <w:rsid w:val="008919B2"/>
    <w:rsid w:val="008A07B9"/>
    <w:rsid w:val="008A4506"/>
    <w:rsid w:val="008D339D"/>
    <w:rsid w:val="008D5B54"/>
    <w:rsid w:val="008E14F5"/>
    <w:rsid w:val="008E2736"/>
    <w:rsid w:val="009015F2"/>
    <w:rsid w:val="00902C58"/>
    <w:rsid w:val="0090308F"/>
    <w:rsid w:val="0091042F"/>
    <w:rsid w:val="0091319F"/>
    <w:rsid w:val="00916217"/>
    <w:rsid w:val="00916506"/>
    <w:rsid w:val="00917E23"/>
    <w:rsid w:val="00927E04"/>
    <w:rsid w:val="00944F83"/>
    <w:rsid w:val="00951E0C"/>
    <w:rsid w:val="009566CF"/>
    <w:rsid w:val="00956824"/>
    <w:rsid w:val="00957016"/>
    <w:rsid w:val="00964795"/>
    <w:rsid w:val="009675F6"/>
    <w:rsid w:val="009706B7"/>
    <w:rsid w:val="00975E17"/>
    <w:rsid w:val="009876F6"/>
    <w:rsid w:val="00987CF2"/>
    <w:rsid w:val="00992DE1"/>
    <w:rsid w:val="0099689E"/>
    <w:rsid w:val="009B03EE"/>
    <w:rsid w:val="009B0E36"/>
    <w:rsid w:val="009B1C1D"/>
    <w:rsid w:val="009C5F15"/>
    <w:rsid w:val="009C6D76"/>
    <w:rsid w:val="009E0986"/>
    <w:rsid w:val="009F41FE"/>
    <w:rsid w:val="009F43C4"/>
    <w:rsid w:val="009F551A"/>
    <w:rsid w:val="009F7903"/>
    <w:rsid w:val="00A04388"/>
    <w:rsid w:val="00A07F8C"/>
    <w:rsid w:val="00A17459"/>
    <w:rsid w:val="00A24583"/>
    <w:rsid w:val="00A27519"/>
    <w:rsid w:val="00A452DA"/>
    <w:rsid w:val="00A45707"/>
    <w:rsid w:val="00A50A23"/>
    <w:rsid w:val="00A66747"/>
    <w:rsid w:val="00A72684"/>
    <w:rsid w:val="00A73FD7"/>
    <w:rsid w:val="00A82F46"/>
    <w:rsid w:val="00A82FD2"/>
    <w:rsid w:val="00A95261"/>
    <w:rsid w:val="00AB0984"/>
    <w:rsid w:val="00AB2952"/>
    <w:rsid w:val="00AB311F"/>
    <w:rsid w:val="00AE5100"/>
    <w:rsid w:val="00B10511"/>
    <w:rsid w:val="00B10ADA"/>
    <w:rsid w:val="00B158B8"/>
    <w:rsid w:val="00B226F0"/>
    <w:rsid w:val="00B313D9"/>
    <w:rsid w:val="00B34F2D"/>
    <w:rsid w:val="00B37B95"/>
    <w:rsid w:val="00B5223D"/>
    <w:rsid w:val="00B5535C"/>
    <w:rsid w:val="00B97C62"/>
    <w:rsid w:val="00BA53B8"/>
    <w:rsid w:val="00BB6A27"/>
    <w:rsid w:val="00BC28F1"/>
    <w:rsid w:val="00BC487E"/>
    <w:rsid w:val="00BD2A2C"/>
    <w:rsid w:val="00BD66FA"/>
    <w:rsid w:val="00BF13C1"/>
    <w:rsid w:val="00BF651B"/>
    <w:rsid w:val="00C15212"/>
    <w:rsid w:val="00C22C1E"/>
    <w:rsid w:val="00C278F7"/>
    <w:rsid w:val="00C3270B"/>
    <w:rsid w:val="00C51FD4"/>
    <w:rsid w:val="00C549DA"/>
    <w:rsid w:val="00C57B7C"/>
    <w:rsid w:val="00C75B24"/>
    <w:rsid w:val="00C7620E"/>
    <w:rsid w:val="00C83792"/>
    <w:rsid w:val="00C91312"/>
    <w:rsid w:val="00C91E1D"/>
    <w:rsid w:val="00CA0900"/>
    <w:rsid w:val="00CA2F73"/>
    <w:rsid w:val="00CB3623"/>
    <w:rsid w:val="00CD12F8"/>
    <w:rsid w:val="00CD63F8"/>
    <w:rsid w:val="00CD7DB8"/>
    <w:rsid w:val="00CE299A"/>
    <w:rsid w:val="00CE3D92"/>
    <w:rsid w:val="00CF41EC"/>
    <w:rsid w:val="00D00FB8"/>
    <w:rsid w:val="00D04736"/>
    <w:rsid w:val="00D06C30"/>
    <w:rsid w:val="00D127A0"/>
    <w:rsid w:val="00D13C70"/>
    <w:rsid w:val="00D26F84"/>
    <w:rsid w:val="00D34589"/>
    <w:rsid w:val="00D6702E"/>
    <w:rsid w:val="00DA63C5"/>
    <w:rsid w:val="00DA7107"/>
    <w:rsid w:val="00DA7860"/>
    <w:rsid w:val="00DB28FD"/>
    <w:rsid w:val="00DE059B"/>
    <w:rsid w:val="00DE3436"/>
    <w:rsid w:val="00DE5BF1"/>
    <w:rsid w:val="00DF0DB4"/>
    <w:rsid w:val="00DF5AB7"/>
    <w:rsid w:val="00E03622"/>
    <w:rsid w:val="00E0537B"/>
    <w:rsid w:val="00E07CE9"/>
    <w:rsid w:val="00E20BD5"/>
    <w:rsid w:val="00E3146B"/>
    <w:rsid w:val="00E37F73"/>
    <w:rsid w:val="00E414C0"/>
    <w:rsid w:val="00E4555F"/>
    <w:rsid w:val="00E53375"/>
    <w:rsid w:val="00E76D37"/>
    <w:rsid w:val="00E81B92"/>
    <w:rsid w:val="00E86290"/>
    <w:rsid w:val="00E963A3"/>
    <w:rsid w:val="00EA1E90"/>
    <w:rsid w:val="00EA7C9B"/>
    <w:rsid w:val="00EB4357"/>
    <w:rsid w:val="00EB59C8"/>
    <w:rsid w:val="00ED7EA1"/>
    <w:rsid w:val="00EE3753"/>
    <w:rsid w:val="00EE470D"/>
    <w:rsid w:val="00F03BFF"/>
    <w:rsid w:val="00F0509A"/>
    <w:rsid w:val="00F0666D"/>
    <w:rsid w:val="00F170E2"/>
    <w:rsid w:val="00F21050"/>
    <w:rsid w:val="00F25955"/>
    <w:rsid w:val="00F40136"/>
    <w:rsid w:val="00F43D13"/>
    <w:rsid w:val="00F47971"/>
    <w:rsid w:val="00F70B1C"/>
    <w:rsid w:val="00FA151C"/>
    <w:rsid w:val="00FA4181"/>
    <w:rsid w:val="00FA735A"/>
    <w:rsid w:val="00FB000A"/>
    <w:rsid w:val="00FB4084"/>
    <w:rsid w:val="00FC1001"/>
    <w:rsid w:val="00FE2478"/>
    <w:rsid w:val="00FE4207"/>
    <w:rsid w:val="00FE653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character" w:styleId="PlaceholderText">
    <w:name w:val="Placeholder Text"/>
    <w:basedOn w:val="DefaultParagraphFont"/>
    <w:uiPriority w:val="99"/>
    <w:semiHidden/>
    <w:rsid w:val="001D68AA"/>
    <w:rPr>
      <w:rFonts w:ascii="Times New Roman" w:hAnsi="Times New Roman" w:cs="Times New Roman"/>
      <w:color w:val="000000"/>
      <w:rtl w:val="0"/>
      <w:cs w:val="0"/>
    </w:rPr>
  </w:style>
  <w:style w:type="paragraph" w:styleId="ListParagraph">
    <w:name w:val="List Paragraph"/>
    <w:basedOn w:val="Normal"/>
    <w:uiPriority w:val="34"/>
    <w:qFormat/>
    <w:rsid w:val="00055D12"/>
    <w:pPr>
      <w:ind w:left="720"/>
      <w:contextualSpacing/>
      <w:jc w:val="left"/>
    </w:pPr>
  </w:style>
  <w:style w:type="character" w:styleId="CommentReference">
    <w:name w:val="annotation reference"/>
    <w:basedOn w:val="DefaultParagraphFont"/>
    <w:uiPriority w:val="99"/>
    <w:semiHidden/>
    <w:unhideWhenUsed/>
    <w:rsid w:val="00AB0984"/>
    <w:rPr>
      <w:rFonts w:cs="Times New Roman"/>
      <w:sz w:val="16"/>
      <w:szCs w:val="16"/>
      <w:rtl w:val="0"/>
      <w:cs w:val="0"/>
    </w:rPr>
  </w:style>
  <w:style w:type="paragraph" w:styleId="CommentText">
    <w:name w:val="annotation text"/>
    <w:basedOn w:val="Normal"/>
    <w:link w:val="TextkomentraChar"/>
    <w:uiPriority w:val="99"/>
    <w:semiHidden/>
    <w:unhideWhenUsed/>
    <w:rsid w:val="00AB0984"/>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B0984"/>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B098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B0984"/>
    <w:rPr>
      <w:b/>
      <w:bCs/>
    </w:rPr>
  </w:style>
  <w:style w:type="character" w:styleId="Hyperlink">
    <w:name w:val="Hyperlink"/>
    <w:basedOn w:val="DefaultParagraphFont"/>
    <w:uiPriority w:val="99"/>
    <w:unhideWhenUsed/>
    <w:rsid w:val="00FC1001"/>
    <w:rPr>
      <w:rFonts w:cs="Times New Roman"/>
      <w:color w:val="0000FF" w:themeColor="hlink" w:themeShade="FF"/>
      <w:u w:val="single"/>
      <w:rtl w:val="0"/>
      <w:cs w:val="0"/>
    </w:rPr>
  </w:style>
  <w:style w:type="character" w:styleId="FollowedHyperlink">
    <w:name w:val="FollowedHyperlink"/>
    <w:basedOn w:val="DefaultParagraphFont"/>
    <w:uiPriority w:val="99"/>
    <w:semiHidden/>
    <w:unhideWhenUsed/>
    <w:rsid w:val="00840387"/>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av.sk/index.php?lang=sk&amp;doc=sas-commission&amp;folder_no=405"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4</TotalTime>
  <Pages>1</Pages>
  <Words>2241</Words>
  <Characters>12779</Characters>
  <Application>Microsoft Office Word</Application>
  <DocSecurity>0</DocSecurity>
  <Lines>0</Lines>
  <Paragraphs>0</Paragraphs>
  <ScaleCrop>false</ScaleCrop>
  <Company>MH SR</Company>
  <LinksUpToDate>false</LinksUpToDate>
  <CharactersWithSpaces>14991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Piovarči Andrej</cp:lastModifiedBy>
  <cp:revision>8</cp:revision>
  <cp:lastPrinted>2018-04-17T13:59:00Z</cp:lastPrinted>
  <dcterms:created xsi:type="dcterms:W3CDTF">2018-04-17T14:46:00Z</dcterms:created>
  <dcterms:modified xsi:type="dcterms:W3CDTF">2018-04-17T14:48:00Z</dcterms:modified>
</cp:coreProperties>
</file>