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C61C0B">
              <w:rPr>
                <w:rFonts w:ascii="Times New Roman" w:hAnsi="Times New Roman"/>
                <w:sz w:val="25"/>
                <w:szCs w:val="25"/>
              </w:rPr>
              <w:t>Ministerstvo školstva, vedy, výskumu a športu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C61C0B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131/2002 Z. z. o vysokých školách a o zmene a doplnení niektorých zákonov v znení neskorších predpisov a ktorým sa menia niektoré zákony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86258A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86258A">
            <w:pPr>
              <w:divId w:val="1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Zmluva o fungovaní Európskej únie (Hlava V Priestor slobody, bezpečnosti a spravodlivosti, Kapitola 1 Všeobecné ustanovenia, Kapitola 2 Politiky vzťahujúce sa na hraničné kontroly, azyl a prisťahovalectvo, najmä čl. 79 ods. 2, Hlava XII Všeobecné a odborné vzdelávanie, mládež a šport, najmä čl. 165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86258A">
            <w:pPr>
              <w:divId w:val="16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 smernica Rady 2004/114/ES z 13. decembra 2004 o podmienkach prijatia štátnych príslušníkov tretích krajín na účely štúdia, výmen žiakov, neplateného odborného vzdelávania alebo dobrovoľnej služby (Ú. v. EÚ, L 375, 23.12.2004),smernica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21.5.2016).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86258A">
            <w:pPr>
              <w:divId w:val="9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 smernica Rady 2013/59/Euratom z 5. decembra 2013 , ktorou sa stanovujú základné bezpečnostné normy ochrany pred nebezpečenstvami vznikajúcimi v dôsledku ionizujúceho žiarenia, a ktorou sa zrušujú smernice 89/618/Euratom, 90/641/Euratom, 96/29/Euratom, 97/43/Euratom a 2003/122/Euratom (Ú. v. EÚ L 13, 17.1.2014)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86258A">
            <w:pPr>
              <w:divId w:val="2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86258A">
              <w:rPr>
                <w:rFonts w:ascii="Times" w:hAnsi="Times" w:cs="Times"/>
                <w:sz w:val="25"/>
                <w:szCs w:val="25"/>
              </w:rPr>
              <w:t>je obsiahnutá v judikatúre Súdneho dvora Európskej únie</w:t>
            </w:r>
          </w:p>
          <w:p w:rsidR="0086258A">
            <w:pPr>
              <w:divId w:val="3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napr. v rozhodnutí Súdneho dvora vo veci C 491/13 Mohamed Ali Ben Alaya proti Bundesrepublik Deutschland</w:t>
            </w:r>
          </w:p>
          <w:p w:rsidR="0023485C" w:rsidRPr="00117A7E" w:rsidP="0086258A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86258A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Rady 2004/114/ES bola do 12. januára 2007. Lehota na prebratie smernice Európskeho parlamentu a Rady (EÚ) 2016/801 je do 23. mája 2018.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Uznesením vlády č. 405 z 21. septembra 2016 bola podpredsedovi vlády a ministrovi vnútra uložená úloha B.6. predložiť v spolupráci s ministrom práce, sociálnych vecí a rodiny a ministrom školstva, vedy, výskumu a športu na rokovanie vlády návrhy právnych predpisov, ktorými sa zabezpečí prebratie smernice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(prepracované znenie) v lehote do 31. mája 2017.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Nebolo začaté.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č. 131/2002 Z. z. o vysokých školách a o zmene a doplnení niektorých zákonov v znení neskorších predpisov – čiastočný, - zákon č. 596/2003 Z. z. o štátnej správe v školstve a školskej samospráve a o zmene a doplnení niektorých zákonov v znení neskorších predpisov – čiastočný, - zákon č. 172/2005 Z. z. o organizácii štátnej podpory výskumu a vývoja a o doplnení zákona č. 575/2001 Z. z. o organizácii činnosti vlády a organizácii ústrednej štátnej správy v znení neskorších predpisov v znení neskorších predpisov – čiastočný, - zákon č. 245/2008 Z. z. o výchove a vzdelávaní (školský zákon) a o zmene a doplnení niektorých zákonov v znení neskorších predpisov – čiastočný, - zákon č. 282/2008 Z. z. o podpore práce s mládežou a o zmene a doplnení zákona č. 131/2002 Z. z. o vysokých školách a o zmene a doplnení niektorých zákonov v znení neskorších predpisov v znení neskorších predpisov – čiastočný, - zákon č. 422/2015 Z. z. o uznávaní dokladov o vzdelaní a o uznávaní odborných kvalifikácií a o zmene a doplnení niektorých zákonov – čiastočný.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čiastočný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6258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6258A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vnútra Slovenskej republiky</w:t>
              <w:br/>
              <w:t>Ministerstvo školstva, vedy, výskumu a športu Slovenskej republiky</w:t>
              <w:br/>
              <w:t>Ministerstvo práce, sociálnych vecí a rodiny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258A"/>
    <w:rsid w:val="008655C8"/>
    <w:rsid w:val="008E2891"/>
    <w:rsid w:val="00970F68"/>
    <w:rsid w:val="009C63EB"/>
    <w:rsid w:val="00B128CD"/>
    <w:rsid w:val="00B326AA"/>
    <w:rsid w:val="00C12975"/>
    <w:rsid w:val="00C61C0B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7.4.2018 12:54:11"/>
    <f:field ref="objchangedby" par="" text="Administrator, System"/>
    <f:field ref="objmodifiedat" par="" text="17.4.2018 12:54:15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3F9566E-21A8-4432-9129-31F30E93F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800</Words>
  <Characters>4561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marek.gilanyi</cp:lastModifiedBy>
  <cp:revision>2</cp:revision>
  <dcterms:created xsi:type="dcterms:W3CDTF">2018-04-17T20:55:00Z</dcterms:created>
  <dcterms:modified xsi:type="dcterms:W3CDTF">2018-04-17T20:55:00Z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COO.2145.1000.3.2528869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20. 3. 2017</vt:lpwstr>
  </property>
  <property fmtid="{D5CDD505-2E9C-101B-9397-08002B2CF9AE}" pid="6" name="FSC#SKEDITIONSLOVLEX@103.510:AttrDateDocPropZaciatokPKK">
    <vt:lpwstr>9. 3. 2017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identifikované alternatívy k predloženým riešeniam, ktoré by naplnili cieľ.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zákon č. 131/2002 Z. z. o vysokých školách a o zmene a doplnení niektorých zákonov v znení neskorších predpisov – čiastočný, - zákon č. 596/2003 Z. z. o štátnej správe v školstve a školskej samospráve a o zmene a doplnení niektorých zákonov v znení neskor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Rady 2004/114/ES bola do 12. januára 2007. Lehota na prebratie smernice Európskeho parlamentu a Rady (EÚ) 2016/801 je do 23. mája 2018.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Vyhodnotenie pripomienok Stálej pracovnej komisie na posudzovanie vybraných vplyvov z 22.5.2017: Predkladateľ akceptoval nasledujúce pripomienky stálej pracovnej komisie: prehodnotiť vplyvy na podnikateľské prostredie, nový systém hodnotenia tvorivej činn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23.12.2004),smernica Európskeho parlament</vt:lpwstr>
  </property>
  <property fmtid="{D5CDD505-2E9C-101B-9397-08002B2CF9AE}" pid="28" name="FSC#SKEDITIONSLOVLEX@103.510:AttrStrListDocPropSekundarneNelegPravoPO">
    <vt:lpwstr>smernica Rady 2013/59/Euratom z  5. decembra 2013 , ktorou sa stanovujú základné bezpečnostné normy ochrany pred nebezpečenstvami vznikajúcimi v dôsledku ionizujúceho žiarenia, a ktorou sa zrušujú smernice 89/618/Euratom, 90/641/Euratom, 96/29/Euratom, 97</vt:lpwstr>
  </property>
  <property fmtid="{D5CDD505-2E9C-101B-9397-08002B2CF9AE}" pid="29" name="FSC#SKEDITIONSLOVLEX@103.510:AttrStrListDocPropStanoviskoGest">
    <vt:lpwstr>I. Úvod: Ministerstvo školstva, vedy, výskumu a športu Slovenskej republiky dňa 15.mája 2017 predložilo Stálej pracovnej komisií na posudzovanie vybraných vplyvov (ďalej len „Komisia“) na záverečné posúdenie materiál: „Návrh zákona, ktorým sa mení a dopĺň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131/2002 Z. z. o vysokých školách a o zmene a doplnení niektorých zákonov v znení neskorších predpisov a ktorý</vt:lpwstr>
  </property>
  <property fmtid="{D5CDD505-2E9C-101B-9397-08002B2CF9AE}" pid="32" name="FSC#SKEDITIONSLOVLEX@103.510:AttrStrListDocPropTextPredklSpravy">
    <vt:lpwstr>&lt;p style="margin: 0cm 0cm 0pt; text-align: justify; line-height: normal;"&gt;&lt;span style="font-family: &amp;quot;Times New Roman&amp;quot;,&amp;quot;serif&amp;quot;; font-size: 12pt; mso-fareast-font-family: &amp;quot;Times New Roman&amp;quot;; mso-fareast-language: SK;"&gt;Ministerst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LP/2017/155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ministerka školstva, vedy, výskumu a športu Slovenskej republiky</vt:lpwstr>
  </property>
  <property fmtid="{D5CDD505-2E9C-101B-9397-08002B2CF9AE}" pid="122" name="FSC#SKEDITIONSLOVLEX@103.510:funkciaZodpPredAkuzativ">
    <vt:lpwstr>ministerke školstva, vedy, výskumu a športu Slovenskej republiky</vt:lpwstr>
  </property>
  <property fmtid="{D5CDD505-2E9C-101B-9397-08002B2CF9AE}" pid="123" name="FSC#SKEDITIONSLOVLEX@103.510:funkciaZodpPredDativ">
    <vt:lpwstr>ministerky školstva, vedy, výskumu a športu Slovenskej republiky</vt:lpwstr>
  </property>
  <property fmtid="{D5CDD505-2E9C-101B-9397-08002B2CF9AE}" pid="124" name="FSC#SKEDITIONSLOVLEX@103.510:legoblast">
    <vt:lpwstr>Vysoké a vyššie školstvo</vt:lpwstr>
  </property>
  <property fmtid="{D5CDD505-2E9C-101B-9397-08002B2CF9AE}" pid="125" name="FSC#SKEDITIONSLOVLEX@103.510:nazovpredpis">
    <vt:lpwstr>, ktorým sa mení a dopĺňa zákon č. 131/2002 Z. z. o vysokých školách a o zmene a doplnení niektorých zákonov v znení neskorších predpisov a ktorým sa menia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131/2002 Z. z. o vysokých školách a o zmene a doplnení niektorých zákonov v znení neskorších predpisov a ktorým sa menia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SR na roky 2016 - 2020, Plán legislatívnych úloh vlády SR na rok 2017.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Martina Lubyová
ministerka školstva, vedy, výskumu a športu Slovenskej republiky</vt:lpwstr>
  </property>
  <property fmtid="{D5CDD505-2E9C-101B-9397-08002B2CF9AE}" pid="139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republiky, Ministerstvo školstva, vedy, výskumu a športu Slove</vt:lpwstr>
  </property>
  <property fmtid="{D5CDD505-2E9C-101B-9397-08002B2CF9AE}" pid="140" name="FSC#SKEDITIONSLOVLEX@103.510:rezortcislopredpis">
    <vt:lpwstr>spis č. 2017-3769-56AA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o&amp;nbsp;príprave návrhu&amp;nbsp;&amp;nbsp;zákona, ktorým sa mení a dopĺňa zákon č. 131/2002 Z. z. o vysokých školách a o zmene a doplnení niektorých zákonov v znení neskorších predpisov a&amp;nbsp;ktorým sa menia&amp;nbsp;niektoré zákony informovaná pro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17. 4. 2018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školstva, vedy, výskumu a športu Slovenskej republiky</vt:lpwstr>
  </property>
  <property fmtid="{D5CDD505-2E9C-101B-9397-08002B2CF9AE}" pid="152" name="FSC#SKEDITIONSLOVLEX@103.510:zodppredkladatel">
    <vt:lpwstr>Martina Lubyová</vt:lpwstr>
  </property>
</Properties>
</file>