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95537F"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 xml:space="preserve">Zákon o zabezpečovaní kvality vysokoškolského vzdelávania </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Ministerstvo školstva, vedy, výskumu a športu Slovenskej republiky</w:t>
            </w:r>
          </w:p>
        </w:tc>
      </w:tr>
      <w:tr>
        <w:tblPrEx>
          <w:tblW w:w="5000" w:type="pct"/>
          <w:jc w:val="center"/>
          <w:tblCellMar>
            <w:left w:w="0" w:type="dxa"/>
            <w:right w:w="0" w:type="dxa"/>
          </w:tblCellMar>
          <w:tblLook w:val="04A0"/>
        </w:tblPrEx>
        <w:trPr>
          <w:divId w:val="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Začiatok:    7.3.2017</w:t>
              <w:br/>
              <w:t>Ukončenie: 20.3.2017</w:t>
            </w: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04.04.2017</w:t>
            </w:r>
          </w:p>
        </w:tc>
      </w:tr>
      <w:tr>
        <w:tblPrEx>
          <w:tblW w:w="5000" w:type="pct"/>
          <w:jc w:val="center"/>
          <w:tblCellMar>
            <w:left w:w="0" w:type="dxa"/>
            <w:right w:w="0" w:type="dxa"/>
          </w:tblCellMar>
          <w:tblLook w:val="04A0"/>
        </w:tblPrEx>
        <w:trPr>
          <w:divId w:val="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18.04.2018</w:t>
            </w:r>
          </w:p>
        </w:tc>
      </w:tr>
    </w:tbl>
    <w:p w:rsidR="00325440" w:rsidP="00C579E9">
      <w:pPr>
        <w:pStyle w:val="NormalWeb"/>
        <w:bidi w:val="0"/>
        <w:spacing w:before="0" w:beforeAutospacing="0" w:after="0" w:afterAutospacing="0"/>
        <w:rPr>
          <w:rFonts w:ascii="Times New Roman" w:hAnsi="Times New Roman"/>
          <w:bCs/>
          <w:sz w:val="22"/>
          <w:szCs w:val="22"/>
        </w:rPr>
      </w:pPr>
    </w:p>
    <w:p w:rsidR="0095537F"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V súčasnosti systém zabezpečovania kvality nie je plne kompatibilný s Európskymi štandardmi a odporúčaniami na zabezpečovanie kvality vysokoškolského vzdelávania, ktoré sú založené na vnútornom systéme vysokej školy, ktorý je pravidelne posudzovaný externou nezávislou inštitúciou. Návrh zákona sa zameriava na zlepšenie zabezpečovania kvality vysokoškolského vzdelávania.</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Cieľom návrhu je upraviť systém zabezpečovania kvality vysokoškolského vzdelávania, udeľovanie akreditácie študijného programu, akreditácie na habilitačné konania a konanie na vymenúvanie profesorov. Návrh zriaďuje Slovenskú akreditačnú agentúru pre vysoké školstvo ako nezávislú inštitúciu, ktorá v súlade so štandardmi a odporúčaniami pre zabezpečovanie kvality bude posudzovať funkčnosť vnútorných systémov vysokých škôl v SR.</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Vysoké školy, právnické osoby so sídlom v Slovenskej republike alebo so sídlom na území členského štátu, ktoré žiadajú vládu Slovenskej republiky o súhlas v mene štátu pôsobiť ako súkromná vysoká škola (žiadatelia o štátny súhlas), študenti vysokých škôl, zamestnávatelia, zainteresovaná verejnosť.</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Návrh nezahŕňa transpozíciu práva EÚ.</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95537F"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95537F">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3"/>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95537F">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95537F"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 xml:space="preserve">Vyhodnotenie pripomienok Stálej pracovnej komisie na posudzovanie vybraných vplyvov z 19.5.2017: Predkladateľ akceptoval pripomienky stálej pracovnej komisie. </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Andrej Piovarči, odbor vysokoškolského vzdelávania, andrej.piovarci@minedu.sk</w:t>
              <w:br/>
              <w:t>Marek Gilányi, odbor legislatívy, marek.gilanyi@minedu.sk</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95537F">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1"/>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95537F">
            <w:pPr>
              <w:bidi w:val="0"/>
              <w:spacing w:after="0" w:line="240" w:lineRule="auto"/>
              <w:rPr>
                <w:rFonts w:ascii="Times" w:hAnsi="Times" w:cs="Times"/>
                <w:sz w:val="20"/>
                <w:szCs w:val="20"/>
              </w:rPr>
            </w:pPr>
            <w:r>
              <w:rPr>
                <w:rFonts w:ascii="Times" w:hAnsi="Times" w:cs="Times"/>
                <w:sz w:val="20"/>
                <w:szCs w:val="20"/>
              </w:rPr>
              <w:t>I. Úvod: Ministerstvo školstva, vedy, výskumu a športu Slovenskej republiky dňa 12.mája 2017 predložilo Stálej pracovnej komisii na posudzovanie vybraných vplyvov (ďalej len „Komisia) na záverečné posúdenie materiál: „Návrh zákona o zabezpečovaní kvality vysokoškolského vzdelávania“. Materiál predpokladá negatívne vplyvy na rozpočet verejnej správy, ktoré sú rozpočtovo zabezpečené. II. Pripomienky a návrhy zmien: Komisia uplatňuje k materiálu nasledovné pripomienky a odporúčania: K analýze vplyvov na rozpočet verejnej správy:V analýze vplyvov na rozpočet verejnej správy sa konštatuje, že „Financovanie zvýšených výdavkov bude zabezpečené v rámci schválených limitov kapitoly Ministerstva školstva, vedy, výskumu a športu SR.“, čo Komisia berie na vedomie. V tabuľke č. 1 Zhrnutie vplyvov na rozpočet verejnej správy v časti „Financovanie zabezpečené v rozpočte“, Komisia žiada namiesto riadku „Všeobecná pokladničná správa“ uviesť Ministerstvo školstva, vedy, výskumu a športu SR s rovnakými sumami, ktoré sú uvedené v riadku „Financovanie zabezpečené v rozpočte“. Komisia upozorňuje, že vo vyhodnotení MPK sa na str. 18 vo veci zabezpečenia vplyvov na rozpočet uvádza, že bolo uskutočnené rozporové konanie 3.5.2017, pripomienka neakceptovaná, rozpor trvá. Nakoľko je však v analýze vplyvov uvedené, že financovanie zvýšených výdavkov bude zabezpečené v rámci schválených limitov kapitoly Ministerstva školstva, vedy, výskumu a športu SR, Komisia odporúča vyhodnotenie MPK upraviť. III. Záver: Stála pracovná komisia na posudzovanie vybraných vplyvov vyjadruje súhlasné stanovisko s návrhom na dopracovanie s materiálom predloženým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Ing. Rastislav Chovanec, PhD. predseda komisie</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4F89"/>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5537F"/>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0C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4.2018 20:15:47"/>
    <f:field ref="objchangedby" par="" text="Administrator, System"/>
    <f:field ref="objmodifiedat" par="" text="2.4.2018 20:15:54"/>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2</Pages>
  <Words>862</Words>
  <Characters>4918</Characters>
  <Application>Microsoft Office Word</Application>
  <DocSecurity>0</DocSecurity>
  <Lines>0</Lines>
  <Paragraphs>0</Paragraphs>
  <ScaleCrop>false</ScaleCrop>
  <Company>UVSR</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marek.gilanyi</cp:lastModifiedBy>
  <cp:revision>2</cp:revision>
  <dcterms:created xsi:type="dcterms:W3CDTF">2018-04-17T20:52:00Z</dcterms:created>
  <dcterms:modified xsi:type="dcterms:W3CDTF">2018-04-17T20:52:00Z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COO.2145.1000.3.2501115</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20. 3. 2017</vt:lpwstr>
  </property>
  <property fmtid="{D5CDD505-2E9C-101B-9397-08002B2CF9AE}" pid="6" name="FSC#SKEDITIONSLOVLEX@103.510:AttrDateDocPropZaciatokPKK">
    <vt:lpwstr>7. 3. 2017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Pozitívne
Negatívne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školstva, vedy, výskumu a športu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Vyhodnotenie pripomienok Stálej pracovnej komisie na posudzovanie vybraných vplyvov z 19.5.2017: Predkladateľ akceptoval pripomienky stálej pracovnej komisie.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školstva, vedy, výskumu a športu Slovenskej republiky dňa 12.mája 2017 predložilo Stálej pracovnej komisii na posudzovanie vybraných vplyvov (ďalej len „Komisia) na záverečné posúdenie materiál: „Návrh zákona o zabezpečovaní kvality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o zabezpečovaní kvality vysokoškolského vzdelávania .</vt:lpwstr>
  </property>
  <property fmtid="{D5CDD505-2E9C-101B-9397-08002B2CF9AE}" pid="32" name="FSC#SKEDITIONSLOVLEX@103.510:AttrStrListDocPropTextPredklSpravy">
    <vt:lpwstr>&lt;p style="text-align: justify;"&gt;Ministerstvo školstva, vedy, výskumu a&amp;nbsp;športu Slovenskej republiky predkladá návrh zákona o zabezpečovaní kvality vysokoškolského vzdelávania.&lt;/p&gt;&lt;p style="text-align: justify;"&gt;Návrh zákona vychádza z&amp;nbsp;úlohy č. 8 </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LP/2017/157</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ministerka školstva, vedy, výskumu a športu Slovenskej republiky</vt:lpwstr>
  </property>
  <property fmtid="{D5CDD505-2E9C-101B-9397-08002B2CF9AE}" pid="122" name="FSC#SKEDITIONSLOVLEX@103.510:funkciaZodpPredAkuzativ">
    <vt:lpwstr>ministerke školstva, vedy, výskumu a športu Slovenskej republiky</vt:lpwstr>
  </property>
  <property fmtid="{D5CDD505-2E9C-101B-9397-08002B2CF9AE}" pid="123" name="FSC#SKEDITIONSLOVLEX@103.510:funkciaZodpPredDativ">
    <vt:lpwstr>ministerky školstva, vedy, výskumu a športu Slovenskej republiky</vt:lpwstr>
  </property>
  <property fmtid="{D5CDD505-2E9C-101B-9397-08002B2CF9AE}" pid="124" name="FSC#SKEDITIONSLOVLEX@103.510:legoblast">
    <vt:lpwstr>Vysoké a vyššie školstvo</vt:lpwstr>
  </property>
  <property fmtid="{D5CDD505-2E9C-101B-9397-08002B2CF9AE}" pid="125" name="FSC#SKEDITIONSLOVLEX@103.510:nazovpredpis">
    <vt:lpwstr> o zabezpečovaní kvality vysokoškolského vzdelávania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o zabezpečovaní kvality vysokoškolského vzdelávania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fmtid="{D5CDD505-2E9C-101B-9397-08002B2CF9AE}" pid="136" name="FSC#SKEDITIONSLOVLEX@103.510:povodpredpis">
    <vt:lpwstr>Slovlex (eLeg)</vt:lpwstr>
  </property>
  <property fmtid="{D5CDD505-2E9C-101B-9397-08002B2CF9AE}" pid="137" name="FSC#SKEDITIONSLOVLEX@103.510:predkladatel">
    <vt:lpwstr>Marek Gilányi</vt:lpwstr>
  </property>
  <property fmtid="{D5CDD505-2E9C-101B-9397-08002B2CF9AE}" pid="138" name="FSC#SKEDITIONSLOVLEX@103.510:predkladateliaObalSD">
    <vt:lpwstr>Martina Lubyová
ministerka školstva, vedy, výskumu a športu Slovenskej republiky</vt:lpwstr>
  </property>
  <property fmtid="{D5CDD505-2E9C-101B-9397-08002B2CF9AE}" pid="139"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vt:lpwstr>
  </property>
  <property fmtid="{D5CDD505-2E9C-101B-9397-08002B2CF9AE}" pid="140" name="FSC#SKEDITIONSLOVLEX@103.510:rezortcislopredpis">
    <vt:lpwstr>spis č. 2017-3770-56AA</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2. 4. 2018</vt:lpwstr>
  </property>
  <property fmtid="{D5CDD505-2E9C-101B-9397-08002B2CF9AE}" pid="150" name="FSC#SKEDITIONSLOVLEX@103.510:vztahypredpis">
    <vt:lpwstr/>
  </property>
  <property fmtid="{D5CDD505-2E9C-101B-9397-08002B2CF9AE}" pid="151" name="FSC#SKEDITIONSLOVLEX@103.510:zodpinstitucia">
    <vt:lpwstr>Ministerstvo školstva, vedy, výskumu a športu Slovenskej republiky</vt:lpwstr>
  </property>
  <property fmtid="{D5CDD505-2E9C-101B-9397-08002B2CF9AE}" pid="152" name="FSC#SKEDITIONSLOVLEX@103.510:zodppredkladatel">
    <vt:lpwstr>Martina Lubyová</vt:lpwstr>
  </property>
</Properties>
</file>