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90534E" w:rsidP="0090534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0534E">
        <w:rPr>
          <w:rFonts w:ascii="Times New Roman" w:hAnsi="Times New Roman"/>
          <w:b/>
          <w:bCs/>
          <w:sz w:val="24"/>
          <w:szCs w:val="24"/>
        </w:rPr>
        <w:t>Doložka vybraných vplyvov</w:t>
      </w:r>
    </w:p>
    <w:p w:rsidR="003501A1" w:rsidRPr="0090534E" w:rsidP="0090534E">
      <w:pPr>
        <w:pStyle w:val="ListParagraph"/>
        <w:bidi w:val="0"/>
        <w:spacing w:after="0" w:line="240" w:lineRule="auto"/>
        <w:ind w:left="426"/>
        <w:rPr>
          <w:b/>
          <w:sz w:val="24"/>
          <w:szCs w:val="24"/>
        </w:rPr>
      </w:pPr>
    </w:p>
    <w:tbl>
      <w:tblPr>
        <w:tblStyle w:val="TableGrid"/>
        <w:tblW w:w="9639" w:type="dxa"/>
        <w:jc w:val="center"/>
        <w:tblLayout w:type="fixed"/>
        <w:tblLook w:val="04A0"/>
      </w:tblPr>
      <w:tblGrid>
        <w:gridCol w:w="4003"/>
        <w:gridCol w:w="420"/>
        <w:gridCol w:w="148"/>
        <w:gridCol w:w="592"/>
        <w:gridCol w:w="753"/>
        <w:gridCol w:w="597"/>
        <w:gridCol w:w="1190"/>
        <w:gridCol w:w="298"/>
        <w:gridCol w:w="276"/>
        <w:gridCol w:w="1362"/>
      </w:tblGrid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387877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387877">
              <w:rPr>
                <w:rFonts w:ascii="Times New Roman" w:hAnsi="Times New Roman"/>
                <w:bCs/>
                <w:sz w:val="24"/>
                <w:szCs w:val="24"/>
              </w:rPr>
              <w:t xml:space="preserve">Návrh na ratifikáciu </w:t>
            </w:r>
            <w:r w:rsidRPr="0090534E" w:rsidR="009320F5">
              <w:rPr>
                <w:rFonts w:ascii="Times New Roman" w:hAnsi="Times New Roman"/>
                <w:bCs/>
                <w:sz w:val="24"/>
                <w:szCs w:val="24"/>
              </w:rPr>
              <w:t>Protokol</w:t>
            </w:r>
            <w:r w:rsidR="00387877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387877" w:rsidR="00387877">
              <w:rPr>
                <w:rFonts w:ascii="Times New Roman" w:hAnsi="Times New Roman"/>
                <w:bCs/>
                <w:sz w:val="24"/>
                <w:szCs w:val="24"/>
              </w:rPr>
              <w:t xml:space="preserve">, ktorým sa mení článok </w:t>
            </w:r>
            <w:r w:rsidRPr="0090534E" w:rsidR="009320F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117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0534E" w:rsidR="009320F5">
              <w:rPr>
                <w:rFonts w:ascii="Times New Roman" w:hAnsi="Times New Roman"/>
                <w:bCs/>
                <w:sz w:val="24"/>
                <w:szCs w:val="24"/>
              </w:rPr>
              <w:t xml:space="preserve"> Dohovoru o medzinárodnom civilnom letectve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1C0541">
              <w:rPr>
                <w:rFonts w:ascii="Times New Roman" w:hAnsi="Times New Roman"/>
                <w:sz w:val="24"/>
                <w:szCs w:val="24"/>
              </w:rPr>
              <w:t>minister</w:t>
            </w:r>
            <w:r w:rsidRPr="0090534E" w:rsidR="001C0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34E" w:rsidR="009320F5">
              <w:rPr>
                <w:rFonts w:ascii="Times New Roman" w:hAnsi="Times New Roman"/>
                <w:sz w:val="24"/>
                <w:szCs w:val="24"/>
              </w:rPr>
              <w:t>dopravy a výstavby Slovenskej republiky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90534E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>Materiál nelegislatívnej povahy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 w:rsidR="009320F5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>Materiál legislatívnej povahy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>Transpozícia práva EÚ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5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7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0534E" w:rsidR="009053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MPK</w:t>
            </w:r>
            <w:r w:rsidRPr="0090534E" w:rsidR="00F6277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="001C0541">
              <w:rPr>
                <w:rFonts w:ascii="Times" w:hAnsi="Times" w:cs="Times"/>
                <w:sz w:val="24"/>
                <w:szCs w:val="24"/>
              </w:rPr>
              <w:t>január 2018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Rokovanie vlády SR</w:t>
            </w:r>
            <w:r w:rsidRPr="0090534E" w:rsidR="00F6277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1C0541">
              <w:rPr>
                <w:rFonts w:ascii="Times New Roman" w:hAnsi="Times New Roman"/>
                <w:sz w:val="24"/>
                <w:szCs w:val="24"/>
              </w:rPr>
              <w:t>marec</w:t>
            </w:r>
            <w:r w:rsidRPr="0090534E" w:rsidR="001C0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34E" w:rsidR="009320F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Defin</w:t>
            </w:r>
            <w:r w:rsidRPr="0090534E" w:rsidR="00AC2477">
              <w:rPr>
                <w:rFonts w:ascii="Times New Roman" w:hAnsi="Times New Roman" w:cs="Times New Roman"/>
                <w:b/>
                <w:sz w:val="24"/>
                <w:szCs w:val="24"/>
              </w:rPr>
              <w:t>ovanie</w:t>
            </w: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problému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61179A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 w:rsidR="003D7C40">
              <w:rPr>
                <w:rFonts w:ascii="Times New Roman" w:hAnsi="Times New Roman"/>
                <w:bCs/>
                <w:sz w:val="24"/>
                <w:szCs w:val="24"/>
              </w:rPr>
              <w:t>Protokol</w:t>
            </w:r>
            <w:r w:rsidR="00387877">
              <w:rPr>
                <w:rFonts w:ascii="Times New Roman" w:hAnsi="Times New Roman"/>
                <w:bCs/>
                <w:sz w:val="24"/>
                <w:szCs w:val="24"/>
              </w:rPr>
              <w:t xml:space="preserve">, ktorým sa mení článok </w:t>
            </w:r>
            <w:r w:rsidRPr="0090534E" w:rsidR="003D7C4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117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0534E" w:rsidR="003D7C40">
              <w:rPr>
                <w:rFonts w:ascii="Times New Roman" w:hAnsi="Times New Roman"/>
                <w:bCs/>
                <w:sz w:val="24"/>
                <w:szCs w:val="24"/>
              </w:rPr>
              <w:t xml:space="preserve"> Dohovoru o medzinárodnom civilnom letectve predstavuj</w:t>
            </w:r>
            <w:r w:rsidR="005353EE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90534E" w:rsidR="003D7C40">
              <w:rPr>
                <w:rFonts w:ascii="Times New Roman" w:hAnsi="Times New Roman"/>
                <w:bCs/>
                <w:sz w:val="24"/>
                <w:szCs w:val="24"/>
              </w:rPr>
              <w:t xml:space="preserve"> právny nástroj na zmenu Dohovoru o medzinárodnom civilnom letectve.</w:t>
            </w:r>
            <w:r w:rsidRPr="0090534E" w:rsidR="003D7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trHeight w:val="741"/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1179A" w:rsidRPr="0061179A" w:rsidP="0061179A">
            <w:pPr>
              <w:bidi w:val="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90534E" w:rsidR="003D7C40">
              <w:rPr>
                <w:rFonts w:ascii="Times" w:hAnsi="Times" w:cs="Times"/>
                <w:sz w:val="24"/>
                <w:szCs w:val="24"/>
              </w:rPr>
              <w:t>Z dôvodu záujmu členských štátov Medzinárodnej organizácie civilného letectva (ďalej len „ICAO“</w:t>
            </w:r>
            <w:r w:rsidR="00E10351">
              <w:rPr>
                <w:rFonts w:ascii="Times" w:hAnsi="Times" w:cs="Times"/>
                <w:sz w:val="24"/>
                <w:szCs w:val="24"/>
              </w:rPr>
              <w:t xml:space="preserve"> „organizácia ICAO“</w:t>
            </w:r>
            <w:r w:rsidRPr="0090534E" w:rsidR="003D7C40">
              <w:rPr>
                <w:rFonts w:ascii="Times" w:hAnsi="Times" w:cs="Times"/>
                <w:sz w:val="24"/>
                <w:szCs w:val="24"/>
              </w:rPr>
              <w:t xml:space="preserve">) o členstvo v Rade ICAO a o spoluprácu na ďalšom smerovaní organizácie ICAO z dôvodu rastúceho vplyvu medzinárodnej leteckej dopravy na národné hospodárstvo členských štátov </w:t>
            </w:r>
            <w:r w:rsidR="00E10351">
              <w:rPr>
                <w:rFonts w:ascii="Times" w:hAnsi="Times" w:cs="Times"/>
                <w:sz w:val="24"/>
                <w:szCs w:val="24"/>
              </w:rPr>
              <w:t xml:space="preserve">organizácie </w:t>
            </w:r>
            <w:r w:rsidRPr="0090534E" w:rsidR="003D7C40">
              <w:rPr>
                <w:rFonts w:ascii="Times" w:hAnsi="Times" w:cs="Times"/>
                <w:sz w:val="24"/>
                <w:szCs w:val="24"/>
              </w:rPr>
              <w:t xml:space="preserve">ICAO bola na zasadnutí 39. valného zhromaždenia ICAO prijatá rezolúcia </w:t>
            </w:r>
            <w:r w:rsidRPr="005353EE" w:rsidR="003D7C40">
              <w:rPr>
                <w:rFonts w:ascii="Times" w:hAnsi="Times" w:cs="Times"/>
                <w:i/>
                <w:sz w:val="24"/>
                <w:szCs w:val="24"/>
              </w:rPr>
              <w:t>A39-5 Ratifikácia Protokolu, ktorým sa mení čl. 50 písm. a) Dohovoru</w:t>
            </w:r>
            <w:r w:rsidRPr="0090534E" w:rsidR="003D7C40">
              <w:rPr>
                <w:rFonts w:ascii="Times" w:hAnsi="Times" w:cs="Times"/>
                <w:sz w:val="24"/>
                <w:szCs w:val="24"/>
              </w:rPr>
              <w:t xml:space="preserve">. Uvedeným </w:t>
            </w:r>
            <w:r w:rsidR="00DD5A31">
              <w:rPr>
                <w:rFonts w:ascii="Times" w:hAnsi="Times" w:cs="Times"/>
                <w:sz w:val="24"/>
                <w:szCs w:val="24"/>
              </w:rPr>
              <w:t>p</w:t>
            </w:r>
            <w:r w:rsidRPr="0090534E" w:rsidR="00DD5A31">
              <w:rPr>
                <w:rFonts w:ascii="Times" w:hAnsi="Times" w:cs="Times"/>
                <w:sz w:val="24"/>
                <w:szCs w:val="24"/>
              </w:rPr>
              <w:t>rotokolom</w:t>
            </w:r>
            <w:r w:rsidRPr="0090534E" w:rsidR="003D7C40">
              <w:rPr>
                <w:rFonts w:ascii="Times" w:hAnsi="Times" w:cs="Times"/>
                <w:sz w:val="24"/>
                <w:szCs w:val="24"/>
              </w:rPr>
              <w:t>, ktorý predstavuje piatu zmenu čl. 50 písm. a) Dohovoru</w:t>
            </w:r>
            <w:r w:rsidR="005353EE">
              <w:rPr>
                <w:rFonts w:ascii="Times" w:hAnsi="Times" w:cs="Times"/>
                <w:sz w:val="24"/>
                <w:szCs w:val="24"/>
              </w:rPr>
              <w:t xml:space="preserve"> o medzinárodnom civilnom letectve</w:t>
            </w:r>
            <w:r w:rsidRPr="0090534E" w:rsidR="003D7C40">
              <w:rPr>
                <w:rFonts w:ascii="Times" w:hAnsi="Times" w:cs="Times"/>
                <w:sz w:val="24"/>
                <w:szCs w:val="24"/>
              </w:rPr>
              <w:t xml:space="preserve">, sa zmení počet členov Rady ICAO, zo súčasného počtu 36 na nový počet 40. </w:t>
            </w:r>
          </w:p>
          <w:p w:rsidR="0061179A" w:rsidP="0061179A">
            <w:pPr>
              <w:bidi w:val="0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3501A1" w:rsidRPr="005353EE" w:rsidP="007E7B96">
            <w:pPr>
              <w:bidi w:val="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179A" w:rsidR="0061179A">
              <w:rPr>
                <w:rFonts w:ascii="Times" w:hAnsi="Times" w:cs="Times"/>
                <w:sz w:val="24"/>
                <w:szCs w:val="24"/>
              </w:rPr>
              <w:t xml:space="preserve">So zvýšením počtu členov Rady ICAO prejavili členské štáty organizácie ICAO aj o zvýšenie počtu členov Leteckej navigačnej komisie, ktorá rieši technické otázky leteckej prevádzky, členovia náležitou kvalifikáciou a skúsenosťami vo vedeckej aj praktickej oblasti leteckej prevádzky sú menovaní Radou ICAO. Na zasadnutí 39. valného zhromaždenia </w:t>
            </w:r>
            <w:r w:rsidR="0061179A">
              <w:rPr>
                <w:rFonts w:ascii="Times" w:hAnsi="Times" w:cs="Times"/>
                <w:sz w:val="24"/>
                <w:szCs w:val="24"/>
              </w:rPr>
              <w:t>ICAO</w:t>
            </w:r>
            <w:r w:rsidR="00EA3E2E">
              <w:rPr>
                <w:rFonts w:ascii="Times" w:hAnsi="Times" w:cs="Times"/>
                <w:sz w:val="24"/>
                <w:szCs w:val="24"/>
              </w:rPr>
              <w:t xml:space="preserve"> bola</w:t>
            </w:r>
            <w:r w:rsidR="0061179A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61179A" w:rsidR="0061179A">
              <w:rPr>
                <w:rFonts w:ascii="Times" w:hAnsi="Times" w:cs="Times"/>
                <w:sz w:val="24"/>
                <w:szCs w:val="24"/>
              </w:rPr>
              <w:t xml:space="preserve">prijatá rezolúcia </w:t>
            </w:r>
            <w:r w:rsidRPr="0061179A" w:rsidR="0061179A">
              <w:rPr>
                <w:rFonts w:ascii="Times" w:hAnsi="Times" w:cs="Times"/>
                <w:i/>
                <w:sz w:val="24"/>
                <w:szCs w:val="24"/>
              </w:rPr>
              <w:t>A39-7 Ratifikácia Protokolu, ktorým sa mení čl. 56 Dohovoru</w:t>
            </w:r>
            <w:r w:rsidRPr="0061179A" w:rsidR="0061179A">
              <w:rPr>
                <w:rFonts w:ascii="Times" w:hAnsi="Times" w:cs="Times"/>
                <w:sz w:val="24"/>
                <w:szCs w:val="24"/>
              </w:rPr>
              <w:t xml:space="preserve">. Uvedeným </w:t>
            </w:r>
            <w:r w:rsidR="00DD5A31">
              <w:rPr>
                <w:rFonts w:ascii="Times" w:hAnsi="Times" w:cs="Times"/>
                <w:sz w:val="24"/>
                <w:szCs w:val="24"/>
              </w:rPr>
              <w:t>p</w:t>
            </w:r>
            <w:r w:rsidRPr="0061179A" w:rsidR="00DD5A31">
              <w:rPr>
                <w:rFonts w:ascii="Times" w:hAnsi="Times" w:cs="Times"/>
                <w:sz w:val="24"/>
                <w:szCs w:val="24"/>
              </w:rPr>
              <w:t>rotokolom</w:t>
            </w:r>
            <w:r w:rsidRPr="0061179A" w:rsidR="0061179A">
              <w:rPr>
                <w:rFonts w:ascii="Times" w:hAnsi="Times" w:cs="Times"/>
                <w:sz w:val="24"/>
                <w:szCs w:val="24"/>
              </w:rPr>
              <w:t xml:space="preserve">, ktorý predstavuje tretiu zmenu čl. 56 </w:t>
            </w:r>
            <w:r w:rsidR="007E7B96">
              <w:rPr>
                <w:rFonts w:ascii="Times" w:hAnsi="Times" w:cs="Times"/>
                <w:sz w:val="24"/>
                <w:szCs w:val="24"/>
              </w:rPr>
              <w:t>d</w:t>
            </w:r>
            <w:r w:rsidRPr="0061179A" w:rsidR="0061179A">
              <w:rPr>
                <w:rFonts w:ascii="Times" w:hAnsi="Times" w:cs="Times"/>
                <w:sz w:val="24"/>
                <w:szCs w:val="24"/>
              </w:rPr>
              <w:t>ohovoru</w:t>
            </w:r>
            <w:r w:rsidR="0061179A">
              <w:rPr>
                <w:rFonts w:ascii="Times" w:hAnsi="Times" w:cs="Times"/>
                <w:sz w:val="24"/>
                <w:szCs w:val="24"/>
              </w:rPr>
              <w:t xml:space="preserve"> o medzinárodnom civilnom letectve</w:t>
            </w:r>
            <w:r w:rsidRPr="0061179A" w:rsidR="0061179A">
              <w:rPr>
                <w:rFonts w:ascii="Times" w:hAnsi="Times" w:cs="Times"/>
                <w:sz w:val="24"/>
                <w:szCs w:val="24"/>
              </w:rPr>
              <w:t>, sa zmení počet členov Leteckej navigačnej komisie, zo súčasného počtu 19 na nový počet 21.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90534E" w:rsidR="003D7C40">
              <w:rPr>
                <w:rFonts w:ascii="Times New Roman" w:hAnsi="Times New Roman"/>
                <w:sz w:val="24"/>
                <w:szCs w:val="24"/>
              </w:rPr>
              <w:t xml:space="preserve">Členské štáty </w:t>
            </w:r>
            <w:r w:rsidR="003E32B0">
              <w:rPr>
                <w:rFonts w:ascii="Times New Roman" w:hAnsi="Times New Roman"/>
                <w:sz w:val="24"/>
                <w:szCs w:val="24"/>
              </w:rPr>
              <w:t xml:space="preserve">organizácie </w:t>
            </w:r>
            <w:r w:rsidRPr="0090534E" w:rsidR="003D7C40">
              <w:rPr>
                <w:rFonts w:ascii="Times New Roman" w:hAnsi="Times New Roman"/>
                <w:sz w:val="24"/>
                <w:szCs w:val="24"/>
              </w:rPr>
              <w:t>ICAO</w:t>
            </w:r>
            <w:r w:rsidRPr="0090534E" w:rsidR="00CD5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1C0541">
              <w:rPr>
                <w:rFonts w:ascii="Times New Roman" w:hAnsi="Times New Roman"/>
                <w:sz w:val="24"/>
                <w:szCs w:val="24"/>
              </w:rPr>
              <w:t>Alternatívne riešenia neboli posudzované.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51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0534E">
              <w:rPr>
                <w:rFonts w:ascii="Times New Roman" w:hAnsi="Times New Roman"/>
                <w:i/>
                <w:sz w:val="24"/>
                <w:szCs w:val="24"/>
              </w:rPr>
              <w:t>Predpokladá sa prijatie/zmena  vykonávacích predpisov?</w:t>
            </w:r>
          </w:p>
        </w:tc>
        <w:tc>
          <w:tcPr>
            <w:tcW w:w="148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 w:rsidR="00D13B6F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90534E">
              <w:rPr>
                <w:rFonts w:ascii="Times New Roman" w:hAnsi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638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 w:rsidR="003D7C40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  <w:r w:rsidRPr="0090534E">
              <w:rPr>
                <w:rFonts w:ascii="Times New Roman" w:hAnsi="Times New Roman"/>
                <w:sz w:val="24"/>
                <w:szCs w:val="24"/>
              </w:rPr>
              <w:t xml:space="preserve">  Nie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96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</w:t>
            </w:r>
            <w:r w:rsidRPr="0090534E" w:rsidR="00F6277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trHeight w:val="715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62771" w:rsidRPr="00AE3CD2" w:rsidP="0090534E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AE3CD2">
              <w:rPr>
                <w:rFonts w:ascii="Times New Roman" w:hAnsi="Times New Roman"/>
              </w:rPr>
              <w:t xml:space="preserve">* </w:t>
            </w:r>
            <w:r w:rsidRPr="00AE3CD2" w:rsidR="004C60B8">
              <w:rPr>
                <w:rFonts w:ascii="Times New Roman" w:hAnsi="Times New Roman"/>
              </w:rPr>
              <w:t>vyplniť iba v prípade, ak</w:t>
            </w:r>
            <w:r w:rsidRPr="00AE3CD2">
              <w:rPr>
                <w:rFonts w:ascii="Times New Roman" w:hAnsi="Times New Roman"/>
              </w:rPr>
              <w:t xml:space="preserve"> </w:t>
            </w:r>
            <w:r w:rsidRPr="00AE3CD2" w:rsidR="004C60B8">
              <w:rPr>
                <w:rFonts w:ascii="Times New Roman" w:hAnsi="Times New Roman"/>
              </w:rPr>
              <w:t xml:space="preserve">materiál </w:t>
            </w:r>
            <w:r w:rsidRPr="00AE3CD2">
              <w:rPr>
                <w:rFonts w:ascii="Times New Roman" w:hAnsi="Times New Roman"/>
              </w:rPr>
              <w:t xml:space="preserve">nie je </w:t>
            </w:r>
            <w:r w:rsidRPr="00AE3CD2" w:rsidR="004C60B8">
              <w:rPr>
                <w:rFonts w:ascii="Times New Roman" w:hAnsi="Times New Roman"/>
              </w:rPr>
              <w:t>zahrnutý do Plánu práce vlády Slovenskej republiky alebo Plánu legislatívnych úloh vlády Slovenskej republiky.</w:t>
            </w:r>
            <w:r w:rsidRPr="00AE3CD2">
              <w:rPr>
                <w:rFonts w:ascii="Times New Roman" w:hAnsi="Times New Roman"/>
              </w:rPr>
              <w:t xml:space="preserve"> </w:t>
            </w:r>
          </w:p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AE3CD2" w:rsidR="00F62771">
              <w:rPr>
                <w:rFonts w:ascii="Times New Roman" w:hAnsi="Times New Roman"/>
              </w:rPr>
              <w:t>*</w:t>
            </w:r>
            <w:r w:rsidRPr="00AE3CD2"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0534E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trHeight w:val="57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Vplyvy navrhovaného materiálu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Vplyvy na rozpočet verejnej správy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 w:rsidR="00CD512B">
              <w:rPr>
                <w:rFonts w:ascii="MS Gothic" w:eastAsia="MS Gothic" w:hAnsi="MS Gothic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 xml:space="preserve">    z toho rozpočtovo zabezpečené vplyvy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>Čiastočne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Vplyvy na podnikateľské prostredie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 w:rsidR="00CD512B">
              <w:rPr>
                <w:rFonts w:ascii="MS Gothic" w:eastAsia="MS Gothic" w:hAnsi="MS Gothic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 xml:space="preserve">    z toho vplyvy na MSP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90534E">
              <w:rPr>
                <w:rFonts w:ascii="Times New Roman" w:hAnsi="Times New Roman"/>
                <w:sz w:val="24"/>
                <w:szCs w:val="24"/>
              </w:rPr>
              <w:t>Negatívne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Sociálne vplyvy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 w:rsidR="00CD512B">
              <w:rPr>
                <w:rFonts w:ascii="MS Gothic" w:eastAsia="MS Gothic" w:hAnsi="MS Gothic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Vplyvy na životné prostredie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 w:rsidR="00CD512B">
              <w:rPr>
                <w:rFonts w:ascii="MS Gothic" w:eastAsia="MS Gothic" w:hAnsi="MS Gothic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Vplyvy na informatizáciu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="00CE6C19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0534E" w:rsidP="0090534E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0534E" w:rsidP="0090534E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Style w:val="TableNormal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3"/>
        <w:gridCol w:w="568"/>
        <w:gridCol w:w="1345"/>
        <w:gridCol w:w="597"/>
        <w:gridCol w:w="1190"/>
        <w:gridCol w:w="574"/>
        <w:gridCol w:w="1362"/>
      </w:tblGrid>
      <w:tr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Vplyvy na služ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by verejnej sprá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vy pre obč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 xml:space="preserve">    vplyvy služ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ieb verejnej sprá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vy na obč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Pozití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4"/>
                <w:szCs w:val="24"/>
                <w:lang w:eastAsia="en-US"/>
              </w:rPr>
            </w:pPr>
            <w:r w:rsidR="00CE6C19">
              <w:rPr>
                <w:rFonts w:ascii="MS Gothic" w:eastAsia="MS Gothic" w:hAnsi="MS Gothic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Ž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90534E" w:rsidP="001C0541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Negatí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vne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 xml:space="preserve">    vplyvy na procesy služ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ieb vo verejnej sprá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Pozití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="00CE6C19">
              <w:rPr>
                <w:rFonts w:ascii="MS Gothic" w:eastAsia="MS Gothic" w:hAnsi="MS Gothic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Ž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0534E" w:rsidP="0090534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465B" w:rsidRPr="0090534E" w:rsidP="001C0541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Negatí</w:t>
            </w:r>
            <w:r w:rsidRPr="0090534E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vn</w:t>
            </w:r>
            <w:r w:rsidR="001C05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e</w:t>
            </w:r>
          </w:p>
        </w:tc>
      </w:tr>
    </w:tbl>
    <w:p w:rsidR="003501A1" w:rsidRPr="0090534E" w:rsidP="0090534E">
      <w:pPr>
        <w:bidi w:val="0"/>
        <w:ind w:right="141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39" w:type="dxa"/>
        <w:jc w:val="center"/>
        <w:tblLayout w:type="fixed"/>
        <w:tblLook w:val="04A0"/>
      </w:tblPr>
      <w:tblGrid>
        <w:gridCol w:w="9639"/>
      </w:tblGrid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90534E" w:rsidR="00CD512B">
              <w:rPr>
                <w:rFonts w:ascii="Times New Roman" w:hAnsi="Times New Roman"/>
                <w:sz w:val="24"/>
                <w:szCs w:val="24"/>
              </w:rPr>
              <w:t xml:space="preserve">Ministerstvo dopravy a výstavby Slovenskej republiky, sekcia civilného letectva, odbor civilného letectva, </w:t>
            </w:r>
            <w:hyperlink r:id="rId5" w:history="1">
              <w:r w:rsidRPr="0090534E" w:rsidR="00CD51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letectvo@mindop.sk</w:t>
              </w:r>
            </w:hyperlink>
            <w:r w:rsidRPr="0090534E" w:rsidR="00CD512B">
              <w:rPr>
                <w:rFonts w:ascii="Times New Roman" w:hAnsi="Times New Roman"/>
                <w:sz w:val="24"/>
                <w:szCs w:val="24"/>
              </w:rPr>
              <w:t>, +421 2 594 94 744.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90534E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0534E" w:rsidP="0090534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4E">
              <w:rPr>
                <w:rFonts w:ascii="Times New Roman" w:hAnsi="Times New Roman" w:cs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0534E" w:rsidP="00DD5A31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34E" w:rsidR="0090534E">
              <w:rPr>
                <w:rFonts w:ascii="Times" w:hAnsi="Times" w:cs="Times"/>
                <w:sz w:val="24"/>
                <w:szCs w:val="24"/>
              </w:rPr>
              <w:t xml:space="preserve">Návrh na ratifikáciu </w:t>
            </w:r>
            <w:r w:rsidR="00DD5A31">
              <w:rPr>
                <w:rFonts w:ascii="Times" w:hAnsi="Times" w:cs="Times"/>
                <w:sz w:val="24"/>
                <w:szCs w:val="24"/>
              </w:rPr>
              <w:t>p</w:t>
            </w:r>
            <w:r w:rsidRPr="0090534E" w:rsidR="00DD5A31">
              <w:rPr>
                <w:rFonts w:ascii="Times" w:hAnsi="Times" w:cs="Times"/>
                <w:sz w:val="24"/>
                <w:szCs w:val="24"/>
              </w:rPr>
              <w:t>rotoko</w:t>
            </w:r>
            <w:r w:rsidR="00DD5A31">
              <w:rPr>
                <w:rFonts w:ascii="Times" w:hAnsi="Times" w:cs="Times"/>
                <w:sz w:val="24"/>
                <w:szCs w:val="24"/>
              </w:rPr>
              <w:t>lu</w:t>
            </w:r>
            <w:r w:rsidR="00387877">
              <w:rPr>
                <w:rFonts w:ascii="Times New Roman" w:hAnsi="Times New Roman"/>
                <w:bCs/>
                <w:sz w:val="24"/>
                <w:szCs w:val="24"/>
              </w:rPr>
              <w:t xml:space="preserve">, ktorým sa mení </w:t>
            </w:r>
            <w:r w:rsidR="00DD5A31">
              <w:rPr>
                <w:rFonts w:ascii="Times New Roman" w:hAnsi="Times New Roman"/>
                <w:bCs/>
                <w:sz w:val="24"/>
                <w:szCs w:val="24"/>
              </w:rPr>
              <w:t>čl. </w:t>
            </w:r>
            <w:r w:rsidRPr="0090534E" w:rsidR="005353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2699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0534E" w:rsidR="005353EE">
              <w:rPr>
                <w:rFonts w:ascii="Times New Roman" w:hAnsi="Times New Roman"/>
                <w:bCs/>
                <w:sz w:val="24"/>
                <w:szCs w:val="24"/>
              </w:rPr>
              <w:t xml:space="preserve"> Dohovoru o medzinárodnom civilnom letectve </w:t>
            </w:r>
            <w:r w:rsidRPr="0090534E" w:rsidR="0090534E">
              <w:rPr>
                <w:rFonts w:ascii="Times" w:hAnsi="Times" w:cs="Times"/>
                <w:sz w:val="24"/>
                <w:szCs w:val="24"/>
              </w:rPr>
              <w:t>nemá vplyv na rozpočet verejnej správy, na podnikateľské prostredie, nemá sociálne vplyvy, vplyv na životné prostredie, vplyv na informatizáciu a nemá vplyvy na služby pre občana, preto nie je predmetom PPK.</w:t>
            </w:r>
          </w:p>
        </w:tc>
      </w:tr>
    </w:tbl>
    <w:p w:rsidR="00CB3623" w:rsidRPr="0090534E" w:rsidP="00A32E51">
      <w:pPr>
        <w:bidi w:val="0"/>
        <w:rPr>
          <w:rFonts w:ascii="Times New Roman" w:hAnsi="Times New Roman"/>
          <w:sz w:val="24"/>
          <w:szCs w:val="24"/>
        </w:rPr>
      </w:pPr>
    </w:p>
    <w:sectPr w:rsidSect="00905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851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ƒSƒVƒbƒ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A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AA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A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AA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A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36A60"/>
    <w:rsid w:val="00074818"/>
    <w:rsid w:val="001105E4"/>
    <w:rsid w:val="00175FD8"/>
    <w:rsid w:val="001B2CB2"/>
    <w:rsid w:val="001C0541"/>
    <w:rsid w:val="002D799F"/>
    <w:rsid w:val="002E2C0B"/>
    <w:rsid w:val="003018F3"/>
    <w:rsid w:val="00343FFA"/>
    <w:rsid w:val="0034532F"/>
    <w:rsid w:val="003501A1"/>
    <w:rsid w:val="00387877"/>
    <w:rsid w:val="00395098"/>
    <w:rsid w:val="003B0105"/>
    <w:rsid w:val="003D7C40"/>
    <w:rsid w:val="003E32B0"/>
    <w:rsid w:val="0045465B"/>
    <w:rsid w:val="004C60B8"/>
    <w:rsid w:val="004C794A"/>
    <w:rsid w:val="004F6F1F"/>
    <w:rsid w:val="004F7D6F"/>
    <w:rsid w:val="0052699E"/>
    <w:rsid w:val="005353EE"/>
    <w:rsid w:val="00570B48"/>
    <w:rsid w:val="005B7A8D"/>
    <w:rsid w:val="0061179A"/>
    <w:rsid w:val="006C3B7D"/>
    <w:rsid w:val="007E7B96"/>
    <w:rsid w:val="0090534E"/>
    <w:rsid w:val="009320F5"/>
    <w:rsid w:val="009337ED"/>
    <w:rsid w:val="009646AA"/>
    <w:rsid w:val="00A32E51"/>
    <w:rsid w:val="00AC2477"/>
    <w:rsid w:val="00AE3CD2"/>
    <w:rsid w:val="00B52878"/>
    <w:rsid w:val="00B65A86"/>
    <w:rsid w:val="00C7387D"/>
    <w:rsid w:val="00CA6A51"/>
    <w:rsid w:val="00CB3623"/>
    <w:rsid w:val="00CD512B"/>
    <w:rsid w:val="00CE6C19"/>
    <w:rsid w:val="00D13B6F"/>
    <w:rsid w:val="00D75D35"/>
    <w:rsid w:val="00DD5A31"/>
    <w:rsid w:val="00DE2A12"/>
    <w:rsid w:val="00E10351"/>
    <w:rsid w:val="00E3739B"/>
    <w:rsid w:val="00E84107"/>
    <w:rsid w:val="00EA3E2E"/>
    <w:rsid w:val="00EB59E3"/>
    <w:rsid w:val="00F10858"/>
    <w:rsid w:val="00F22831"/>
    <w:rsid w:val="00F62771"/>
    <w:rsid w:val="00F94F19"/>
    <w:rsid w:val="00FA48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CD512B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etectvo@mindop.s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4CEC-7D32-4D1F-A00D-06C36E21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556</Words>
  <Characters>3171</Characters>
  <Application>Microsoft Office Word</Application>
  <DocSecurity>0</DocSecurity>
  <Lines>0</Lines>
  <Paragraphs>0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Husárová, Denisa</cp:lastModifiedBy>
  <cp:revision>2</cp:revision>
  <cp:lastPrinted>2017-11-22T16:01:00Z</cp:lastPrinted>
  <dcterms:created xsi:type="dcterms:W3CDTF">2018-02-02T15:04:00Z</dcterms:created>
  <dcterms:modified xsi:type="dcterms:W3CDTF">2018-02-02T15:04:00Z</dcterms:modified>
</cp:coreProperties>
</file>