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2DB9" w:rsidRPr="00AB2DB9" w:rsidP="00AB2DB9">
      <w:pPr>
        <w:widowControl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AB2DB9">
        <w:rPr>
          <w:rFonts w:ascii="Times New Roman" w:hAnsi="Times New Roman"/>
          <w:b/>
          <w:bCs/>
          <w:sz w:val="28"/>
          <w:szCs w:val="28"/>
          <w:lang w:eastAsia="sk-SK"/>
        </w:rPr>
        <w:t>Doložka vybraných vplyvov</w:t>
      </w:r>
    </w:p>
    <w:p w:rsidR="00AB2DB9" w:rsidRPr="00AB2DB9" w:rsidP="00AB2DB9">
      <w:pPr>
        <w:bidi w:val="0"/>
        <w:spacing w:after="0" w:line="240" w:lineRule="auto"/>
        <w:rPr>
          <w:rFonts w:ascii="Calibri" w:hAnsi="Calibri"/>
          <w:b/>
          <w:szCs w:val="22"/>
        </w:rPr>
      </w:pPr>
    </w:p>
    <w:tbl>
      <w:tblPr>
        <w:tblStyle w:val="TableGrid"/>
        <w:tblW w:w="9606" w:type="dxa"/>
        <w:tblLayout w:type="fixed"/>
        <w:tblLook w:val="04A0"/>
      </w:tblPr>
      <w:tblGrid>
        <w:gridCol w:w="4212"/>
        <w:gridCol w:w="705"/>
        <w:gridCol w:w="717"/>
        <w:gridCol w:w="569"/>
        <w:gridCol w:w="1417"/>
        <w:gridCol w:w="1986"/>
      </w:tblGrid>
      <w:tr>
        <w:tblPrEx>
          <w:tblW w:w="9606" w:type="dxa"/>
          <w:tblLayout w:type="fixed"/>
          <w:tblLook w:val="04A0"/>
        </w:tblPrEx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B2DB9" w:rsidRPr="00AB2DB9" w:rsidP="00AB2DB9">
            <w:pPr>
              <w:widowControl w:val="0"/>
              <w:numPr>
                <w:numId w:val="1"/>
              </w:num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AB2DB9">
              <w:rPr>
                <w:rFonts w:ascii="Times New Roman" w:hAnsi="Times New Roman"/>
                <w:b/>
                <w:szCs w:val="22"/>
              </w:rPr>
              <w:t>Základné údaje</w:t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B2DB9" w:rsidRPr="009C7B43" w:rsidP="00AB2DB9">
            <w:pPr>
              <w:bidi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9C7B43">
              <w:rPr>
                <w:rFonts w:ascii="Times New Roman" w:hAnsi="Times New Roman"/>
                <w:b/>
                <w:szCs w:val="22"/>
              </w:rPr>
              <w:t>Názov materiálu</w:t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2DB9" w:rsidRPr="008301DA" w:rsidP="00D84B4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B48" w:rsidR="00D84B48">
              <w:rPr>
                <w:rFonts w:ascii="Times New Roman" w:hAnsi="Times New Roman"/>
                <w:sz w:val="24"/>
                <w:szCs w:val="24"/>
              </w:rPr>
              <w:t>Návrh na ratifikáciu a predbežné vykonávanie Euro–stredomorskej dohody o leteckej doprave medzi Európskou úniou a jej členskými štátmi na jednej strane a Jordánskym hášimovským kráľovstvom na strane druhej</w:t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B2DB9" w:rsidRPr="00AB2DB9" w:rsidP="00AB2DB9">
            <w:pPr>
              <w:bidi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AB2DB9">
              <w:rPr>
                <w:rFonts w:ascii="Times New Roman" w:hAnsi="Times New Roman"/>
                <w:b/>
                <w:szCs w:val="22"/>
              </w:rPr>
              <w:t>Predkladateľ (a spolupredkladateľ)</w:t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B2DB9" w:rsidRPr="008301DA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1DA" w:rsidR="009C7B43">
              <w:rPr>
                <w:rFonts w:ascii="Times New Roman" w:hAnsi="Times New Roman"/>
                <w:sz w:val="24"/>
                <w:szCs w:val="24"/>
              </w:rPr>
              <w:t>minister dopravy a</w:t>
            </w:r>
            <w:r w:rsidRPr="008301DA" w:rsidR="0097119C">
              <w:rPr>
                <w:rFonts w:ascii="Times New Roman" w:hAnsi="Times New Roman"/>
                <w:sz w:val="24"/>
                <w:szCs w:val="24"/>
              </w:rPr>
              <w:t xml:space="preserve"> výstavby </w:t>
            </w:r>
            <w:r w:rsidRPr="008301DA"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AB2DB9" w:rsidRPr="00AB2DB9" w:rsidP="00AB2DB9">
            <w:pPr>
              <w:bidi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AB2DB9">
              <w:rPr>
                <w:rFonts w:ascii="Times New Roman" w:hAnsi="Times New Roman"/>
                <w:b/>
                <w:szCs w:val="22"/>
              </w:rPr>
              <w:t>Charakter predkladaného materiálu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B2DB9" w:rsidR="00571ACC">
              <w:rPr>
                <w:rFonts w:ascii="MS Gothic" w:eastAsia="MS Gothic" w:hAnsi="MS Gothic" w:hint="eastAsia"/>
                <w:szCs w:val="22"/>
              </w:rPr>
              <w:t>☒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AB2DB9">
              <w:rPr>
                <w:rFonts w:ascii="Times New Roman" w:hAnsi="Times New Roman"/>
                <w:szCs w:val="22"/>
              </w:rPr>
              <w:t>Materiál nelegislatívnej povahy</w:t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B2DB9" w:rsidR="00571ACC">
              <w:rPr>
                <w:rFonts w:ascii="MS Mincho" w:eastAsia="MS Mincho" w:hAnsi="MS Mincho" w:cs="MS Mincho" w:hint="eastAsia"/>
                <w:szCs w:val="22"/>
              </w:rPr>
              <w:t>☐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ind w:hanging="175"/>
              <w:rPr>
                <w:rFonts w:ascii="Times New Roman" w:hAnsi="Times New Roman"/>
                <w:szCs w:val="22"/>
              </w:rPr>
            </w:pPr>
            <w:r w:rsidR="009C7B43">
              <w:rPr>
                <w:rFonts w:ascii="Times New Roman" w:hAnsi="Times New Roman"/>
                <w:szCs w:val="22"/>
              </w:rPr>
              <w:t xml:space="preserve">   </w:t>
            </w:r>
            <w:r w:rsidRPr="00AB2DB9">
              <w:rPr>
                <w:rFonts w:ascii="Times New Roman" w:hAnsi="Times New Roman"/>
                <w:szCs w:val="22"/>
              </w:rPr>
              <w:t>Materiál legislatívnej povahy</w:t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B2DB9">
              <w:rPr>
                <w:rFonts w:ascii="MS Mincho" w:eastAsia="MS Mincho" w:hAnsi="MS Mincho" w:cs="MS Mincho" w:hint="eastAsia"/>
                <w:szCs w:val="22"/>
              </w:rPr>
              <w:t>☐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AB2DB9">
              <w:rPr>
                <w:rFonts w:ascii="Times New Roman" w:hAnsi="Times New Roman"/>
                <w:szCs w:val="22"/>
              </w:rPr>
              <w:t>Transpozícia práva EÚ</w:t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i/>
                <w:szCs w:val="22"/>
              </w:rPr>
            </w:pPr>
            <w:r w:rsidRPr="00AB2DB9">
              <w:rPr>
                <w:rFonts w:ascii="Times New Roman" w:hAnsi="Times New Roman"/>
                <w:i/>
                <w:szCs w:val="22"/>
              </w:rPr>
              <w:t>V prípade transpozície uveďte zoznam transponovaných predpisov:</w:t>
            </w:r>
          </w:p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B2DB9" w:rsidRPr="00AB2DB9" w:rsidP="00AB2DB9">
            <w:pPr>
              <w:bidi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AB2DB9">
              <w:rPr>
                <w:rFonts w:ascii="Times New Roman" w:hAnsi="Times New Roman"/>
                <w:b/>
                <w:szCs w:val="22"/>
              </w:rPr>
              <w:t>Termín začiatku a ukončenia PPK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i/>
                <w:szCs w:val="22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B2DB9" w:rsidRPr="00AB2DB9" w:rsidP="00AB2DB9">
            <w:pPr>
              <w:bidi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AB2DB9">
              <w:rPr>
                <w:rFonts w:ascii="Times New Roman" w:hAnsi="Times New Roman"/>
                <w:b/>
                <w:szCs w:val="22"/>
              </w:rPr>
              <w:t>Predp</w:t>
            </w:r>
            <w:r w:rsidR="009C7B43">
              <w:rPr>
                <w:rFonts w:ascii="Times New Roman" w:hAnsi="Times New Roman"/>
                <w:b/>
                <w:szCs w:val="22"/>
              </w:rPr>
              <w:t>okladaný termín predloženia na MPK</w:t>
            </w:r>
            <w:r w:rsidRPr="00AB2DB9">
              <w:rPr>
                <w:rFonts w:ascii="Times New Roman" w:hAnsi="Times New Roman"/>
                <w:b/>
                <w:szCs w:val="22"/>
              </w:rPr>
              <w:t>*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2DB9" w:rsidRPr="009C7B43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B43" w:rsidR="009C7B43">
              <w:rPr>
                <w:rFonts w:ascii="Times New Roman" w:hAnsi="Times New Roman"/>
                <w:sz w:val="24"/>
                <w:szCs w:val="24"/>
              </w:rPr>
              <w:t>január 2018</w:t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B2DB9" w:rsidRPr="00AB2DB9" w:rsidP="00AB2DB9">
            <w:pPr>
              <w:bidi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AB2DB9">
              <w:rPr>
                <w:rFonts w:ascii="Times New Roman" w:hAnsi="Times New Roman"/>
                <w:b/>
                <w:szCs w:val="22"/>
              </w:rPr>
              <w:t>Predpokladaný termín predloženia na Rokovanie vlády SR*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2DB9" w:rsidRPr="009C7B43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B43" w:rsidR="009C7B43">
              <w:rPr>
                <w:rFonts w:ascii="Times New Roman" w:hAnsi="Times New Roman"/>
                <w:sz w:val="24"/>
                <w:szCs w:val="24"/>
              </w:rPr>
              <w:t>marec 2018</w:t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B2DB9" w:rsidRPr="00AB2DB9" w:rsidP="00AB2DB9">
            <w:pPr>
              <w:widowControl w:val="0"/>
              <w:numPr>
                <w:numId w:val="1"/>
              </w:num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AB2DB9">
              <w:rPr>
                <w:rFonts w:ascii="Times New Roman" w:hAnsi="Times New Roman"/>
                <w:b/>
                <w:szCs w:val="22"/>
              </w:rPr>
              <w:t>Definícia problému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718"/>
        </w:trPr>
        <w:tc>
          <w:tcPr>
            <w:tcW w:w="9606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B2DB9" w:rsidRPr="008301DA" w:rsidP="008301D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8301DA" w:rsidR="008301DA">
              <w:rPr>
                <w:rFonts w:ascii="Times New Roman" w:hAnsi="Times New Roman"/>
                <w:sz w:val="24"/>
                <w:szCs w:val="24"/>
              </w:rPr>
              <w:t>Ide o komplexnú dohodu EÚ a členských štátov Európskej únie s  Jordánskym hášimovským kráľovstvom</w:t>
            </w:r>
            <w:r w:rsidRPr="009C7B43" w:rsidR="008301DA">
              <w:rPr>
                <w:rFonts w:ascii="Times New Roman" w:hAnsi="Times New Roman"/>
                <w:szCs w:val="22"/>
              </w:rPr>
              <w:t xml:space="preserve"> </w:t>
            </w:r>
            <w:r w:rsidRPr="008301DA" w:rsidR="008301DA">
              <w:rPr>
                <w:rFonts w:ascii="Times New Roman" w:hAnsi="Times New Roman"/>
                <w:sz w:val="24"/>
                <w:szCs w:val="24"/>
              </w:rPr>
              <w:t>o spoločnom leteckom priestore. Ustanovenia tejto dohody majú prednosť pred príslušnými ustanoveniami existujúcich bilaterálnych dohôd o leteckých dopravných službách medzi členskými štátmi Európskej únie</w:t>
            </w:r>
            <w:r w:rsidR="008301DA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Pr="009C7B43" w:rsidR="008301DA">
              <w:rPr>
                <w:rFonts w:ascii="Times New Roman" w:hAnsi="Times New Roman"/>
                <w:szCs w:val="22"/>
              </w:rPr>
              <w:t xml:space="preserve"> </w:t>
            </w:r>
            <w:r w:rsidRPr="008301DA" w:rsidR="008301DA">
              <w:rPr>
                <w:rFonts w:ascii="Times New Roman" w:hAnsi="Times New Roman"/>
                <w:sz w:val="24"/>
                <w:szCs w:val="24"/>
              </w:rPr>
              <w:t>Jordánskym hášimovským kráľovstvom</w:t>
            </w:r>
            <w:r w:rsidR="008301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B2DB9" w:rsidRPr="00AB2DB9" w:rsidP="00AB2DB9">
            <w:pPr>
              <w:widowControl w:val="0"/>
              <w:numPr>
                <w:numId w:val="1"/>
              </w:num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AB2DB9">
              <w:rPr>
                <w:rFonts w:ascii="Times New Roman" w:hAnsi="Times New Roman"/>
                <w:b/>
                <w:szCs w:val="22"/>
              </w:rPr>
              <w:t>Ciele a výsledný stav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741"/>
        </w:trPr>
        <w:tc>
          <w:tcPr>
            <w:tcW w:w="96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B2DB9" w:rsidRPr="008301DA" w:rsidP="0097119C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1DA" w:rsidR="0097119C">
              <w:rPr>
                <w:rFonts w:ascii="Times New Roman" w:hAnsi="Times New Roman"/>
                <w:sz w:val="24"/>
                <w:szCs w:val="24"/>
              </w:rPr>
              <w:t>Ustanovenia dohody po ratifikácií všetkými členskými štátmi Európskej únie a Jordánskym hášimovským kráľovstvom nahradia príslušné ustanovenia existujúcich bilaterálnych dohôd medzi členskými štátmi Európskej únie a Jordánskym hášimovským kráľovstvom.</w:t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B2DB9" w:rsidRPr="00AB2DB9" w:rsidP="00AB2DB9">
            <w:pPr>
              <w:widowControl w:val="0"/>
              <w:numPr>
                <w:numId w:val="1"/>
              </w:num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AB2DB9">
              <w:rPr>
                <w:rFonts w:ascii="Times New Roman" w:hAnsi="Times New Roman"/>
                <w:b/>
                <w:szCs w:val="22"/>
              </w:rPr>
              <w:t>Dotknuté subjekty</w:t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B2DB9" w:rsidRPr="009C7B43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B4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C7B43" w:rsidR="0097119C">
              <w:rPr>
                <w:rFonts w:ascii="Times New Roman" w:hAnsi="Times New Roman"/>
                <w:sz w:val="24"/>
                <w:szCs w:val="24"/>
              </w:rPr>
              <w:t>fyzické osoby a právnické osoby EÚ</w:t>
            </w:r>
          </w:p>
          <w:p w:rsidR="00AB2DB9" w:rsidRPr="009C7B43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B4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C7B43" w:rsidR="0097119C">
              <w:rPr>
                <w:rFonts w:ascii="Times New Roman" w:hAnsi="Times New Roman"/>
                <w:sz w:val="24"/>
                <w:szCs w:val="24"/>
              </w:rPr>
              <w:t>fyzické osoby a právnické osoby Jordánskeho hášimovského kráľovstva</w:t>
            </w:r>
          </w:p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i/>
                <w:szCs w:val="22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B2DB9" w:rsidRPr="00AB2DB9" w:rsidP="00AB2DB9">
            <w:pPr>
              <w:widowControl w:val="0"/>
              <w:numPr>
                <w:numId w:val="1"/>
              </w:num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AB2DB9">
              <w:rPr>
                <w:rFonts w:ascii="Times New Roman" w:hAnsi="Times New Roman"/>
                <w:b/>
                <w:szCs w:val="22"/>
              </w:rPr>
              <w:t>Alternatívne riešenia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709"/>
        </w:trPr>
        <w:tc>
          <w:tcPr>
            <w:tcW w:w="96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B2DB9" w:rsidRPr="009C7B43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B43">
              <w:rPr>
                <w:rFonts w:ascii="Times New Roman" w:hAnsi="Times New Roman"/>
                <w:sz w:val="24"/>
                <w:szCs w:val="24"/>
              </w:rPr>
              <w:t>Neboli posudzované alternatívne riešenia.</w:t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B2DB9" w:rsidRPr="00AB2DB9" w:rsidP="00AB2DB9">
            <w:pPr>
              <w:widowControl w:val="0"/>
              <w:numPr>
                <w:numId w:val="1"/>
              </w:num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AB2DB9">
              <w:rPr>
                <w:rFonts w:ascii="Times New Roman" w:hAnsi="Times New Roman"/>
                <w:b/>
                <w:szCs w:val="22"/>
              </w:rPr>
              <w:t>Vykonávacie predpisy</w:t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6203" w:type="dxa"/>
            <w:gridSpan w:val="4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i/>
                <w:szCs w:val="22"/>
              </w:rPr>
            </w:pPr>
            <w:r w:rsidRPr="00AB2DB9">
              <w:rPr>
                <w:rFonts w:ascii="Times New Roman" w:hAnsi="Times New Roman"/>
                <w:i/>
                <w:szCs w:val="22"/>
              </w:rPr>
              <w:t>Predpokladá sa prijatie/zmena  vykonávacích predpisov?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B2DB9">
              <w:rPr>
                <w:rFonts w:ascii="MS Gothic" w:eastAsia="MS Gothic" w:hAnsi="MS Gothic" w:hint="eastAsia"/>
                <w:szCs w:val="22"/>
              </w:rPr>
              <w:t>☐</w:t>
            </w:r>
            <w:r w:rsidRPr="00AB2DB9">
              <w:rPr>
                <w:rFonts w:ascii="Times New Roman" w:hAnsi="Times New Roman"/>
                <w:szCs w:val="22"/>
              </w:rPr>
              <w:t xml:space="preserve">  Áno</w:t>
            </w:r>
          </w:p>
        </w:tc>
        <w:tc>
          <w:tcPr>
            <w:tcW w:w="1986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B2DB9">
              <w:rPr>
                <w:rFonts w:ascii="MS Gothic" w:eastAsia="MS Gothic" w:hAnsi="MS Gothic" w:hint="eastAsia"/>
                <w:szCs w:val="22"/>
              </w:rPr>
              <w:t>☒</w:t>
            </w:r>
            <w:r w:rsidRPr="00AB2DB9">
              <w:rPr>
                <w:rFonts w:ascii="Times New Roman" w:hAnsi="Times New Roman"/>
                <w:szCs w:val="22"/>
              </w:rPr>
              <w:t xml:space="preserve">  Nie</w:t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B2DB9" w:rsidRPr="00AB2DB9" w:rsidP="00AB2DB9">
            <w:pPr>
              <w:widowControl w:val="0"/>
              <w:numPr>
                <w:numId w:val="1"/>
              </w:num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AB2DB9">
              <w:rPr>
                <w:rFonts w:ascii="Times New Roman" w:hAnsi="Times New Roman"/>
                <w:b/>
                <w:szCs w:val="22"/>
              </w:rPr>
              <w:t xml:space="preserve">Transpozícia práva EÚ 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157"/>
        </w:trPr>
        <w:tc>
          <w:tcPr>
            <w:tcW w:w="960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248"/>
        </w:trPr>
        <w:tc>
          <w:tcPr>
            <w:tcW w:w="960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B2DB9" w:rsidRPr="00AB2DB9" w:rsidP="00AB2DB9">
            <w:pPr>
              <w:widowControl w:val="0"/>
              <w:numPr>
                <w:numId w:val="1"/>
              </w:num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AB2DB9">
              <w:rPr>
                <w:rFonts w:ascii="Times New Roman" w:hAnsi="Times New Roman"/>
                <w:b/>
                <w:szCs w:val="22"/>
              </w:rPr>
              <w:t>Preskúmanie účelnosti**</w:t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715"/>
        </w:trPr>
        <w:tc>
          <w:tcPr>
            <w:tcW w:w="96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ind w:hanging="142"/>
              <w:rPr>
                <w:rFonts w:ascii="Times New Roman" w:hAnsi="Times New Roman"/>
                <w:szCs w:val="22"/>
              </w:rPr>
            </w:pPr>
          </w:p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ind w:hanging="142"/>
              <w:rPr>
                <w:rFonts w:ascii="Times New Roman" w:hAnsi="Times New Roman"/>
                <w:szCs w:val="22"/>
              </w:rPr>
            </w:pPr>
            <w:r w:rsidRPr="00AB2DB9">
              <w:rPr>
                <w:rFonts w:ascii="Times New Roman" w:hAnsi="Times New Roman"/>
                <w:szCs w:val="22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B2DB9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AB2DB9">
              <w:rPr>
                <w:rFonts w:ascii="Times New Roman" w:hAnsi="Times New Roman"/>
                <w:szCs w:val="22"/>
              </w:rPr>
              <w:t>** nepovinné</w:t>
            </w:r>
          </w:p>
          <w:p w:rsidR="009C7B43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9C7B43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9C7B43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tbl>
            <w:tblPr>
              <w:tblStyle w:val="TableNormal"/>
              <w:tblW w:w="9497" w:type="dxa"/>
              <w:jc w:val="center"/>
              <w:tblInd w:w="1" w:type="dxa"/>
              <w:tblLayout w:type="fixed"/>
              <w:tblLook w:val="04A0"/>
            </w:tblPr>
            <w:tblGrid>
              <w:gridCol w:w="4002"/>
              <w:gridCol w:w="568"/>
              <w:gridCol w:w="1345"/>
              <w:gridCol w:w="597"/>
              <w:gridCol w:w="1190"/>
              <w:gridCol w:w="574"/>
              <w:gridCol w:w="1221"/>
            </w:tblGrid>
            <w:tr>
              <w:tblPrEx>
                <w:tblW w:w="9497" w:type="dxa"/>
                <w:jc w:val="center"/>
                <w:tblInd w:w="1" w:type="dxa"/>
                <w:tblLayout w:type="fixed"/>
                <w:tblLook w:val="04A0"/>
              </w:tblPrEx>
              <w:trPr>
                <w:trHeight w:val="577"/>
                <w:jc w:val="center"/>
              </w:trPr>
              <w:tc>
                <w:tcPr>
                  <w:tcW w:w="949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FFFFFF"/>
                    <w:right w:val="single" w:sz="4" w:space="0" w:color="auto"/>
                  </w:tcBorders>
                  <w:shd w:val="clear" w:color="auto" w:fill="E2E2E2"/>
                  <w:textDirection w:val="lrTb"/>
                  <w:vAlign w:val="center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left="502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C7B4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9. Vplyvy navrhovaného materiálu</w:t>
                  </w:r>
                </w:p>
              </w:tc>
            </w:tr>
            <w:tr>
              <w:tblPrEx>
                <w:tblW w:w="9497" w:type="dxa"/>
                <w:jc w:val="center"/>
                <w:tblInd w:w="1" w:type="dxa"/>
                <w:tblLayout w:type="fixed"/>
                <w:tblLook w:val="04A0"/>
              </w:tblPrEx>
              <w:trPr>
                <w:jc w:val="center"/>
              </w:trPr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Vplyvy na rozpočet verejnej správy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b/>
                      <w:szCs w:val="22"/>
                      <w:lang w:eastAsia="sk-SK"/>
                    </w:rPr>
                    <w:t>☐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Pozitívne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b/>
                      <w:szCs w:val="22"/>
                      <w:lang w:eastAsia="sk-SK"/>
                    </w:rPr>
                    <w:t>☒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Žiadne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left="-107" w:right="-108"/>
                    <w:jc w:val="center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b/>
                      <w:szCs w:val="22"/>
                      <w:lang w:eastAsia="sk-SK"/>
                    </w:rPr>
                    <w:t>☐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left="34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Negatívne</w:t>
                  </w:r>
                </w:p>
              </w:tc>
            </w:tr>
            <w:tr>
              <w:tblPrEx>
                <w:tblW w:w="9497" w:type="dxa"/>
                <w:jc w:val="center"/>
                <w:tblInd w:w="1" w:type="dxa"/>
                <w:tblLayout w:type="fixed"/>
                <w:tblLook w:val="04A0"/>
              </w:tblPrEx>
              <w:trPr>
                <w:jc w:val="center"/>
              </w:trPr>
              <w:tc>
                <w:tcPr>
                  <w:tcW w:w="400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E2E2E2"/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szCs w:val="22"/>
                      <w:lang w:eastAsia="sk-SK"/>
                    </w:rPr>
                    <w:t xml:space="preserve">    z toho rozpočtovo zabezpečené vplyvy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szCs w:val="22"/>
                      <w:lang w:eastAsia="sk-SK"/>
                    </w:rPr>
                    <w:t>☐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szCs w:val="22"/>
                      <w:lang w:eastAsia="sk-SK"/>
                    </w:rPr>
                    <w:t>Áno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22"/>
                      <w:lang w:eastAsia="sk-SK"/>
                    </w:rPr>
                  </w:pPr>
                  <w:r w:rsidRPr="009C7B43" w:rsidR="00571ACC">
                    <w:rPr>
                      <w:rFonts w:ascii="Times New Roman" w:eastAsia="MS Mincho" w:hAnsi="Times New Roman" w:hint="eastAsia"/>
                      <w:szCs w:val="22"/>
                      <w:lang w:eastAsia="sk-SK"/>
                    </w:rPr>
                    <w:t>☐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szCs w:val="22"/>
                      <w:lang w:eastAsia="sk-SK"/>
                    </w:rPr>
                    <w:t>Nie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left="-107" w:right="-108"/>
                    <w:jc w:val="center"/>
                    <w:rPr>
                      <w:rFonts w:ascii="Times New Roman" w:hAnsi="Times New Roman"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szCs w:val="22"/>
                      <w:lang w:eastAsia="sk-SK"/>
                    </w:rPr>
                    <w:t>☐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left="34"/>
                    <w:rPr>
                      <w:rFonts w:ascii="Times New Roman" w:hAnsi="Times New Roman"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szCs w:val="22"/>
                      <w:lang w:eastAsia="sk-SK"/>
                    </w:rPr>
                    <w:t>Čiastočne</w:t>
                  </w:r>
                </w:p>
              </w:tc>
            </w:tr>
            <w:tr>
              <w:tblPrEx>
                <w:tblW w:w="9497" w:type="dxa"/>
                <w:jc w:val="center"/>
                <w:tblInd w:w="1" w:type="dxa"/>
                <w:tblLayout w:type="fixed"/>
                <w:tblLook w:val="04A0"/>
              </w:tblPrEx>
              <w:trPr>
                <w:jc w:val="center"/>
              </w:trPr>
              <w:tc>
                <w:tcPr>
                  <w:tcW w:w="4002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Vplyvy na podnikateľské prostredie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b/>
                      <w:szCs w:val="22"/>
                      <w:lang w:eastAsia="sk-SK"/>
                    </w:rPr>
                    <w:t>☐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right="-108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Pozitívne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b/>
                      <w:szCs w:val="22"/>
                      <w:lang w:eastAsia="sk-SK"/>
                    </w:rPr>
                    <w:t>☒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Žiadne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b/>
                      <w:szCs w:val="22"/>
                      <w:lang w:eastAsia="sk-SK"/>
                    </w:rPr>
                    <w:t>☐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left="54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Negatívne</w:t>
                  </w:r>
                </w:p>
              </w:tc>
            </w:tr>
            <w:tr>
              <w:tblPrEx>
                <w:tblW w:w="9497" w:type="dxa"/>
                <w:jc w:val="center"/>
                <w:tblInd w:w="1" w:type="dxa"/>
                <w:tblLayout w:type="fixed"/>
                <w:tblLook w:val="04A0"/>
              </w:tblPrEx>
              <w:trPr>
                <w:jc w:val="center"/>
              </w:trPr>
              <w:tc>
                <w:tcPr>
                  <w:tcW w:w="40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2E2"/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szCs w:val="22"/>
                      <w:lang w:eastAsia="sk-SK"/>
                    </w:rPr>
                    <w:t xml:space="preserve">    z toho vplyvy na MSP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szCs w:val="22"/>
                      <w:lang w:eastAsia="sk-SK"/>
                    </w:rPr>
                    <w:t>☐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right="-108"/>
                    <w:rPr>
                      <w:rFonts w:ascii="Times New Roman" w:hAnsi="Times New Roman"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szCs w:val="22"/>
                      <w:lang w:eastAsia="sk-SK"/>
                    </w:rPr>
                    <w:t>Pozitívne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Gothic" w:hAnsi="Times New Roman" w:hint="eastAsia"/>
                      <w:szCs w:val="22"/>
                      <w:lang w:eastAsia="sk-SK"/>
                    </w:rPr>
                    <w:t>☒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szCs w:val="22"/>
                      <w:lang w:eastAsia="sk-SK"/>
                    </w:rPr>
                    <w:t>Žiadne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szCs w:val="22"/>
                      <w:lang w:eastAsia="sk-SK"/>
                    </w:rPr>
                    <w:t>☐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left="54"/>
                    <w:rPr>
                      <w:rFonts w:ascii="Times New Roman" w:hAnsi="Times New Roman"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szCs w:val="22"/>
                      <w:lang w:eastAsia="sk-SK"/>
                    </w:rPr>
                    <w:t>Negatívne</w:t>
                  </w:r>
                </w:p>
              </w:tc>
            </w:tr>
            <w:tr>
              <w:tblPrEx>
                <w:tblW w:w="9497" w:type="dxa"/>
                <w:jc w:val="center"/>
                <w:tblInd w:w="1" w:type="dxa"/>
                <w:tblLayout w:type="fixed"/>
                <w:tblLook w:val="04A0"/>
              </w:tblPrEx>
              <w:trPr>
                <w:jc w:val="center"/>
              </w:trPr>
              <w:tc>
                <w:tcPr>
                  <w:tcW w:w="40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Sociálne vplyvy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b/>
                      <w:szCs w:val="22"/>
                      <w:lang w:eastAsia="sk-SK"/>
                    </w:rPr>
                    <w:t>☐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right="-108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Pozitívne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b/>
                      <w:szCs w:val="22"/>
                      <w:lang w:eastAsia="sk-SK"/>
                    </w:rPr>
                    <w:t>☒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Žiadne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b/>
                      <w:szCs w:val="22"/>
                      <w:lang w:eastAsia="sk-SK"/>
                    </w:rPr>
                    <w:t>☐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left="54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Negatívne</w:t>
                  </w:r>
                </w:p>
              </w:tc>
            </w:tr>
            <w:tr>
              <w:tblPrEx>
                <w:tblW w:w="9497" w:type="dxa"/>
                <w:jc w:val="center"/>
                <w:tblInd w:w="1" w:type="dxa"/>
                <w:tblLayout w:type="fixed"/>
                <w:tblLook w:val="04A0"/>
              </w:tblPrEx>
              <w:trPr>
                <w:jc w:val="center"/>
              </w:trPr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Vplyvy na životné prostredie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b/>
                      <w:szCs w:val="22"/>
                      <w:lang w:eastAsia="sk-SK"/>
                    </w:rPr>
                    <w:t>☐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right="-108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Pozitívne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b/>
                      <w:szCs w:val="22"/>
                      <w:lang w:eastAsia="sk-SK"/>
                    </w:rPr>
                    <w:t>☒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Žiadne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b/>
                      <w:szCs w:val="22"/>
                      <w:lang w:eastAsia="sk-SK"/>
                    </w:rPr>
                    <w:t>☐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left="54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Negatívne</w:t>
                  </w:r>
                </w:p>
              </w:tc>
            </w:tr>
            <w:tr>
              <w:tblPrEx>
                <w:tblW w:w="9497" w:type="dxa"/>
                <w:jc w:val="center"/>
                <w:tblInd w:w="1" w:type="dxa"/>
                <w:tblLayout w:type="fixed"/>
                <w:tblLook w:val="04A0"/>
              </w:tblPrEx>
              <w:trPr>
                <w:jc w:val="center"/>
              </w:trPr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Vplyvy na informatizáciu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b/>
                      <w:szCs w:val="22"/>
                      <w:lang w:eastAsia="sk-SK"/>
                    </w:rPr>
                    <w:t>☐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right="-108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Pozitívne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Gothic" w:hAnsi="Times New Roman" w:hint="eastAsia"/>
                      <w:b/>
                      <w:szCs w:val="22"/>
                      <w:lang w:eastAsia="sk-SK"/>
                    </w:rPr>
                    <w:t>☒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Žiadne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b/>
                      <w:szCs w:val="22"/>
                      <w:lang w:eastAsia="sk-SK"/>
                    </w:rPr>
                    <w:t>☐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left="54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  <w:t>Negatívne</w:t>
                  </w:r>
                </w:p>
              </w:tc>
            </w:tr>
            <w:tr>
              <w:tblPrEx>
                <w:tblW w:w="9497" w:type="dxa"/>
                <w:jc w:val="center"/>
                <w:tblInd w:w="1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rPr>
                <w:jc w:val="center"/>
              </w:trPr>
              <w:tc>
                <w:tcPr>
                  <w:tcW w:w="4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</w:rPr>
                    <w:t>Vplyvy na služby verejnej správy pre občana, z toho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Cs w:val="22"/>
                      <w:lang w:eastAsia="sk-SK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right="-108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Cs w:val="22"/>
                      <w:lang w:eastAsia="sk-SK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Cs w:val="22"/>
                      <w:lang w:eastAsia="sk-SK"/>
                    </w:rPr>
                  </w:pP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left="54"/>
                    <w:rPr>
                      <w:rFonts w:ascii="Times New Roman" w:hAnsi="Times New Roman"/>
                      <w:b/>
                      <w:szCs w:val="22"/>
                      <w:lang w:eastAsia="sk-SK"/>
                    </w:rPr>
                  </w:pPr>
                </w:p>
              </w:tc>
            </w:tr>
            <w:tr>
              <w:tblPrEx>
                <w:tblW w:w="9497" w:type="dxa"/>
                <w:jc w:val="center"/>
                <w:tblInd w:w="1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rPr>
                <w:jc w:val="center"/>
              </w:trPr>
              <w:tc>
                <w:tcPr>
                  <w:tcW w:w="4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left="196" w:hanging="196"/>
                    <w:rPr>
                      <w:rFonts w:ascii="Times New Roman" w:hAnsi="Times New Roman"/>
                      <w:b/>
                      <w:szCs w:val="22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</w:rPr>
                    <w:t xml:space="preserve">    vplyvy služieb verejnej správy na občana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Cs w:val="22"/>
                    </w:rPr>
                  </w:pPr>
                  <w:r w:rsidRPr="009C7B43">
                    <w:rPr>
                      <w:rFonts w:ascii="MS Mincho" w:eastAsia="MS Mincho" w:hAnsi="MS Mincho" w:cs="MS Mincho" w:hint="eastAsia"/>
                      <w:b/>
                      <w:szCs w:val="22"/>
                    </w:rPr>
                    <w:t>☐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right="-108"/>
                    <w:rPr>
                      <w:rFonts w:ascii="Times New Roman" w:hAnsi="Times New Roman"/>
                      <w:b/>
                      <w:szCs w:val="22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</w:rPr>
                    <w:t>Pozitívne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Cs w:val="22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b/>
                      <w:szCs w:val="22"/>
                      <w:lang w:eastAsia="sk-SK"/>
                    </w:rPr>
                    <w:t>☒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szCs w:val="22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</w:rPr>
                    <w:t>Žiadne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Cs w:val="22"/>
                    </w:rPr>
                  </w:pPr>
                  <w:r w:rsidRPr="009C7B43">
                    <w:rPr>
                      <w:rFonts w:ascii="MS Mincho" w:eastAsia="MS Mincho" w:hAnsi="MS Mincho" w:cs="MS Mincho" w:hint="eastAsia"/>
                      <w:b/>
                      <w:szCs w:val="22"/>
                    </w:rPr>
                    <w:t>☐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left="54"/>
                    <w:rPr>
                      <w:rFonts w:ascii="Times New Roman" w:hAnsi="Times New Roman"/>
                      <w:b/>
                      <w:szCs w:val="22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</w:rPr>
                    <w:t>Negatívne</w:t>
                  </w:r>
                </w:p>
              </w:tc>
            </w:tr>
            <w:tr>
              <w:tblPrEx>
                <w:tblW w:w="9497" w:type="dxa"/>
                <w:jc w:val="center"/>
                <w:tblInd w:w="1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rPr>
                <w:jc w:val="center"/>
              </w:trPr>
              <w:tc>
                <w:tcPr>
                  <w:tcW w:w="4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left="168" w:hanging="168"/>
                    <w:rPr>
                      <w:rFonts w:ascii="Times New Roman" w:hAnsi="Times New Roman"/>
                      <w:b/>
                      <w:szCs w:val="22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</w:rPr>
                    <w:t xml:space="preserve">    vplyvy na procesy služieb vo verejnej správe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Cs w:val="22"/>
                    </w:rPr>
                  </w:pPr>
                  <w:r w:rsidRPr="009C7B43">
                    <w:rPr>
                      <w:rFonts w:ascii="MS Mincho" w:eastAsia="MS Mincho" w:hAnsi="MS Mincho" w:cs="MS Mincho" w:hint="eastAsia"/>
                      <w:b/>
                      <w:szCs w:val="22"/>
                    </w:rPr>
                    <w:t>☐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right="-108"/>
                    <w:rPr>
                      <w:rFonts w:ascii="Times New Roman" w:hAnsi="Times New Roman"/>
                      <w:b/>
                      <w:szCs w:val="22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</w:rPr>
                    <w:t>Pozitívne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Cs w:val="22"/>
                    </w:rPr>
                  </w:pPr>
                  <w:r w:rsidRPr="009C7B43">
                    <w:rPr>
                      <w:rFonts w:ascii="Times New Roman" w:eastAsia="MS Mincho" w:hAnsi="Times New Roman" w:hint="eastAsia"/>
                      <w:b/>
                      <w:szCs w:val="22"/>
                      <w:lang w:eastAsia="sk-SK"/>
                    </w:rPr>
                    <w:t>☒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szCs w:val="22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</w:rPr>
                    <w:t>Žiadne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Cs w:val="22"/>
                    </w:rPr>
                  </w:pPr>
                  <w:r w:rsidRPr="009C7B43">
                    <w:rPr>
                      <w:rFonts w:ascii="MS Mincho" w:eastAsia="MS Mincho" w:hAnsi="MS Mincho" w:cs="MS Mincho" w:hint="eastAsia"/>
                      <w:b/>
                      <w:szCs w:val="22"/>
                    </w:rPr>
                    <w:t>☐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C7B43" w:rsidRPr="009C7B43" w:rsidP="009C7B43">
                  <w:pPr>
                    <w:bidi w:val="0"/>
                    <w:spacing w:after="0" w:line="240" w:lineRule="auto"/>
                    <w:ind w:left="54"/>
                    <w:rPr>
                      <w:rFonts w:ascii="Times New Roman" w:hAnsi="Times New Roman"/>
                      <w:b/>
                      <w:szCs w:val="22"/>
                    </w:rPr>
                  </w:pPr>
                  <w:r w:rsidRPr="009C7B43">
                    <w:rPr>
                      <w:rFonts w:ascii="Times New Roman" w:hAnsi="Times New Roman"/>
                      <w:b/>
                      <w:szCs w:val="22"/>
                    </w:rPr>
                    <w:t>Negatívne</w:t>
                  </w:r>
                </w:p>
              </w:tc>
            </w:tr>
          </w:tbl>
          <w:p w:rsidR="009C7B43" w:rsidRPr="00AB2DB9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</w:tbl>
    <w:p w:rsidR="00AB2DB9" w:rsidP="00AB2DB9">
      <w:pPr>
        <w:widowControl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9C7B43" w:rsidP="00AB2DB9">
      <w:pPr>
        <w:widowControl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9C7B43" w:rsidRPr="00AB2DB9" w:rsidP="00AB2DB9">
      <w:pPr>
        <w:widowControl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tbl>
      <w:tblPr>
        <w:tblStyle w:val="TableGrid"/>
        <w:tblW w:w="9606" w:type="dxa"/>
        <w:tblLayout w:type="fixed"/>
        <w:tblLook w:val="04A0"/>
      </w:tblPr>
      <w:tblGrid>
        <w:gridCol w:w="9606"/>
      </w:tblGrid>
      <w:tr>
        <w:tblPrEx>
          <w:tblW w:w="9606" w:type="dxa"/>
          <w:tblLayout w:type="fixed"/>
          <w:tblLook w:val="04A0"/>
        </w:tblPrEx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B2DB9" w:rsidRPr="00AB2DB9" w:rsidP="00AB2DB9">
            <w:pPr>
              <w:widowControl w:val="0"/>
              <w:numPr>
                <w:numId w:val="1"/>
              </w:num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AB2DB9">
              <w:rPr>
                <w:rFonts w:ascii="Times New Roman" w:hAnsi="Times New Roman"/>
                <w:b/>
                <w:szCs w:val="22"/>
              </w:rPr>
              <w:t>Poznámky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713"/>
        </w:trPr>
        <w:tc>
          <w:tcPr>
            <w:tcW w:w="960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AB2DB9" w:rsidRPr="00AB2DB9" w:rsidP="00AB2DB9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i/>
                <w:szCs w:val="22"/>
              </w:rPr>
            </w:pPr>
            <w:r w:rsidRPr="00AB2DB9">
              <w:rPr>
                <w:rFonts w:ascii="Times New Roman" w:hAnsi="Times New Roman"/>
                <w:i/>
                <w:szCs w:val="22"/>
              </w:rPr>
              <w:t>V prípade potreby uveďte doplňujúce informácie k návrhu.</w:t>
            </w:r>
          </w:p>
          <w:p w:rsidR="00AB2DB9" w:rsidRPr="00AB2DB9" w:rsidP="00AB2DB9">
            <w:pPr>
              <w:bidi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B2DB9" w:rsidRPr="00AB2DB9" w:rsidP="00AB2DB9">
            <w:pPr>
              <w:widowControl w:val="0"/>
              <w:numPr>
                <w:numId w:val="1"/>
              </w:num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AB2DB9">
              <w:rPr>
                <w:rFonts w:ascii="Times New Roman" w:hAnsi="Times New Roman"/>
                <w:b/>
                <w:szCs w:val="22"/>
              </w:rPr>
              <w:t>Kontakt na spracovateľa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586"/>
        </w:trPr>
        <w:tc>
          <w:tcPr>
            <w:tcW w:w="960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B2DB9" w:rsidRPr="009C7B43" w:rsidP="000D28A4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B43" w:rsidR="009C7B43">
              <w:rPr>
                <w:rFonts w:ascii="Times New Roman" w:hAnsi="Times New Roman"/>
                <w:sz w:val="24"/>
                <w:szCs w:val="24"/>
              </w:rPr>
              <w:t>Ministerstvo</w:t>
            </w:r>
            <w:r w:rsidR="00D95E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7B43" w:rsidR="009C7B43">
              <w:rPr>
                <w:rFonts w:ascii="Times New Roman" w:hAnsi="Times New Roman"/>
                <w:sz w:val="24"/>
                <w:szCs w:val="24"/>
              </w:rPr>
              <w:t xml:space="preserve"> dopravy a výstavby Slovenskej republiky, sekcia civilného letectva, odbor civilného letectva, </w:t>
            </w:r>
            <w:hyperlink r:id="rId4" w:history="1">
              <w:r w:rsidRPr="009C7B43" w:rsidR="009C7B4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letectvo@mindop.sk</w:t>
              </w:r>
            </w:hyperlink>
            <w:r w:rsidRPr="009C7B43" w:rsidR="009C7B43">
              <w:rPr>
                <w:rFonts w:ascii="Times New Roman" w:hAnsi="Times New Roman"/>
                <w:sz w:val="24"/>
                <w:szCs w:val="24"/>
              </w:rPr>
              <w:t>, +421 2 594 94 744.</w:t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B2DB9" w:rsidRPr="00AB2DB9" w:rsidP="00AB2DB9">
            <w:pPr>
              <w:widowControl w:val="0"/>
              <w:numPr>
                <w:numId w:val="1"/>
              </w:num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AB2DB9">
              <w:rPr>
                <w:rFonts w:ascii="Times New Roman" w:hAnsi="Times New Roman"/>
                <w:b/>
                <w:szCs w:val="22"/>
              </w:rPr>
              <w:t>Zdroje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1"/>
        </w:trPr>
        <w:tc>
          <w:tcPr>
            <w:tcW w:w="960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B2DB9" w:rsidRPr="00AB2DB9" w:rsidP="000D28A4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B2DB9" w:rsidRPr="00AB2DB9" w:rsidP="00AB2DB9">
            <w:pPr>
              <w:widowControl w:val="0"/>
              <w:numPr>
                <w:numId w:val="1"/>
              </w:num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AB2DB9">
              <w:rPr>
                <w:rFonts w:ascii="Times New Roman" w:hAnsi="Times New Roman"/>
                <w:b/>
                <w:szCs w:val="22"/>
              </w:rPr>
              <w:t>Stanovisko Komisie pre posudzovanie vybraných vplyvov z PPK</w:t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960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B2DB9" w:rsidRPr="008301DA" w:rsidP="008301DA">
            <w:pPr>
              <w:widowControl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01DA" w:rsidR="009C7B43">
              <w:rPr>
                <w:rFonts w:ascii="Times New Roman" w:hAnsi="Times New Roman"/>
                <w:bCs/>
                <w:sz w:val="24"/>
                <w:szCs w:val="24"/>
              </w:rPr>
              <w:t>Návrh na ratifikáciu a predbežné vykonávanie mnohostrannej Euro–stredomorskej leteckej dohody medzi Európskym spoločenstvom a jeho členskými štátmi na jednej strane a Jordánskym hášimovským kráľovstvom na strane druhej</w:t>
            </w:r>
            <w:r w:rsidRPr="008301DA" w:rsidR="009C7B43">
              <w:rPr>
                <w:rFonts w:ascii="Times New Roman" w:hAnsi="Times New Roman"/>
                <w:sz w:val="24"/>
                <w:szCs w:val="24"/>
              </w:rPr>
              <w:t xml:space="preserve"> nemá vplyv na rozpočet verejnej správy, na podnikateľské prostredie, nemá sociálne vplyvy, vplyv na životné prostredie, vplyv na informatizáciu a nemá vplyvy na služby pre občana, preto nie je predmetom PPK.</w:t>
            </w:r>
          </w:p>
        </w:tc>
      </w:tr>
    </w:tbl>
    <w:p w:rsidR="00A8025E" w:rsidRPr="00AB2DB9" w:rsidP="000D28A4">
      <w:pPr>
        <w:widowControl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Sect="000D28A4">
      <w:footerReference w:type="default" r:id="rId5"/>
      <w:pgSz w:w="11906" w:h="16838"/>
      <w:pgMar w:top="1417" w:right="1417" w:bottom="1276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BB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84B48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731BB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B2DB9"/>
    <w:rsid w:val="000119FE"/>
    <w:rsid w:val="000A15AE"/>
    <w:rsid w:val="000B3A77"/>
    <w:rsid w:val="000D28A4"/>
    <w:rsid w:val="0016496B"/>
    <w:rsid w:val="001B6DCC"/>
    <w:rsid w:val="001E7A8B"/>
    <w:rsid w:val="003F2DD9"/>
    <w:rsid w:val="00410C1E"/>
    <w:rsid w:val="00476580"/>
    <w:rsid w:val="004C4291"/>
    <w:rsid w:val="00571ACC"/>
    <w:rsid w:val="00681FC5"/>
    <w:rsid w:val="006F40C2"/>
    <w:rsid w:val="00731BBB"/>
    <w:rsid w:val="008301DA"/>
    <w:rsid w:val="00841B79"/>
    <w:rsid w:val="008A040D"/>
    <w:rsid w:val="008C4107"/>
    <w:rsid w:val="0097119C"/>
    <w:rsid w:val="009C7B43"/>
    <w:rsid w:val="00A24AE6"/>
    <w:rsid w:val="00A8025E"/>
    <w:rsid w:val="00AB2DB9"/>
    <w:rsid w:val="00B451D3"/>
    <w:rsid w:val="00D3362A"/>
    <w:rsid w:val="00D84B48"/>
    <w:rsid w:val="00D95E7C"/>
    <w:rsid w:val="00E33CF2"/>
    <w:rsid w:val="00EB59C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B2DB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unhideWhenUsed/>
    <w:rsid w:val="00AB2DB9"/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AB2DB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AB2DB9"/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AB2DB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B2DB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451D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451D3"/>
    <w:rPr>
      <w:rFonts w:ascii="Tahoma" w:hAnsi="Tahoma" w:cs="Tahoma"/>
      <w:sz w:val="16"/>
      <w:szCs w:val="16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9C7B43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letectvo@mindop.sk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500</Words>
  <Characters>2854</Characters>
  <Application>Microsoft Office Word</Application>
  <DocSecurity>0</DocSecurity>
  <Lines>0</Lines>
  <Paragraphs>0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Rybansky Ludovit</dc:creator>
  <cp:lastModifiedBy>Čuchtová, Martina</cp:lastModifiedBy>
  <cp:revision>6</cp:revision>
  <cp:lastPrinted>2016-01-19T10:07:00Z</cp:lastPrinted>
  <dcterms:created xsi:type="dcterms:W3CDTF">2016-01-19T10:38:00Z</dcterms:created>
  <dcterms:modified xsi:type="dcterms:W3CDTF">2018-01-08T16:25:00Z</dcterms:modified>
</cp:coreProperties>
</file>