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7AEE" w:rsidRPr="000A5AAE" w:rsidP="00F77AEE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="00573451">
        <w:rPr>
          <w:b/>
          <w:bCs/>
          <w:sz w:val="32"/>
          <w:szCs w:val="32"/>
        </w:rPr>
        <w:t>N</w:t>
      </w:r>
      <w:r w:rsidRPr="000A5AAE">
        <w:rPr>
          <w:rFonts w:hint="default"/>
          <w:b/>
          <w:bCs/>
          <w:sz w:val="32"/>
          <w:szCs w:val="32"/>
        </w:rPr>
        <w:t>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77AEE" w:rsidRPr="000A5AAE" w:rsidP="00F77AEE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F77AEE" w:rsidRPr="000A5AAE" w:rsidP="00F77AEE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F77AEE" w:rsidRPr="000A5AAE" w:rsidP="00F77AEE">
      <w:pPr>
        <w:bidi w:val="0"/>
        <w:spacing w:line="276" w:lineRule="auto"/>
        <w:jc w:val="center"/>
        <w:rPr>
          <w:rFonts w:hint="default"/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F77AEE" w:rsidRPr="000A5AAE" w:rsidP="00F77AEE">
      <w:pPr>
        <w:bidi w:val="0"/>
        <w:spacing w:line="276" w:lineRule="auto"/>
        <w:jc w:val="center"/>
        <w:rPr>
          <w:rFonts w:hint="default"/>
          <w:b/>
          <w:spacing w:val="30"/>
        </w:rPr>
      </w:pPr>
    </w:p>
    <w:p w:rsidR="00F77AEE" w:rsidRPr="000A5AAE" w:rsidP="00F77AEE">
      <w:pPr>
        <w:bidi w:val="0"/>
        <w:spacing w:line="276" w:lineRule="auto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F77AEE" w:rsidRPr="000A5AAE" w:rsidP="00F77AEE">
      <w:pPr>
        <w:bidi w:val="0"/>
        <w:spacing w:line="276" w:lineRule="auto"/>
        <w:jc w:val="center"/>
      </w:pPr>
    </w:p>
    <w:p w:rsidR="00F77AEE" w:rsidRPr="000A5AAE" w:rsidP="00F77AEE">
      <w:pPr>
        <w:bidi w:val="0"/>
        <w:spacing w:line="276" w:lineRule="auto"/>
        <w:jc w:val="center"/>
      </w:pPr>
      <w:r>
        <w:t>z ... 2018</w:t>
      </w:r>
      <w:r w:rsidRPr="000A5AAE">
        <w:t>,</w:t>
      </w:r>
    </w:p>
    <w:p w:rsidR="00F77AEE" w:rsidRPr="000A5AAE" w:rsidP="00F77AEE">
      <w:pPr>
        <w:bidi w:val="0"/>
        <w:spacing w:line="276" w:lineRule="auto"/>
        <w:jc w:val="center"/>
      </w:pPr>
    </w:p>
    <w:p w:rsidR="00DC00D9" w:rsidP="00F77AEE">
      <w:pPr>
        <w:bidi w:val="0"/>
        <w:spacing w:line="276" w:lineRule="auto"/>
        <w:jc w:val="center"/>
        <w:rPr>
          <w:rFonts w:hint="default"/>
          <w:b/>
        </w:rPr>
      </w:pPr>
      <w:r w:rsidRPr="004F16BA" w:rsidR="00F77AEE">
        <w:rPr>
          <w:rFonts w:hint="default"/>
          <w:b/>
        </w:rPr>
        <w:t>ktorý</w:t>
      </w:r>
      <w:r w:rsidRPr="004F16BA" w:rsidR="00F77AEE">
        <w:rPr>
          <w:rFonts w:hint="default"/>
          <w:b/>
        </w:rPr>
        <w:t>m sa mení</w:t>
      </w:r>
      <w:r w:rsidRPr="004F16BA" w:rsidR="00F77AEE">
        <w:rPr>
          <w:rFonts w:hint="default"/>
          <w:b/>
        </w:rPr>
        <w:t xml:space="preserve"> a dopĺň</w:t>
      </w:r>
      <w:r w:rsidRPr="004F16BA" w:rsidR="00F77AEE">
        <w:rPr>
          <w:rFonts w:hint="default"/>
          <w:b/>
        </w:rPr>
        <w:t>a zá</w:t>
      </w:r>
      <w:r w:rsidRPr="004F16BA" w:rsidR="00F77AEE">
        <w:rPr>
          <w:rFonts w:hint="default"/>
          <w:b/>
        </w:rPr>
        <w:t xml:space="preserve">kon </w:t>
      </w:r>
      <w:r>
        <w:rPr>
          <w:rFonts w:hint="default"/>
          <w:b/>
        </w:rPr>
        <w:t>č</w:t>
      </w:r>
      <w:r>
        <w:rPr>
          <w:rFonts w:hint="default"/>
          <w:b/>
        </w:rPr>
        <w:t xml:space="preserve">. </w:t>
      </w:r>
      <w:r w:rsidRPr="00DC00D9">
        <w:rPr>
          <w:b/>
        </w:rPr>
        <w:t>153/2001 Z. z. o</w:t>
      </w:r>
      <w:r>
        <w:rPr>
          <w:b/>
        </w:rPr>
        <w:t> </w:t>
      </w:r>
      <w:r w:rsidRPr="00DC00D9">
        <w:rPr>
          <w:rFonts w:hint="default"/>
          <w:b/>
        </w:rPr>
        <w:t>prokuratú</w:t>
      </w:r>
      <w:r w:rsidRPr="00DC00D9">
        <w:rPr>
          <w:rFonts w:hint="default"/>
          <w:b/>
        </w:rPr>
        <w:t>re</w:t>
      </w:r>
      <w:r>
        <w:rPr>
          <w:b/>
        </w:rPr>
        <w:t xml:space="preserve"> v </w:t>
      </w:r>
      <w:r>
        <w:rPr>
          <w:rFonts w:hint="default"/>
          <w:b/>
        </w:rPr>
        <w:t>znení</w:t>
      </w:r>
      <w:r>
        <w:rPr>
          <w:rFonts w:hint="default"/>
          <w:b/>
        </w:rPr>
        <w:t xml:space="preserve"> neskorší</w:t>
      </w:r>
      <w:r>
        <w:rPr>
          <w:rFonts w:hint="default"/>
          <w:b/>
        </w:rPr>
        <w:t>ch predpisov a </w:t>
      </w:r>
      <w:r>
        <w:rPr>
          <w:rFonts w:hint="default"/>
          <w:b/>
        </w:rPr>
        <w:t>ktorý</w:t>
      </w:r>
      <w:r>
        <w:rPr>
          <w:rFonts w:hint="default"/>
          <w:b/>
        </w:rPr>
        <w:t>m sa mení</w:t>
      </w:r>
      <w:r>
        <w:rPr>
          <w:rFonts w:hint="default"/>
          <w:b/>
        </w:rPr>
        <w:t xml:space="preserve"> a </w:t>
      </w:r>
      <w:r>
        <w:rPr>
          <w:rFonts w:hint="default"/>
          <w:b/>
        </w:rPr>
        <w:t>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č</w:t>
      </w:r>
      <w:r>
        <w:rPr>
          <w:rFonts w:hint="default"/>
          <w:b/>
        </w:rPr>
        <w:t xml:space="preserve">. </w:t>
      </w:r>
      <w:r w:rsidRPr="00DC00D9">
        <w:rPr>
          <w:rFonts w:hint="default"/>
          <w:b/>
        </w:rPr>
        <w:t>154/2001 Z. z. o prokurá</w:t>
      </w:r>
      <w:r w:rsidRPr="00DC00D9">
        <w:rPr>
          <w:rFonts w:hint="default"/>
          <w:b/>
        </w:rPr>
        <w:t>toroch a prá</w:t>
      </w:r>
      <w:r w:rsidRPr="00DC00D9">
        <w:rPr>
          <w:rFonts w:hint="default"/>
          <w:b/>
        </w:rPr>
        <w:t>vnych č</w:t>
      </w:r>
      <w:r w:rsidRPr="00DC00D9">
        <w:rPr>
          <w:rFonts w:hint="default"/>
          <w:b/>
        </w:rPr>
        <w:t>akat</w:t>
      </w:r>
      <w:r>
        <w:rPr>
          <w:rFonts w:hint="default"/>
          <w:b/>
        </w:rPr>
        <w:t>eľ</w:t>
      </w:r>
      <w:r>
        <w:rPr>
          <w:rFonts w:hint="default"/>
          <w:b/>
        </w:rPr>
        <w:t>och prokuratú</w:t>
      </w:r>
      <w:r>
        <w:rPr>
          <w:rFonts w:hint="default"/>
          <w:b/>
        </w:rPr>
        <w:t>ry v znení</w:t>
      </w:r>
      <w:r>
        <w:rPr>
          <w:rFonts w:hint="default"/>
          <w:b/>
        </w:rPr>
        <w:t xml:space="preserve"> neskorší</w:t>
      </w:r>
      <w:r>
        <w:rPr>
          <w:rFonts w:hint="default"/>
          <w:b/>
        </w:rPr>
        <w:t>ch predpisov</w:t>
      </w:r>
    </w:p>
    <w:p w:rsidR="00F77AEE" w:rsidRPr="000A5AAE" w:rsidP="00F77AEE">
      <w:pPr>
        <w:bidi w:val="0"/>
        <w:spacing w:line="276" w:lineRule="auto"/>
        <w:ind w:firstLine="708"/>
        <w:jc w:val="center"/>
      </w:pPr>
    </w:p>
    <w:p w:rsidR="00F77AEE" w:rsidP="00F77AEE">
      <w:pPr>
        <w:bidi w:val="0"/>
        <w:spacing w:line="276" w:lineRule="auto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F77AEE" w:rsidP="00F77AEE">
      <w:pPr>
        <w:bidi w:val="0"/>
        <w:spacing w:line="276" w:lineRule="auto"/>
        <w:jc w:val="center"/>
      </w:pPr>
    </w:p>
    <w:p w:rsidR="00F77AEE" w:rsidRPr="004F16BA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486EA3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F77AEE" w:rsidRPr="004F16BA" w:rsidP="00F77AEE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 a zákona č. 125/2016 Z. z. sa mení a dopĺňa takto: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486EA3" w:rsidP="00486EA3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Pr="00486EA3">
        <w:rPr>
          <w:rFonts w:eastAsia="Times New Roman" w:cs="Times New Roman"/>
          <w:kern w:val="0"/>
          <w:lang w:eastAsia="en-US" w:bidi="ar-SA"/>
        </w:rPr>
        <w:t>V § 46 ods. 7 sa na konci pripája veta: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„Veci sa prideľujú jednotlivým prokurátorom náhodným výberom pomocou technických prostriedkov a programových prostriedkov schválených generálnym prokurátorom tak, aby bola vylúčená možnosť ovplyvňovania pridelenia vecí.“.</w:t>
      </w:r>
    </w:p>
    <w:p w:rsidR="00F77AEE" w:rsidRPr="004F16BA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486EA3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F77AEE" w:rsidRPr="004F16BA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b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Zákon č. 154/2001 Z. z. o prokurátoroch a právnych čakateľoch prokuratúry v znení zákona č. 669/2002 Z. z., zákona č. 458/2003 Z. z., zákona č. 462/2003 Z. z., zákona č. 548/2003 Z. z., zákona č. 561/2003 Z. z., zákona č. 365/2004 Z. z., zákona č. 530/2004 Z. z., zákona č. 586/2004 Z. z., zákona č. 609/2004 Z. z., zákona č. 122/2005 Z. z., zákona č. 622/2005 Z. z., zákona č. 520/2008 Z. z., zákona č. 291/2009 Z. z., zákona č. 543/2010 Z. z., zákona č. 33/2011 Z. z., zákona č. 220/2011 Z. z., zákona č. 503/2011 Z. z., zákona č. 79/2012 Z. z., zákona č. 335/2012 Z. z., zákona č. 392/2012 Z. z., zákona č. 462/2013 Z. z., zákona č. 195/2014 Z. z., nálezu Ústavného súdu Slovenskej republiky č. 217/2014 Z. z., zákona č. 307/2014 Z. z., zákona č. 322/2014 Z. z., zákona č. 362/2014 Z. z., zákona č. 401/2015 Z. z. a zákona č. 125/2016 Z. z. sa mení a dopĺňa takto:</w:t>
      </w:r>
    </w:p>
    <w:p w:rsidR="00F77AEE" w:rsidP="00F77AEE">
      <w:pPr>
        <w:pStyle w:val="ListParagraph"/>
        <w:widowControl/>
        <w:numPr>
          <w:numId w:val="18"/>
        </w:numPr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 § 10 sa vkladá nový § 10a, ktorý vrátane nadpisu znie:</w:t>
      </w:r>
    </w:p>
    <w:p w:rsidR="00573451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</w:p>
    <w:p w:rsidR="00F77AEE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</w:t>
      </w:r>
      <w:r w:rsidR="00573451">
        <w:rPr>
          <w:rFonts w:eastAsia="Times New Roman" w:cs="Times New Roman"/>
          <w:kern w:val="0"/>
          <w:lang w:eastAsia="en-US" w:bidi="ar-SA"/>
        </w:rPr>
        <w:t xml:space="preserve">§ </w:t>
      </w:r>
      <w:r>
        <w:rPr>
          <w:rFonts w:eastAsia="Times New Roman" w:cs="Times New Roman"/>
          <w:kern w:val="0"/>
          <w:lang w:eastAsia="en-US" w:bidi="ar-SA"/>
        </w:rPr>
        <w:t>10a</w:t>
      </w:r>
    </w:p>
    <w:p w:rsidR="00F77AEE" w:rsidRPr="00DB4A29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DB4A29">
        <w:rPr>
          <w:rFonts w:eastAsia="Times New Roman" w:cs="Times New Roman"/>
          <w:kern w:val="0"/>
          <w:lang w:eastAsia="en-US" w:bidi="ar-SA"/>
        </w:rPr>
        <w:t>Preloženie z osobitného dôvodu</w:t>
      </w:r>
    </w:p>
    <w:p w:rsidR="00F77AEE" w:rsidRPr="00DB4A29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DB4A29">
        <w:rPr>
          <w:rFonts w:eastAsia="Times New Roman" w:cs="Times New Roman"/>
          <w:kern w:val="0"/>
          <w:lang w:eastAsia="en-US" w:bidi="ar-SA"/>
        </w:rPr>
        <w:t xml:space="preserve">(1) Generálny prokurátor preloží vedúceho prokurátora, ktorý </w:t>
      </w:r>
      <w:r w:rsidR="00F07184">
        <w:rPr>
          <w:rFonts w:eastAsia="Times New Roman" w:cs="Times New Roman"/>
          <w:kern w:val="0"/>
          <w:lang w:eastAsia="en-US" w:bidi="ar-SA"/>
        </w:rPr>
        <w:t xml:space="preserve">bol </w:t>
      </w:r>
      <w:r w:rsidRPr="00DB4A29">
        <w:rPr>
          <w:rFonts w:eastAsia="Times New Roman" w:cs="Times New Roman"/>
          <w:kern w:val="0"/>
          <w:lang w:eastAsia="en-US" w:bidi="ar-SA"/>
        </w:rPr>
        <w:t>krajským prokurátorom alebo námestníkom krajského prokurátora najmenej desať rokov na rovnakú alebo obdobnú funkciu tak, aby sa miesto pravidelného výkonu jeho funkcie nachádzalo mimo územného obvodu kraja, v ktorom sa nachádza súčasné miesto pravidelného výkonu jeho funkcie.</w:t>
      </w:r>
    </w:p>
    <w:p w:rsidR="00F77AEE" w:rsidRPr="00DB4A29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DB4A29">
        <w:rPr>
          <w:rFonts w:eastAsia="Times New Roman" w:cs="Times New Roman"/>
          <w:kern w:val="0"/>
          <w:lang w:eastAsia="en-US" w:bidi="ar-SA"/>
        </w:rPr>
        <w:t xml:space="preserve">(2) Generálny prokurátor preloží vedúceho prokurátora, ktorý </w:t>
      </w:r>
      <w:r w:rsidR="00F07184">
        <w:rPr>
          <w:rFonts w:eastAsia="Times New Roman" w:cs="Times New Roman"/>
          <w:kern w:val="0"/>
          <w:lang w:eastAsia="en-US" w:bidi="ar-SA"/>
        </w:rPr>
        <w:t xml:space="preserve">bol </w:t>
      </w:r>
      <w:r w:rsidRPr="00DB4A29">
        <w:rPr>
          <w:rFonts w:eastAsia="Times New Roman" w:cs="Times New Roman"/>
          <w:kern w:val="0"/>
          <w:lang w:eastAsia="en-US" w:bidi="ar-SA"/>
        </w:rPr>
        <w:t>okresným prokurátorom alebo námestníkom okresného prokurátora najmenej desať rokov na rovnakú alebo obdobnú funkciu tak, aby sa miesto pravidelného výkonu jeho funkcie nachádzalo mimo územného obvodu okresu, v ktorom sa nachádza súčasné miesto pravidelného výkonu jeho funkcie.</w:t>
      </w:r>
    </w:p>
    <w:p w:rsidR="00F77AEE" w:rsidRPr="00DB4A29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1F0664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DB4A29">
        <w:rPr>
          <w:rFonts w:eastAsia="Times New Roman" w:cs="Times New Roman"/>
          <w:kern w:val="0"/>
          <w:lang w:eastAsia="en-US" w:bidi="ar-SA"/>
        </w:rPr>
        <w:t>(3) Ak vedúci prokurátor vyjadrí s preložením na inú funkciu podľa odsekov 1 a 2 nesúhlas, predpokladá sa, že požiadal o uvoľnenie z funkcie vedúceho prokurátora.</w:t>
      </w:r>
      <w:r>
        <w:rPr>
          <w:rFonts w:eastAsia="Times New Roman" w:cs="Times New Roman"/>
          <w:kern w:val="0"/>
          <w:lang w:eastAsia="en-US" w:bidi="ar-SA"/>
        </w:rPr>
        <w:t>“.</w:t>
      </w:r>
    </w:p>
    <w:p w:rsidR="00F77AEE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1F0664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Doterajší § 10a sa označuje ako § 10b.</w:t>
      </w:r>
    </w:p>
    <w:p w:rsidR="00F77AEE" w:rsidP="00F77AEE">
      <w:pPr>
        <w:pStyle w:val="ListParagraph"/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22201A" w:rsidP="00F77AEE">
      <w:pPr>
        <w:pStyle w:val="ListParagraph"/>
        <w:widowControl/>
        <w:numPr>
          <w:numId w:val="18"/>
        </w:numPr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2201A">
        <w:rPr>
          <w:rFonts w:eastAsia="Times New Roman" w:cs="Times New Roman"/>
          <w:kern w:val="0"/>
          <w:lang w:eastAsia="en-US" w:bidi="ar-SA"/>
        </w:rPr>
        <w:t>V § 224 ods. 2 sa dopĺňajú písm. g) a h), ktoré znejú: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„g) môže vyhlásiť pokyn, príkaz alebo úlohu uloženú prokurátorovi nadriadeným prokurátorom za neplatné, ak zistí, že sa svojim obsahom alebo účelom priečia zákonným povinnostiam prokurátora, alebo ich obchádzajú,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h) kontroluje dodržiavanie prideľovania vecí jednotlivým prokurátorom náhodným výberom pomocou technických prostriedkov a programových prostriedkov schválených generálnym prokurátorom tak, aby bola vylúčená možnosť ovplyvňovania pridelenia vecí.“.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22201A" w:rsidP="00F77AEE">
      <w:pPr>
        <w:pStyle w:val="ListParagraph"/>
        <w:widowControl/>
        <w:numPr>
          <w:numId w:val="18"/>
        </w:numPr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2201A">
        <w:rPr>
          <w:rFonts w:eastAsia="Times New Roman" w:cs="Times New Roman"/>
          <w:kern w:val="0"/>
          <w:lang w:eastAsia="en-US" w:bidi="ar-SA"/>
        </w:rPr>
        <w:t>V § 224 sa dopĺňa odsek 3, ktorý znie: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="006D5ADF">
        <w:rPr>
          <w:rFonts w:eastAsia="Times New Roman" w:cs="Times New Roman"/>
          <w:kern w:val="0"/>
          <w:lang w:eastAsia="en-US" w:bidi="ar-SA"/>
        </w:rPr>
        <w:t>„</w:t>
      </w:r>
      <w:r w:rsidRPr="004F16BA">
        <w:rPr>
          <w:rFonts w:eastAsia="Times New Roman" w:cs="Times New Roman"/>
          <w:kern w:val="0"/>
          <w:lang w:eastAsia="en-US" w:bidi="ar-SA"/>
        </w:rPr>
        <w:t>(3) Vyhlásenie neplatnosti podľa odseku 2 písm. g) môže rada prokurátorov vykonať najneskôr do troch mesiacov od oznámenia takého pokynu, príkazu alebo takej úlohy prokurátorovi.</w:t>
      </w:r>
      <w:r w:rsidR="006D5ADF">
        <w:rPr>
          <w:rFonts w:eastAsia="Times New Roman" w:cs="Times New Roman"/>
          <w:kern w:val="0"/>
          <w:lang w:eastAsia="en-US" w:bidi="ar-SA"/>
        </w:rPr>
        <w:t>“.</w:t>
      </w:r>
    </w:p>
    <w:p w:rsidR="00573451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73451" w:rsidRPr="00573451" w:rsidP="00573451">
      <w:pPr>
        <w:pStyle w:val="ListParagraph"/>
        <w:widowControl/>
        <w:numPr>
          <w:numId w:val="18"/>
        </w:numPr>
        <w:tabs>
          <w:tab w:val="left" w:pos="6319"/>
        </w:tabs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Pr="00573451">
        <w:rPr>
          <w:rFonts w:eastAsia="Times New Roman" w:cs="Times New Roman"/>
          <w:kern w:val="0"/>
          <w:lang w:eastAsia="en-US" w:bidi="ar-SA"/>
        </w:rPr>
        <w:t>Za § 265zc sa vkladá § 265zd, ktorý vrátane nadpisu znie:</w:t>
      </w:r>
    </w:p>
    <w:p w:rsidR="00573451" w:rsidP="00573451">
      <w:pPr>
        <w:widowControl/>
        <w:tabs>
          <w:tab w:val="left" w:pos="6319"/>
        </w:tabs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265zd</w:t>
      </w:r>
    </w:p>
    <w:p w:rsidR="00573451" w:rsidP="00573451">
      <w:pPr>
        <w:widowControl/>
        <w:tabs>
          <w:tab w:val="left" w:pos="6319"/>
        </w:tabs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Prechodné ustanovenia k úpravám účinným od 1. októbra 2018</w:t>
      </w:r>
    </w:p>
    <w:p w:rsidR="00573451" w:rsidP="00573451">
      <w:pPr>
        <w:widowControl/>
        <w:tabs>
          <w:tab w:val="left" w:pos="6319"/>
        </w:tabs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</w:p>
    <w:p w:rsidR="00573451" w:rsidRPr="00573451" w:rsidP="00573451">
      <w:pPr>
        <w:widowControl/>
        <w:tabs>
          <w:tab w:val="left" w:pos="6319"/>
        </w:tabs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573451">
        <w:rPr>
          <w:rFonts w:eastAsia="Times New Roman" w:cs="Times New Roman"/>
          <w:kern w:val="0"/>
          <w:lang w:eastAsia="en-US" w:bidi="ar-SA"/>
        </w:rPr>
        <w:t>Preloženie na inú funkciu podľa §</w:t>
      </w:r>
      <w:r>
        <w:rPr>
          <w:rFonts w:eastAsia="Times New Roman" w:cs="Times New Roman"/>
          <w:kern w:val="0"/>
          <w:lang w:eastAsia="en-US" w:bidi="ar-SA"/>
        </w:rPr>
        <w:t xml:space="preserve"> 10</w:t>
      </w:r>
      <w:r w:rsidRPr="00573451">
        <w:rPr>
          <w:rFonts w:eastAsia="Times New Roman" w:cs="Times New Roman"/>
          <w:kern w:val="0"/>
          <w:lang w:eastAsia="en-US" w:bidi="ar-SA"/>
        </w:rPr>
        <w:t>a sa vykoná do 31. decembra 2018.“.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CB1ED7">
        <w:rPr>
          <w:rFonts w:eastAsia="Times New Roman" w:cs="Times New Roman"/>
          <w:b/>
          <w:kern w:val="0"/>
          <w:lang w:eastAsia="en-US" w:bidi="ar-SA"/>
        </w:rPr>
        <w:t>Čl. III</w:t>
      </w:r>
    </w:p>
    <w:p w:rsidR="00573451" w:rsidRPr="004F16BA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486EA3" w:rsidP="00573451">
      <w:pPr>
        <w:widowControl/>
        <w:suppressAutoHyphens w:val="0"/>
        <w:bidi w:val="0"/>
        <w:spacing w:line="276" w:lineRule="auto"/>
        <w:rPr>
          <w:b/>
          <w:bCs/>
        </w:rPr>
      </w:pPr>
      <w:r w:rsidRPr="004F16BA" w:rsidR="00F77AEE">
        <w:rPr>
          <w:rFonts w:eastAsia="Times New Roman" w:cs="Times New Roman"/>
          <w:b/>
          <w:kern w:val="0"/>
          <w:lang w:eastAsia="en-US" w:bidi="ar-SA"/>
        </w:rPr>
        <w:tab/>
      </w:r>
      <w:r w:rsidR="00F77AEE">
        <w:rPr>
          <w:rFonts w:eastAsia="Times New Roman" w:cs="Times New Roman"/>
          <w:kern w:val="0"/>
          <w:lang w:eastAsia="en-US" w:bidi="ar-SA"/>
        </w:rPr>
        <w:t>Tento zákon nadobúda účinnosť 1. októbra 2018</w:t>
      </w:r>
      <w:r w:rsidRPr="004F16BA" w:rsidR="00F77AEE">
        <w:rPr>
          <w:rFonts w:eastAsia="Times New Roman" w:cs="Times New Roman"/>
          <w:kern w:val="0"/>
          <w:lang w:eastAsia="en-US" w:bidi="ar-SA"/>
        </w:rPr>
        <w:t>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F9B"/>
    <w:multiLevelType w:val="hybridMultilevel"/>
    <w:tmpl w:val="83F25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4D748A5"/>
    <w:multiLevelType w:val="hybridMultilevel"/>
    <w:tmpl w:val="DCEC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FDC0F46"/>
    <w:multiLevelType w:val="hybridMultilevel"/>
    <w:tmpl w:val="8D321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15"/>
  </w:num>
  <w:num w:numId="14">
    <w:abstractNumId w:val="5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0F02C0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10A0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0664"/>
    <w:rsid w:val="001F1DA1"/>
    <w:rsid w:val="0020104E"/>
    <w:rsid w:val="00203D9D"/>
    <w:rsid w:val="00220208"/>
    <w:rsid w:val="002204AF"/>
    <w:rsid w:val="00221C47"/>
    <w:rsid w:val="0022201A"/>
    <w:rsid w:val="002226ED"/>
    <w:rsid w:val="00225B05"/>
    <w:rsid w:val="00227EC6"/>
    <w:rsid w:val="0023058D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B7E9C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03F3"/>
    <w:rsid w:val="002F27EB"/>
    <w:rsid w:val="002F2BB9"/>
    <w:rsid w:val="002F3083"/>
    <w:rsid w:val="00306F6B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86EA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45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6BDB"/>
    <w:rsid w:val="006B7ED8"/>
    <w:rsid w:val="006C3B7E"/>
    <w:rsid w:val="006C5D62"/>
    <w:rsid w:val="006D2ABF"/>
    <w:rsid w:val="006D56B2"/>
    <w:rsid w:val="006D5AD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0924"/>
    <w:rsid w:val="007F3D73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7CD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41F79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112D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7F58"/>
    <w:rsid w:val="00A122FD"/>
    <w:rsid w:val="00A147CA"/>
    <w:rsid w:val="00A14B23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AE74C1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42A5F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4095D"/>
    <w:rsid w:val="00C41815"/>
    <w:rsid w:val="00C61514"/>
    <w:rsid w:val="00C62D93"/>
    <w:rsid w:val="00C71F26"/>
    <w:rsid w:val="00C763E4"/>
    <w:rsid w:val="00C8387B"/>
    <w:rsid w:val="00C84023"/>
    <w:rsid w:val="00C92858"/>
    <w:rsid w:val="00C9376A"/>
    <w:rsid w:val="00C965D6"/>
    <w:rsid w:val="00CA14F3"/>
    <w:rsid w:val="00CA3849"/>
    <w:rsid w:val="00CB1ED7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3758"/>
    <w:rsid w:val="00D86C6A"/>
    <w:rsid w:val="00D86CD2"/>
    <w:rsid w:val="00D91EF7"/>
    <w:rsid w:val="00D933D7"/>
    <w:rsid w:val="00D94073"/>
    <w:rsid w:val="00DA1181"/>
    <w:rsid w:val="00DA30C3"/>
    <w:rsid w:val="00DA4D1B"/>
    <w:rsid w:val="00DB4A29"/>
    <w:rsid w:val="00DB5CFF"/>
    <w:rsid w:val="00DB5DB1"/>
    <w:rsid w:val="00DB6C4F"/>
    <w:rsid w:val="00DC00D9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573D4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0718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C6ACD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D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EEBE-1FD6-4ECB-8411-10BD285C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594</Words>
  <Characters>3390</Characters>
  <Application>Microsoft Office Word</Application>
  <DocSecurity>0</DocSecurity>
  <Lines>0</Lines>
  <Paragraphs>0</Paragraphs>
  <ScaleCrop>false</ScaleCrop>
  <Company>HP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2018-04-12T15:14:00Z</dcterms:created>
  <dcterms:modified xsi:type="dcterms:W3CDTF">2018-04-12T15:14:00Z</dcterms:modified>
</cp:coreProperties>
</file>