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C37D0">
        <w:rPr>
          <w:sz w:val="22"/>
          <w:szCs w:val="22"/>
        </w:rPr>
        <w:t>701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275A0">
        <w:t>9</w:t>
      </w:r>
      <w:r w:rsidR="00BC37D0">
        <w:t>72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275A0">
        <w:rPr>
          <w:rFonts w:ascii="Arial" w:hAnsi="Arial" w:cs="Arial"/>
          <w:sz w:val="22"/>
          <w:szCs w:val="22"/>
        </w:rPr>
        <w:t> </w:t>
      </w:r>
      <w:r w:rsidR="00BC37D0">
        <w:rPr>
          <w:rFonts w:ascii="Arial" w:hAnsi="Arial" w:cs="Arial"/>
          <w:sz w:val="22"/>
          <w:szCs w:val="22"/>
        </w:rPr>
        <w:t>10</w:t>
      </w:r>
      <w:r w:rsidR="00C275A0">
        <w:rPr>
          <w:rFonts w:ascii="Arial" w:hAnsi="Arial" w:cs="Arial"/>
          <w:sz w:val="22"/>
          <w:szCs w:val="22"/>
        </w:rPr>
        <w:t xml:space="preserve">. </w:t>
      </w:r>
      <w:r w:rsidR="00BC37D0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275A0">
        <w:rPr>
          <w:rFonts w:cs="Arial"/>
          <w:szCs w:val="22"/>
        </w:rPr>
        <w:t>Martina KLUSA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mení a dopĺňa </w:t>
      </w:r>
      <w:r w:rsidR="00C275A0">
        <w:rPr>
          <w:rFonts w:cs="Arial"/>
          <w:szCs w:val="22"/>
        </w:rPr>
        <w:t>zákon č. 180/2014 Z. z. o podmienkach výkonu volebného práva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C37D0">
        <w:rPr>
          <w:rFonts w:cs="Arial"/>
          <w:szCs w:val="22"/>
        </w:rPr>
        <w:t>931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C37D0">
        <w:rPr>
          <w:rFonts w:cs="Arial"/>
          <w:szCs w:val="22"/>
        </w:rPr>
        <w:t>6</w:t>
      </w:r>
      <w:r w:rsidR="00C275A0">
        <w:rPr>
          <w:rFonts w:cs="Arial"/>
          <w:szCs w:val="22"/>
        </w:rPr>
        <w:t xml:space="preserve">. </w:t>
      </w:r>
      <w:r w:rsidR="00BC37D0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84F70">
        <w:rPr>
          <w:rFonts w:ascii="Arial" w:hAnsi="Arial" w:cs="Arial"/>
          <w:sz w:val="22"/>
          <w:szCs w:val="22"/>
        </w:rPr>
        <w:t xml:space="preserve"> </w:t>
      </w:r>
    </w:p>
    <w:p w:rsidR="00E84F7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C37D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84F7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</w:t>
      </w:r>
      <w:r w:rsidR="00E84F70">
        <w:rPr>
          <w:rFonts w:ascii="Arial" w:hAnsi="Arial" w:cs="Arial"/>
          <w:sz w:val="22"/>
          <w:szCs w:val="22"/>
        </w:rPr>
        <w:t>ozvoj</w:t>
      </w:r>
      <w:r>
        <w:rPr>
          <w:rFonts w:ascii="Arial" w:hAnsi="Arial" w:cs="Arial"/>
          <w:sz w:val="22"/>
          <w:szCs w:val="22"/>
        </w:rPr>
        <w:t xml:space="preserve"> </w:t>
      </w:r>
    </w:p>
    <w:p w:rsidR="00BC37D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BC37D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C37D0">
        <w:rPr>
          <w:rFonts w:ascii="Arial" w:hAnsi="Arial" w:cs="Arial"/>
          <w:sz w:val="22"/>
          <w:szCs w:val="22"/>
        </w:rPr>
        <w:tab/>
        <w:t>Zahraničnému výboru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84F7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C275A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C275A0">
        <w:rPr>
          <w:rFonts w:ascii="Arial" w:hAnsi="Arial" w:cs="Arial"/>
          <w:sz w:val="22"/>
        </w:rPr>
        <w:t>b) lehotu na prerokovanie návrhu zákona v druhom čítaní vo výbor</w:t>
      </w:r>
      <w:r w:rsidR="00BC37D0">
        <w:rPr>
          <w:rFonts w:ascii="Arial" w:hAnsi="Arial" w:cs="Arial"/>
          <w:sz w:val="22"/>
        </w:rPr>
        <w:t>och</w:t>
      </w:r>
      <w:r w:rsidR="00C275A0">
        <w:rPr>
          <w:rFonts w:ascii="Arial" w:hAnsi="Arial" w:cs="Arial"/>
          <w:sz w:val="22"/>
        </w:rPr>
        <w:t xml:space="preserve"> </w:t>
        <w:br/>
      </w:r>
      <w:r w:rsidR="00C275A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C37D0">
        <w:rPr>
          <w:rFonts w:ascii="Arial" w:hAnsi="Arial" w:cs="Arial"/>
          <w:b/>
          <w:bCs/>
          <w:sz w:val="22"/>
          <w:u w:val="single"/>
        </w:rPr>
        <w:t>30 dní</w:t>
      </w:r>
      <w:r w:rsidR="00C275A0">
        <w:rPr>
          <w:rFonts w:ascii="Arial" w:hAnsi="Arial" w:cs="Arial"/>
          <w:sz w:val="22"/>
        </w:rPr>
        <w:t xml:space="preserve"> a v gestorskom výbore </w:t>
      </w:r>
      <w:r w:rsidR="00C275A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C37D0">
        <w:rPr>
          <w:rFonts w:ascii="Arial" w:hAnsi="Arial" w:cs="Arial"/>
          <w:b/>
          <w:bCs/>
          <w:sz w:val="22"/>
          <w:u w:val="single"/>
        </w:rPr>
        <w:t>32 dní</w:t>
      </w:r>
      <w:r w:rsidR="00BC37D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275A0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E6AD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E6AD7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66789" w:rsidRPr="00E66789" w:rsidP="00990325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2506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C2DE8"/>
    <w:rsid w:val="006E6102"/>
    <w:rsid w:val="007351A5"/>
    <w:rsid w:val="007448FA"/>
    <w:rsid w:val="007B2F24"/>
    <w:rsid w:val="008A0C9B"/>
    <w:rsid w:val="008B1A45"/>
    <w:rsid w:val="00990325"/>
    <w:rsid w:val="00992885"/>
    <w:rsid w:val="00AA3DED"/>
    <w:rsid w:val="00AB4082"/>
    <w:rsid w:val="00AE6AD7"/>
    <w:rsid w:val="00B1506F"/>
    <w:rsid w:val="00B20ACA"/>
    <w:rsid w:val="00BC37D0"/>
    <w:rsid w:val="00BE56B2"/>
    <w:rsid w:val="00C11306"/>
    <w:rsid w:val="00C275A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340B1"/>
    <w:rsid w:val="00E449BA"/>
    <w:rsid w:val="00E66789"/>
    <w:rsid w:val="00E84F70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1133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2018-04-10T09:35:00Z</cp:lastPrinted>
  <dcterms:created xsi:type="dcterms:W3CDTF">2018-04-12T10:08:00Z</dcterms:created>
  <dcterms:modified xsi:type="dcterms:W3CDTF">2018-04-12T10:08:00Z</dcterms:modified>
</cp:coreProperties>
</file>