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C1C8F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C1C8F">
        <w:rPr>
          <w:rFonts w:cs="Times New Roman" w:hint="default"/>
          <w:b/>
          <w:bCs/>
          <w:kern w:val="0"/>
          <w:lang w:eastAsia="sk-SK" w:bidi="ar-SA"/>
        </w:rPr>
        <w:t>ktorý</w:t>
      </w:r>
      <w:r w:rsidRPr="002C1C8F">
        <w:rPr>
          <w:rFonts w:cs="Times New Roman" w:hint="default"/>
          <w:b/>
          <w:bCs/>
          <w:kern w:val="0"/>
          <w:lang w:eastAsia="sk-SK" w:bidi="ar-SA"/>
        </w:rPr>
        <w:t xml:space="preserve">m 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>sa mení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 xml:space="preserve"> a dopĺň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>a zá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>kon č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>. 524/2010 Z. z. o poskytovaní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 xml:space="preserve"> dotá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>cií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 xml:space="preserve"> v pô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>sobnosti Ú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>radu vlá</w:t>
      </w:r>
      <w:r w:rsidRPr="00570B97" w:rsidR="00570B97">
        <w:rPr>
          <w:rFonts w:cs="Times New Roman" w:hint="default"/>
          <w:b/>
          <w:bCs/>
          <w:kern w:val="0"/>
          <w:lang w:eastAsia="sk-SK" w:bidi="ar-SA"/>
        </w:rPr>
        <w:t>dy Slovenskej republi</w:t>
      </w:r>
      <w:r w:rsidR="00570B97">
        <w:rPr>
          <w:rFonts w:cs="Times New Roman" w:hint="default"/>
          <w:b/>
          <w:bCs/>
          <w:kern w:val="0"/>
          <w:lang w:eastAsia="sk-SK" w:bidi="ar-SA"/>
        </w:rPr>
        <w:t>ky v znení</w:t>
      </w:r>
      <w:r w:rsidR="00570B97">
        <w:rPr>
          <w:rFonts w:cs="Times New Roman" w:hint="default"/>
          <w:b/>
          <w:bCs/>
          <w:kern w:val="0"/>
          <w:lang w:eastAsia="sk-SK" w:bidi="ar-SA"/>
        </w:rPr>
        <w:t xml:space="preserve"> neskorší</w:t>
      </w:r>
      <w:r w:rsidR="00570B97">
        <w:rPr>
          <w:rFonts w:cs="Times New Roman" w:hint="default"/>
          <w:b/>
          <w:bCs/>
          <w:kern w:val="0"/>
          <w:lang w:eastAsia="sk-SK" w:bidi="ar-SA"/>
        </w:rPr>
        <w:t>ch predpisov</w:t>
      </w:r>
    </w:p>
    <w:p w:rsidR="002C1C8F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cs="Times New Roman" w:hint="default"/>
          <w:b/>
          <w:bCs/>
          <w:kern w:val="0"/>
          <w:lang w:eastAsia="en-US" w:bidi="ar-SA"/>
        </w:rPr>
      </w:pPr>
      <w:r w:rsidRPr="002F27EB">
        <w:rPr>
          <w:rFonts w:cs="Times New Roman" w:hint="default"/>
          <w:b/>
          <w:bCs/>
          <w:kern w:val="0"/>
          <w:lang w:eastAsia="en-US" w:bidi="ar-SA"/>
        </w:rPr>
        <w:t>Č</w:t>
      </w:r>
      <w:r w:rsidRPr="002F27EB">
        <w:rPr>
          <w:rFonts w:cs="Times New Roman" w:hint="default"/>
          <w:b/>
          <w:bCs/>
          <w:kern w:val="0"/>
          <w:lang w:eastAsia="en-US" w:bidi="ar-SA"/>
        </w:rPr>
        <w:t>l. I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32FA9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cs="Times New Roman"/>
          <w:color w:val="000000"/>
          <w:kern w:val="0"/>
          <w:lang w:eastAsia="en-US" w:bidi="ar-SA"/>
        </w:rPr>
      </w:pP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Zá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. 524/2010 Z. z. o poskytovaní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 xml:space="preserve"> dotá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cií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 xml:space="preserve"> v pô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sobnosti Ú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rad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u vlá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dy Slovenskej republiky v znení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. 287/2012 Z. z., zá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. 201/2013 Z. z., zá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. 378/2016 Z.</w:t>
      </w:r>
      <w:r w:rsidR="00A2228B">
        <w:rPr>
          <w:rFonts w:cs="Times New Roman" w:hint="default"/>
          <w:color w:val="000000"/>
          <w:kern w:val="0"/>
          <w:lang w:eastAsia="en-US" w:bidi="ar-SA"/>
        </w:rPr>
        <w:t xml:space="preserve"> z., zá</w:t>
      </w:r>
      <w:r w:rsidR="00A2228B">
        <w:rPr>
          <w:rFonts w:cs="Times New Roman" w:hint="default"/>
          <w:color w:val="000000"/>
          <w:kern w:val="0"/>
          <w:lang w:eastAsia="en-US" w:bidi="ar-SA"/>
        </w:rPr>
        <w:t>kona č</w:t>
      </w:r>
      <w:r w:rsidR="00A2228B">
        <w:rPr>
          <w:rFonts w:cs="Times New Roman" w:hint="default"/>
          <w:color w:val="000000"/>
          <w:kern w:val="0"/>
          <w:lang w:eastAsia="en-US" w:bidi="ar-SA"/>
        </w:rPr>
        <w:t xml:space="preserve">. 138/2017 Z. z., 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zá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 xml:space="preserve">. 177/2017 Z. z. </w:t>
      </w:r>
      <w:r w:rsidR="00A2228B">
        <w:rPr>
          <w:rFonts w:cs="Times New Roman"/>
          <w:color w:val="000000"/>
          <w:kern w:val="0"/>
          <w:lang w:eastAsia="en-US" w:bidi="ar-SA"/>
        </w:rPr>
        <w:t>a </w:t>
      </w:r>
      <w:r w:rsidR="00A2228B">
        <w:rPr>
          <w:rFonts w:cs="Times New Roman" w:hint="default"/>
          <w:color w:val="000000"/>
          <w:kern w:val="0"/>
          <w:lang w:eastAsia="en-US" w:bidi="ar-SA"/>
        </w:rPr>
        <w:t>zá</w:t>
      </w:r>
      <w:r w:rsidR="00A2228B">
        <w:rPr>
          <w:rFonts w:cs="Times New Roman" w:hint="default"/>
          <w:color w:val="000000"/>
          <w:kern w:val="0"/>
          <w:lang w:eastAsia="en-US" w:bidi="ar-SA"/>
        </w:rPr>
        <w:t>kona č</w:t>
      </w:r>
      <w:r w:rsidR="00A2228B">
        <w:rPr>
          <w:rFonts w:cs="Times New Roman" w:hint="default"/>
          <w:color w:val="000000"/>
          <w:kern w:val="0"/>
          <w:lang w:eastAsia="en-US" w:bidi="ar-SA"/>
        </w:rPr>
        <w:t xml:space="preserve">. 243/2017 Z. z. </w:t>
      </w:r>
      <w:r w:rsidRPr="00A2228B" w:rsidR="00A2228B">
        <w:rPr>
          <w:rFonts w:cs="Times New Roman"/>
          <w:color w:val="000000"/>
          <w:kern w:val="0"/>
          <w:lang w:eastAsia="en-US" w:bidi="ar-SA"/>
        </w:rPr>
        <w:t xml:space="preserve">sa </w:t>
      </w:r>
      <w:r w:rsidR="00A2228B">
        <w:rPr>
          <w:rFonts w:cs="Times New Roman" w:hint="default"/>
          <w:color w:val="000000"/>
          <w:kern w:val="0"/>
          <w:lang w:eastAsia="en-US" w:bidi="ar-SA"/>
        </w:rPr>
        <w:t>mení</w:t>
      </w:r>
      <w:r w:rsidR="00A2228B">
        <w:rPr>
          <w:rFonts w:cs="Times New Roman" w:hint="default"/>
          <w:color w:val="000000"/>
          <w:kern w:val="0"/>
          <w:lang w:eastAsia="en-US" w:bidi="ar-SA"/>
        </w:rPr>
        <w:t xml:space="preserve"> a 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dopĺň</w:t>
      </w:r>
      <w:r w:rsidRPr="00A2228B" w:rsidR="00A2228B">
        <w:rPr>
          <w:rFonts w:cs="Times New Roman" w:hint="default"/>
          <w:color w:val="000000"/>
          <w:kern w:val="0"/>
          <w:lang w:eastAsia="en-US" w:bidi="ar-SA"/>
        </w:rPr>
        <w:t>a takto:</w:t>
      </w:r>
    </w:p>
    <w:p w:rsidR="00A2228B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A2228B" w:rsidRPr="00A2228B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 w:rsidRPr="00A2228B">
        <w:rPr>
          <w:rFonts w:cs="Times New Roman" w:hint="default"/>
          <w:color w:val="000000"/>
          <w:kern w:val="0"/>
          <w:lang w:eastAsia="en-US" w:bidi="ar-SA"/>
        </w:rPr>
        <w:t>1. V §</w:t>
      </w:r>
      <w:r w:rsidRPr="00A2228B">
        <w:rPr>
          <w:rFonts w:cs="Times New Roman" w:hint="default"/>
          <w:color w:val="000000"/>
          <w:kern w:val="0"/>
          <w:lang w:eastAsia="en-US" w:bidi="ar-SA"/>
        </w:rPr>
        <w:t xml:space="preserve"> 2 sa odsek 1 dopĺň</w:t>
      </w:r>
      <w:r w:rsidRPr="00A2228B">
        <w:rPr>
          <w:rFonts w:cs="Times New Roman" w:hint="default"/>
          <w:color w:val="000000"/>
          <w:kern w:val="0"/>
          <w:lang w:eastAsia="en-US" w:bidi="ar-SA"/>
        </w:rPr>
        <w:t>a pí</w:t>
      </w:r>
      <w:r w:rsidRPr="00A2228B">
        <w:rPr>
          <w:rFonts w:cs="Times New Roman" w:hint="default"/>
          <w:color w:val="000000"/>
          <w:kern w:val="0"/>
          <w:lang w:eastAsia="en-US" w:bidi="ar-SA"/>
        </w:rPr>
        <w:t xml:space="preserve">smenom </w:t>
      </w:r>
      <w:r>
        <w:rPr>
          <w:rFonts w:cs="Times New Roman"/>
          <w:color w:val="000000"/>
          <w:kern w:val="0"/>
          <w:lang w:eastAsia="en-US" w:bidi="ar-SA"/>
        </w:rPr>
        <w:t>d</w:t>
      </w:r>
      <w:r w:rsidRPr="00A2228B">
        <w:rPr>
          <w:rFonts w:cs="Times New Roman"/>
          <w:color w:val="000000"/>
          <w:kern w:val="0"/>
          <w:lang w:eastAsia="en-US" w:bidi="ar-SA"/>
        </w:rPr>
        <w:t>)</w:t>
      </w:r>
      <w:r w:rsidRPr="00A2228B">
        <w:rPr>
          <w:rFonts w:cs="Times New Roman" w:hint="default"/>
          <w:color w:val="000000"/>
          <w:kern w:val="0"/>
          <w:lang w:eastAsia="en-US" w:bidi="ar-SA"/>
        </w:rPr>
        <w:t>, ktoré</w:t>
      </w:r>
      <w:r w:rsidRPr="00A2228B">
        <w:rPr>
          <w:rFonts w:cs="Times New Roman" w:hint="default"/>
          <w:color w:val="000000"/>
          <w:kern w:val="0"/>
          <w:lang w:eastAsia="en-US" w:bidi="ar-SA"/>
        </w:rPr>
        <w:t xml:space="preserve"> znie:</w:t>
      </w:r>
    </w:p>
    <w:p w:rsidR="00A2228B" w:rsidRPr="00A2228B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</w:p>
    <w:p w:rsidR="00A2228B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 w:rsidRPr="00A2228B">
        <w:rPr>
          <w:rFonts w:cs="Times New Roman" w:hint="default"/>
          <w:color w:val="000000"/>
          <w:kern w:val="0"/>
          <w:lang w:eastAsia="en-US" w:bidi="ar-SA"/>
        </w:rPr>
        <w:t>„</w:t>
      </w:r>
      <w:r>
        <w:rPr>
          <w:rFonts w:cs="Times New Roman"/>
          <w:color w:val="000000"/>
          <w:kern w:val="0"/>
          <w:lang w:eastAsia="en-US" w:bidi="ar-SA"/>
        </w:rPr>
        <w:t>d</w:t>
      </w:r>
      <w:r w:rsidRPr="00A2228B">
        <w:rPr>
          <w:rFonts w:cs="Times New Roman"/>
          <w:color w:val="000000"/>
          <w:kern w:val="0"/>
          <w:lang w:eastAsia="en-US" w:bidi="ar-SA"/>
        </w:rPr>
        <w:t xml:space="preserve">) rozvoja </w:t>
      </w:r>
      <w:r w:rsidR="00A54132">
        <w:rPr>
          <w:rFonts w:cs="Times New Roman" w:hint="default"/>
          <w:color w:val="000000"/>
          <w:kern w:val="0"/>
          <w:lang w:eastAsia="en-US" w:bidi="ar-SA"/>
        </w:rPr>
        <w:t>investigatí</w:t>
      </w:r>
      <w:r w:rsidR="00A54132">
        <w:rPr>
          <w:rFonts w:cs="Times New Roman" w:hint="default"/>
          <w:color w:val="000000"/>
          <w:kern w:val="0"/>
          <w:lang w:eastAsia="en-US" w:bidi="ar-SA"/>
        </w:rPr>
        <w:t>vnej ž</w:t>
      </w:r>
      <w:r w:rsidR="00A54132">
        <w:rPr>
          <w:rFonts w:cs="Times New Roman" w:hint="default"/>
          <w:color w:val="000000"/>
          <w:kern w:val="0"/>
          <w:lang w:eastAsia="en-US" w:bidi="ar-SA"/>
        </w:rPr>
        <w:t>urnalistiky</w:t>
      </w:r>
      <w:r w:rsidRPr="00A2228B">
        <w:rPr>
          <w:rFonts w:cs="Times New Roman" w:hint="default"/>
          <w:color w:val="000000"/>
          <w:kern w:val="0"/>
          <w:lang w:eastAsia="en-US" w:bidi="ar-SA"/>
        </w:rPr>
        <w:t>.“.</w:t>
      </w:r>
    </w:p>
    <w:p w:rsidR="008A1D2E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8A1D2E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2.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2 sa dopĺň</w:t>
      </w:r>
      <w:r>
        <w:rPr>
          <w:rFonts w:cs="Times New Roman" w:hint="default"/>
          <w:color w:val="000000"/>
          <w:kern w:val="0"/>
          <w:lang w:eastAsia="en-US" w:bidi="ar-SA"/>
        </w:rPr>
        <w:t>a odsekom 3, ktorý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znie:</w:t>
      </w:r>
    </w:p>
    <w:p w:rsidR="008A1D2E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</w:p>
    <w:p w:rsidR="008A1D2E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„</w:t>
      </w:r>
      <w:r>
        <w:rPr>
          <w:rFonts w:cs="Times New Roman" w:hint="default"/>
          <w:color w:val="000000"/>
          <w:kern w:val="0"/>
          <w:lang w:eastAsia="en-US" w:bidi="ar-SA"/>
        </w:rPr>
        <w:t>(3) Dotá</w:t>
      </w:r>
      <w:r>
        <w:rPr>
          <w:rFonts w:cs="Times New Roman" w:hint="default"/>
          <w:color w:val="000000"/>
          <w:kern w:val="0"/>
          <w:lang w:eastAsia="en-US" w:bidi="ar-SA"/>
        </w:rPr>
        <w:t>ciu podľ</w:t>
      </w:r>
      <w:r>
        <w:rPr>
          <w:rFonts w:cs="Times New Roman" w:hint="default"/>
          <w:color w:val="000000"/>
          <w:kern w:val="0"/>
          <w:lang w:eastAsia="en-US" w:bidi="ar-SA"/>
        </w:rPr>
        <w:t>a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2 ods. 1 pí</w:t>
      </w:r>
      <w:r>
        <w:rPr>
          <w:rFonts w:cs="Times New Roman" w:hint="default"/>
          <w:color w:val="000000"/>
          <w:kern w:val="0"/>
          <w:lang w:eastAsia="en-US" w:bidi="ar-SA"/>
        </w:rPr>
        <w:t>sm. d) je mož</w:t>
      </w:r>
      <w:r>
        <w:rPr>
          <w:rFonts w:cs="Times New Roman" w:hint="default"/>
          <w:color w:val="000000"/>
          <w:kern w:val="0"/>
          <w:lang w:eastAsia="en-US" w:bidi="ar-SA"/>
        </w:rPr>
        <w:t>né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poskytnúť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najmä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na</w:t>
      </w:r>
    </w:p>
    <w:p w:rsidR="008A1D2E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</w:p>
    <w:p w:rsid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) projekty zamerané na </w:t>
      </w:r>
      <w:r>
        <w:rPr>
          <w:rFonts w:eastAsia="Times New Roman" w:cs="Times New Roman"/>
          <w:color w:val="000000"/>
          <w:kern w:val="0"/>
          <w:lang w:eastAsia="en-US" w:bidi="ar-SA"/>
        </w:rPr>
        <w:t>verejnú kontrolu výkonu verejnej moci,</w:t>
      </w:r>
    </w:p>
    <w:p w:rsid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b</w:t>
      </w:r>
      <w:r w:rsidRPr="00D849EA">
        <w:rPr>
          <w:rFonts w:eastAsia="Times New Roman" w:cs="Times New Roman"/>
          <w:color w:val="000000"/>
          <w:kern w:val="0"/>
          <w:lang w:eastAsia="en-US" w:bidi="ar-SA"/>
        </w:rPr>
        <w:t>) analytickú, expertnú a edičnú činnosť v</w:t>
      </w: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  <w:r w:rsidRPr="00D849EA">
        <w:rPr>
          <w:rFonts w:eastAsia="Times New Roman" w:cs="Times New Roman"/>
          <w:color w:val="000000"/>
          <w:kern w:val="0"/>
          <w:lang w:eastAsia="en-US" w:bidi="ar-SA"/>
        </w:rPr>
        <w:t>oblasti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prevencie protispoločenskej činnosti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8A1D2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2)</w:t>
      </w:r>
    </w:p>
    <w:p w:rsid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</w:pP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c) zvyšovanie informovanosti verejnosti v oblasti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hospodárenia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s verejnými prostriedkami, naklad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ania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s majetkom štátu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 majetko</w:t>
      </w:r>
      <w:r>
        <w:rPr>
          <w:rFonts w:eastAsia="Times New Roman" w:cs="Times New Roman"/>
          <w:color w:val="000000"/>
          <w:kern w:val="0"/>
          <w:lang w:eastAsia="en-US" w:bidi="ar-SA"/>
        </w:rPr>
        <w:t>m vyššieho územného celku, majetkom obce alebo majetkom povinných osôb podľa osobitného predpisu.</w:t>
      </w:r>
      <w:r w:rsidRPr="008A1D2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3)</w:t>
      </w:r>
    </w:p>
    <w:p w:rsid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</w:pPr>
    </w:p>
    <w:p w:rsid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Poznámky pod čiarou k odkazom 2) a 3) znejú:</w:t>
      </w:r>
    </w:p>
    <w:p w:rsid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„2)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Zákon č. 307/2014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o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 xml:space="preserve"> niektorých opatreniach súvisiacich s oznamovaním protispoločenskej činnosti a o zmene a doplnení niektorých zákonov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:rsidR="008A1D2E" w:rsidRP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3)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Zákon č. 211/2000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o slobodnom prístupe k informáciám a o zmene a doplnení niektorých zákonov (zákon o slobode informácií)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:rsidR="0043515F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43515F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 w:rsidR="008A1D2E">
        <w:rPr>
          <w:rFonts w:cs="Times New Roman"/>
          <w:color w:val="000000"/>
          <w:kern w:val="0"/>
          <w:lang w:eastAsia="en-US" w:bidi="ar-SA"/>
        </w:rPr>
        <w:t>3</w:t>
      </w:r>
      <w:r>
        <w:rPr>
          <w:rFonts w:cs="Times New Roman" w:hint="default"/>
          <w:color w:val="000000"/>
          <w:kern w:val="0"/>
          <w:lang w:eastAsia="en-US" w:bidi="ar-SA"/>
        </w:rPr>
        <w:t>. V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3 ods. 1 sa slová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„</w:t>
      </w:r>
      <w:r>
        <w:rPr>
          <w:rFonts w:cs="Times New Roman" w:hint="default"/>
          <w:color w:val="000000"/>
          <w:kern w:val="0"/>
          <w:lang w:eastAsia="en-US" w:bidi="ar-SA"/>
        </w:rPr>
        <w:t>podľ</w:t>
      </w:r>
      <w:r>
        <w:rPr>
          <w:rFonts w:cs="Times New Roman" w:hint="default"/>
          <w:color w:val="000000"/>
          <w:kern w:val="0"/>
          <w:lang w:eastAsia="en-US" w:bidi="ar-SA"/>
        </w:rPr>
        <w:t>a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2“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nahrá</w:t>
      </w:r>
      <w:r>
        <w:rPr>
          <w:rFonts w:cs="Times New Roman" w:hint="default"/>
          <w:color w:val="000000"/>
          <w:kern w:val="0"/>
          <w:lang w:eastAsia="en-US" w:bidi="ar-SA"/>
        </w:rPr>
        <w:t>dzajú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slovami „</w:t>
      </w:r>
      <w:r>
        <w:rPr>
          <w:rFonts w:cs="Times New Roman" w:hint="default"/>
          <w:color w:val="000000"/>
          <w:kern w:val="0"/>
          <w:lang w:eastAsia="en-US" w:bidi="ar-SA"/>
        </w:rPr>
        <w:t>podľ</w:t>
      </w:r>
      <w:r>
        <w:rPr>
          <w:rFonts w:cs="Times New Roman" w:hint="default"/>
          <w:color w:val="000000"/>
          <w:kern w:val="0"/>
          <w:lang w:eastAsia="en-US" w:bidi="ar-SA"/>
        </w:rPr>
        <w:t>a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2 ods. 1 pí</w:t>
      </w:r>
      <w:r>
        <w:rPr>
          <w:rFonts w:cs="Times New Roman" w:hint="default"/>
          <w:color w:val="000000"/>
          <w:kern w:val="0"/>
          <w:lang w:eastAsia="en-US" w:bidi="ar-SA"/>
        </w:rPr>
        <w:t>sm. a) až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c)“.</w:t>
      </w:r>
    </w:p>
    <w:p w:rsidR="0043515F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</w:p>
    <w:p w:rsidR="0043515F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 w:rsidR="008A1D2E">
        <w:rPr>
          <w:rFonts w:cs="Times New Roman"/>
          <w:color w:val="000000"/>
          <w:kern w:val="0"/>
          <w:lang w:eastAsia="en-US" w:bidi="ar-SA"/>
        </w:rPr>
        <w:t>4</w:t>
      </w:r>
      <w:r>
        <w:rPr>
          <w:rFonts w:cs="Times New Roman" w:hint="default"/>
          <w:color w:val="000000"/>
          <w:kern w:val="0"/>
          <w:lang w:eastAsia="en-US" w:bidi="ar-SA"/>
        </w:rPr>
        <w:t>. V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3 sa vkladá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nový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odsek 2, ktorý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 w:rsidR="00A1767F">
        <w:rPr>
          <w:rFonts w:cs="Times New Roman"/>
          <w:color w:val="000000"/>
          <w:kern w:val="0"/>
          <w:lang w:eastAsia="en-US" w:bidi="ar-SA"/>
        </w:rPr>
        <w:t>znie:</w:t>
      </w:r>
    </w:p>
    <w:p w:rsidR="00A1767F" w:rsidP="00A2228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1430A7" w:rsidP="00A1767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 w:rsidR="00A1767F">
        <w:rPr>
          <w:rFonts w:cs="Times New Roman" w:hint="default"/>
          <w:color w:val="000000"/>
          <w:kern w:val="0"/>
          <w:lang w:eastAsia="en-US" w:bidi="ar-SA"/>
        </w:rPr>
        <w:t>„</w:t>
      </w:r>
      <w:r w:rsidR="00A1767F">
        <w:rPr>
          <w:rFonts w:cs="Times New Roman" w:hint="default"/>
          <w:color w:val="000000"/>
          <w:kern w:val="0"/>
          <w:lang w:eastAsia="en-US" w:bidi="ar-SA"/>
        </w:rPr>
        <w:t>(2) Dotá</w:t>
      </w:r>
      <w:r w:rsidR="00A1767F">
        <w:rPr>
          <w:rFonts w:cs="Times New Roman" w:hint="default"/>
          <w:color w:val="000000"/>
          <w:kern w:val="0"/>
          <w:lang w:eastAsia="en-US" w:bidi="ar-SA"/>
        </w:rPr>
        <w:t>ciu podľ</w:t>
      </w:r>
      <w:r w:rsidR="00A1767F">
        <w:rPr>
          <w:rFonts w:cs="Times New Roman" w:hint="default"/>
          <w:color w:val="000000"/>
          <w:kern w:val="0"/>
          <w:lang w:eastAsia="en-US" w:bidi="ar-SA"/>
        </w:rPr>
        <w:t>a §</w:t>
      </w:r>
      <w:r w:rsidR="00A1767F">
        <w:rPr>
          <w:rFonts w:cs="Times New Roman" w:hint="default"/>
          <w:color w:val="000000"/>
          <w:kern w:val="0"/>
          <w:lang w:eastAsia="en-US" w:bidi="ar-SA"/>
        </w:rPr>
        <w:t xml:space="preserve"> 2 ods. 1 pí</w:t>
      </w:r>
      <w:r w:rsidR="00A1767F">
        <w:rPr>
          <w:rFonts w:cs="Times New Roman" w:hint="default"/>
          <w:color w:val="000000"/>
          <w:kern w:val="0"/>
          <w:lang w:eastAsia="en-US" w:bidi="ar-SA"/>
        </w:rPr>
        <w:t>sm. d) mož</w:t>
      </w:r>
      <w:r w:rsidR="00A1767F">
        <w:rPr>
          <w:rFonts w:cs="Times New Roman" w:hint="default"/>
          <w:color w:val="000000"/>
          <w:kern w:val="0"/>
          <w:lang w:eastAsia="en-US" w:bidi="ar-SA"/>
        </w:rPr>
        <w:t>no poskytnúť</w:t>
      </w:r>
      <w:r w:rsidR="00A1767F">
        <w:rPr>
          <w:rFonts w:cs="Times New Roman" w:hint="default"/>
          <w:color w:val="000000"/>
          <w:kern w:val="0"/>
          <w:lang w:eastAsia="en-US" w:bidi="ar-SA"/>
        </w:rPr>
        <w:t xml:space="preserve"> ž</w:t>
      </w:r>
      <w:r w:rsidR="00A1767F">
        <w:rPr>
          <w:rFonts w:cs="Times New Roman" w:hint="default"/>
          <w:color w:val="000000"/>
          <w:kern w:val="0"/>
          <w:lang w:eastAsia="en-US" w:bidi="ar-SA"/>
        </w:rPr>
        <w:t>iadateľ</w:t>
      </w:r>
      <w:r w:rsidR="00A1767F">
        <w:rPr>
          <w:rFonts w:cs="Times New Roman" w:hint="default"/>
          <w:color w:val="000000"/>
          <w:kern w:val="0"/>
          <w:lang w:eastAsia="en-US" w:bidi="ar-SA"/>
        </w:rPr>
        <w:t>ovi, ktorý</w:t>
      </w:r>
      <w:r w:rsidR="00A1767F">
        <w:rPr>
          <w:rFonts w:cs="Times New Roman" w:hint="default"/>
          <w:color w:val="000000"/>
          <w:kern w:val="0"/>
          <w:lang w:eastAsia="en-US" w:bidi="ar-SA"/>
        </w:rPr>
        <w:t>m je nadá</w:t>
      </w:r>
      <w:r w:rsidR="00A1767F">
        <w:rPr>
          <w:rFonts w:cs="Times New Roman" w:hint="default"/>
          <w:color w:val="000000"/>
          <w:kern w:val="0"/>
          <w:lang w:eastAsia="en-US" w:bidi="ar-SA"/>
        </w:rPr>
        <w:t xml:space="preserve">cia alebo </w:t>
      </w:r>
      <w:r w:rsidRPr="00A1767F" w:rsidR="00A1767F">
        <w:rPr>
          <w:rFonts w:cs="Times New Roman" w:hint="default"/>
          <w:color w:val="000000"/>
          <w:kern w:val="0"/>
          <w:lang w:eastAsia="en-US" w:bidi="ar-SA"/>
        </w:rPr>
        <w:t>nezisková</w:t>
      </w:r>
      <w:r w:rsidRPr="00A1767F" w:rsidR="00A1767F">
        <w:rPr>
          <w:rFonts w:cs="Times New Roman" w:hint="default"/>
          <w:color w:val="000000"/>
          <w:kern w:val="0"/>
          <w:lang w:eastAsia="en-US" w:bidi="ar-SA"/>
        </w:rPr>
        <w:t xml:space="preserve"> organizá</w:t>
      </w:r>
      <w:r w:rsidRPr="00A1767F" w:rsidR="00A1767F">
        <w:rPr>
          <w:rFonts w:cs="Times New Roman" w:hint="default"/>
          <w:color w:val="000000"/>
          <w:kern w:val="0"/>
          <w:lang w:eastAsia="en-US" w:bidi="ar-SA"/>
        </w:rPr>
        <w:t>cia poskytu</w:t>
      </w:r>
      <w:r w:rsidR="00A1767F">
        <w:rPr>
          <w:rFonts w:cs="Times New Roman" w:hint="default"/>
          <w:color w:val="000000"/>
          <w:kern w:val="0"/>
          <w:lang w:eastAsia="en-US" w:bidi="ar-SA"/>
        </w:rPr>
        <w:t>jú</w:t>
      </w:r>
      <w:r w:rsidR="00A1767F">
        <w:rPr>
          <w:rFonts w:cs="Times New Roman" w:hint="default"/>
          <w:color w:val="000000"/>
          <w:kern w:val="0"/>
          <w:lang w:eastAsia="en-US" w:bidi="ar-SA"/>
        </w:rPr>
        <w:t>ca vš</w:t>
      </w:r>
      <w:r w:rsidR="00A1767F">
        <w:rPr>
          <w:rFonts w:cs="Times New Roman" w:hint="default"/>
          <w:color w:val="000000"/>
          <w:kern w:val="0"/>
          <w:lang w:eastAsia="en-US" w:bidi="ar-SA"/>
        </w:rPr>
        <w:t>eobecne prospeš</w:t>
      </w:r>
      <w:r w:rsidR="00A1767F">
        <w:rPr>
          <w:rFonts w:cs="Times New Roman" w:hint="default"/>
          <w:color w:val="000000"/>
          <w:kern w:val="0"/>
          <w:lang w:eastAsia="en-US" w:bidi="ar-SA"/>
        </w:rPr>
        <w:t>né</w:t>
      </w:r>
      <w:r w:rsidR="00A1767F">
        <w:rPr>
          <w:rFonts w:cs="Times New Roman" w:hint="default"/>
          <w:color w:val="000000"/>
          <w:kern w:val="0"/>
          <w:lang w:eastAsia="en-US" w:bidi="ar-SA"/>
        </w:rPr>
        <w:t xml:space="preserve"> služ</w:t>
      </w:r>
      <w:r w:rsidR="00A1767F">
        <w:rPr>
          <w:rFonts w:cs="Times New Roman" w:hint="default"/>
          <w:color w:val="000000"/>
          <w:kern w:val="0"/>
          <w:lang w:eastAsia="en-US" w:bidi="ar-SA"/>
        </w:rPr>
        <w:t>by, ak je jej zakladateľ</w:t>
      </w:r>
      <w:r w:rsidR="00A1767F">
        <w:rPr>
          <w:rFonts w:cs="Times New Roman" w:hint="default"/>
          <w:color w:val="000000"/>
          <w:kern w:val="0"/>
          <w:lang w:eastAsia="en-US" w:bidi="ar-SA"/>
        </w:rPr>
        <w:t xml:space="preserve">om </w:t>
      </w:r>
      <w:r>
        <w:rPr>
          <w:rFonts w:cs="Times New Roman"/>
          <w:color w:val="000000"/>
          <w:kern w:val="0"/>
          <w:lang w:eastAsia="en-US" w:bidi="ar-SA"/>
        </w:rPr>
        <w:t>v</w:t>
      </w:r>
      <w:r w:rsidRPr="001430A7">
        <w:rPr>
          <w:rFonts w:cs="Times New Roman" w:hint="default"/>
          <w:color w:val="000000"/>
          <w:kern w:val="0"/>
          <w:lang w:eastAsia="en-US" w:bidi="ar-SA"/>
        </w:rPr>
        <w:t>ydavateľ</w:t>
      </w:r>
      <w:r w:rsidRPr="001430A7">
        <w:rPr>
          <w:rFonts w:cs="Times New Roman" w:hint="default"/>
          <w:color w:val="000000"/>
          <w:kern w:val="0"/>
          <w:lang w:eastAsia="en-US" w:bidi="ar-SA"/>
        </w:rPr>
        <w:t xml:space="preserve"> periodickej tlač</w:t>
      </w:r>
      <w:r w:rsidRPr="001430A7">
        <w:rPr>
          <w:rFonts w:cs="Times New Roman" w:hint="default"/>
          <w:color w:val="000000"/>
          <w:kern w:val="0"/>
          <w:lang w:eastAsia="en-US" w:bidi="ar-SA"/>
        </w:rPr>
        <w:t>e</w:t>
      </w:r>
      <w:r w:rsidRPr="008A1D2E" w:rsidR="008A1D2E">
        <w:rPr>
          <w:rFonts w:cs="Times New Roman"/>
          <w:color w:val="000000"/>
          <w:kern w:val="0"/>
          <w:vertAlign w:val="superscript"/>
          <w:lang w:eastAsia="en-US" w:bidi="ar-SA"/>
        </w:rPr>
        <w:t>5b)</w:t>
      </w:r>
      <w:r w:rsidR="003C2AB2">
        <w:rPr>
          <w:rFonts w:cs="Times New Roman" w:hint="default"/>
          <w:color w:val="000000"/>
          <w:kern w:val="0"/>
          <w:lang w:eastAsia="en-US" w:bidi="ar-SA"/>
        </w:rPr>
        <w:t xml:space="preserve"> alebo vysielateľ</w:t>
      </w:r>
      <w:r w:rsidRPr="008A1D2E" w:rsidR="008A1D2E">
        <w:rPr>
          <w:rFonts w:cs="Times New Roman"/>
          <w:color w:val="000000"/>
          <w:kern w:val="0"/>
          <w:vertAlign w:val="superscript"/>
          <w:lang w:eastAsia="en-US" w:bidi="ar-SA"/>
        </w:rPr>
        <w:t>5c)</w:t>
      </w:r>
      <w:r w:rsidR="003C2AB2">
        <w:rPr>
          <w:rFonts w:cs="Times New Roman"/>
          <w:color w:val="000000"/>
          <w:kern w:val="0"/>
          <w:lang w:eastAsia="en-US" w:bidi="ar-SA"/>
        </w:rPr>
        <w:t>.</w:t>
      </w:r>
      <w:r w:rsidR="008A1D2E">
        <w:rPr>
          <w:rFonts w:cs="Times New Roman" w:hint="default"/>
          <w:color w:val="000000"/>
          <w:kern w:val="0"/>
          <w:lang w:eastAsia="en-US" w:bidi="ar-SA"/>
        </w:rPr>
        <w:t>“.</w:t>
      </w:r>
    </w:p>
    <w:p w:rsidR="003C2AB2" w:rsidP="00A1767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8A1D2E" w:rsidP="00A1767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Pozná</w:t>
      </w:r>
      <w:r>
        <w:rPr>
          <w:rFonts w:cs="Times New Roman" w:hint="default"/>
          <w:color w:val="000000"/>
          <w:kern w:val="0"/>
          <w:lang w:eastAsia="en-US" w:bidi="ar-SA"/>
        </w:rPr>
        <w:t>mky pod č</w:t>
      </w:r>
      <w:r>
        <w:rPr>
          <w:rFonts w:cs="Times New Roman" w:hint="default"/>
          <w:color w:val="000000"/>
          <w:kern w:val="0"/>
          <w:lang w:eastAsia="en-US" w:bidi="ar-SA"/>
        </w:rPr>
        <w:t>iarou k odkazom 5b) a </w:t>
      </w:r>
      <w:r>
        <w:rPr>
          <w:rFonts w:cs="Times New Roman" w:hint="default"/>
          <w:color w:val="000000"/>
          <w:kern w:val="0"/>
          <w:lang w:eastAsia="en-US" w:bidi="ar-SA"/>
        </w:rPr>
        <w:t>5c) znejú</w:t>
      </w:r>
      <w:r>
        <w:rPr>
          <w:rFonts w:cs="Times New Roman" w:hint="default"/>
          <w:color w:val="000000"/>
          <w:kern w:val="0"/>
          <w:lang w:eastAsia="en-US" w:bidi="ar-SA"/>
        </w:rPr>
        <w:t>:</w:t>
      </w:r>
    </w:p>
    <w:p w:rsidR="008A1D2E" w:rsidP="00A1767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</w:p>
    <w:p w:rsid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„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5b) 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Zá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. 167/2008 Z. z.</w:t>
      </w:r>
      <w:r>
        <w:rPr>
          <w:rFonts w:cs="Times New Roman"/>
          <w:color w:val="000000"/>
          <w:kern w:val="0"/>
          <w:lang w:eastAsia="en-US" w:bidi="ar-SA"/>
        </w:rPr>
        <w:t xml:space="preserve"> o perio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dickej tlač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i a agentú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rnom spravodajstve a o zmene a doplnení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 xml:space="preserve"> nie</w:t>
      </w:r>
      <w:r>
        <w:rPr>
          <w:rFonts w:cs="Times New Roman" w:hint="default"/>
          <w:color w:val="000000"/>
          <w:kern w:val="0"/>
          <w:lang w:eastAsia="en-US" w:bidi="ar-SA"/>
        </w:rPr>
        <w:t>ktorý</w:t>
      </w:r>
      <w:r>
        <w:rPr>
          <w:rFonts w:cs="Times New Roman" w:hint="default"/>
          <w:color w:val="000000"/>
          <w:kern w:val="0"/>
          <w:lang w:eastAsia="en-US" w:bidi="ar-SA"/>
        </w:rPr>
        <w:t>ch zá</w:t>
      </w:r>
      <w:r>
        <w:rPr>
          <w:rFonts w:cs="Times New Roman" w:hint="default"/>
          <w:color w:val="000000"/>
          <w:kern w:val="0"/>
          <w:lang w:eastAsia="en-US" w:bidi="ar-SA"/>
        </w:rPr>
        <w:t>konov (tlač</w:t>
      </w:r>
      <w:r>
        <w:rPr>
          <w:rFonts w:cs="Times New Roman" w:hint="default"/>
          <w:color w:val="000000"/>
          <w:kern w:val="0"/>
          <w:lang w:eastAsia="en-US" w:bidi="ar-SA"/>
        </w:rPr>
        <w:t>ový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>
        <w:rPr>
          <w:rFonts w:cs="Times New Roman" w:hint="default"/>
          <w:color w:val="000000"/>
          <w:kern w:val="0"/>
          <w:lang w:eastAsia="en-US" w:bidi="ar-SA"/>
        </w:rPr>
        <w:t>kon) v </w:t>
      </w:r>
      <w:r>
        <w:rPr>
          <w:rFonts w:cs="Times New Roman" w:hint="default"/>
          <w:color w:val="000000"/>
          <w:kern w:val="0"/>
          <w:lang w:eastAsia="en-US" w:bidi="ar-SA"/>
        </w:rPr>
        <w:t>znení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neskorší</w:t>
      </w:r>
      <w:r>
        <w:rPr>
          <w:rFonts w:cs="Times New Roman" w:hint="default"/>
          <w:color w:val="000000"/>
          <w:kern w:val="0"/>
          <w:lang w:eastAsia="en-US" w:bidi="ar-SA"/>
        </w:rPr>
        <w:t>ch predpisov.</w:t>
      </w:r>
    </w:p>
    <w:p w:rsidR="008A1D2E" w:rsidP="008A1D2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 xml:space="preserve">5c) 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Zá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. 308/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2000 Z. z.</w:t>
      </w:r>
      <w:r>
        <w:rPr>
          <w:rFonts w:cs="Times New Roman"/>
          <w:color w:val="000000"/>
          <w:kern w:val="0"/>
          <w:lang w:eastAsia="en-US" w:bidi="ar-SA"/>
        </w:rPr>
        <w:t xml:space="preserve"> 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o vysielaní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 xml:space="preserve"> a retransmisii a o zmene zá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. 195/2000 Z. z. o</w:t>
      </w:r>
      <w:r>
        <w:rPr>
          <w:rFonts w:cs="Times New Roman"/>
          <w:color w:val="000000"/>
          <w:kern w:val="0"/>
          <w:lang w:eastAsia="en-US" w:bidi="ar-SA"/>
        </w:rPr>
        <w:t> 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telekomuniká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ciá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ch</w:t>
      </w:r>
      <w:r>
        <w:rPr>
          <w:rFonts w:cs="Times New Roman"/>
          <w:color w:val="000000"/>
          <w:kern w:val="0"/>
          <w:lang w:eastAsia="en-US" w:bidi="ar-SA"/>
        </w:rPr>
        <w:t xml:space="preserve"> v </w:t>
      </w:r>
      <w:r>
        <w:rPr>
          <w:rFonts w:cs="Times New Roman" w:hint="default"/>
          <w:color w:val="000000"/>
          <w:kern w:val="0"/>
          <w:lang w:eastAsia="en-US" w:bidi="ar-SA"/>
        </w:rPr>
        <w:t>znení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neskorší</w:t>
      </w:r>
      <w:r>
        <w:rPr>
          <w:rFonts w:cs="Times New Roman" w:hint="default"/>
          <w:color w:val="000000"/>
          <w:kern w:val="0"/>
          <w:lang w:eastAsia="en-US" w:bidi="ar-SA"/>
        </w:rPr>
        <w:t>ch predpisov.</w:t>
      </w:r>
    </w:p>
    <w:p w:rsidR="008A1D2E" w:rsidP="00A1767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3C2AB2" w:rsidP="00A1767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Doterajš</w:t>
      </w:r>
      <w:r>
        <w:rPr>
          <w:rFonts w:cs="Times New Roman" w:hint="default"/>
          <w:color w:val="000000"/>
          <w:kern w:val="0"/>
          <w:lang w:eastAsia="en-US" w:bidi="ar-SA"/>
        </w:rPr>
        <w:t>ie odseky 2 a </w:t>
      </w:r>
      <w:r>
        <w:rPr>
          <w:rFonts w:cs="Times New Roman" w:hint="default"/>
          <w:color w:val="000000"/>
          <w:kern w:val="0"/>
          <w:lang w:eastAsia="en-US" w:bidi="ar-SA"/>
        </w:rPr>
        <w:t>3 sa označ</w:t>
      </w:r>
      <w:r>
        <w:rPr>
          <w:rFonts w:cs="Times New Roman" w:hint="default"/>
          <w:color w:val="000000"/>
          <w:kern w:val="0"/>
          <w:lang w:eastAsia="en-US" w:bidi="ar-SA"/>
        </w:rPr>
        <w:t>ujú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ako odseky 3 a 4.</w:t>
      </w:r>
    </w:p>
    <w:p w:rsidR="003C2AB2" w:rsidP="00A1767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</w:p>
    <w:p w:rsidR="003C2AB2" w:rsidP="00A1767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 w:rsidR="008A1D2E">
        <w:rPr>
          <w:rFonts w:cs="Times New Roman"/>
          <w:color w:val="000000"/>
          <w:kern w:val="0"/>
          <w:lang w:eastAsia="en-US" w:bidi="ar-SA"/>
        </w:rPr>
        <w:t>5</w:t>
      </w:r>
      <w:r>
        <w:rPr>
          <w:rFonts w:cs="Times New Roman" w:hint="default"/>
          <w:color w:val="000000"/>
          <w:kern w:val="0"/>
          <w:lang w:eastAsia="en-US" w:bidi="ar-SA"/>
        </w:rPr>
        <w:t>.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10 sa dopĺň</w:t>
      </w:r>
      <w:r>
        <w:rPr>
          <w:rFonts w:cs="Times New Roman" w:hint="default"/>
          <w:color w:val="000000"/>
          <w:kern w:val="0"/>
          <w:lang w:eastAsia="en-US" w:bidi="ar-SA"/>
        </w:rPr>
        <w:t>a odsekom 4, ktorý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znie:</w:t>
      </w:r>
    </w:p>
    <w:p w:rsidR="003C2AB2" w:rsidP="00A1767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</w:p>
    <w:p w:rsidR="00A2228B" w:rsidP="00A25E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 w:rsidR="003C2AB2">
        <w:rPr>
          <w:rFonts w:cs="Times New Roman" w:hint="default"/>
          <w:color w:val="000000"/>
          <w:kern w:val="0"/>
          <w:lang w:eastAsia="en-US" w:bidi="ar-SA"/>
        </w:rPr>
        <w:t>„</w:t>
      </w:r>
      <w:r w:rsidR="003C2AB2">
        <w:rPr>
          <w:rFonts w:cs="Times New Roman" w:hint="default"/>
          <w:color w:val="000000"/>
          <w:kern w:val="0"/>
          <w:lang w:eastAsia="en-US" w:bidi="ar-SA"/>
        </w:rPr>
        <w:t>(4) D</w:t>
      </w:r>
      <w:r w:rsidRPr="003C2AB2" w:rsidR="003C2AB2">
        <w:rPr>
          <w:rFonts w:cs="Times New Roman" w:hint="default"/>
          <w:color w:val="000000"/>
          <w:kern w:val="0"/>
          <w:lang w:eastAsia="en-US" w:bidi="ar-SA"/>
        </w:rPr>
        <w:t>isponibilný</w:t>
      </w:r>
      <w:r w:rsidRPr="003C2AB2" w:rsidR="003C2AB2">
        <w:rPr>
          <w:rFonts w:cs="Times New Roman" w:hint="default"/>
          <w:color w:val="000000"/>
          <w:kern w:val="0"/>
          <w:lang w:eastAsia="en-US" w:bidi="ar-SA"/>
        </w:rPr>
        <w:t xml:space="preserve"> objem zdrojov na </w:t>
      </w:r>
      <w:r w:rsidR="003C2AB2">
        <w:rPr>
          <w:rFonts w:cs="Times New Roman" w:hint="default"/>
          <w:color w:val="000000"/>
          <w:kern w:val="0"/>
          <w:lang w:eastAsia="en-US" w:bidi="ar-SA"/>
        </w:rPr>
        <w:t>podporu rozvoja investigatí</w:t>
      </w:r>
      <w:r w:rsidR="003C2AB2">
        <w:rPr>
          <w:rFonts w:cs="Times New Roman" w:hint="default"/>
          <w:color w:val="000000"/>
          <w:kern w:val="0"/>
          <w:lang w:eastAsia="en-US" w:bidi="ar-SA"/>
        </w:rPr>
        <w:t>vnej ž</w:t>
      </w:r>
      <w:r w:rsidR="003C2AB2">
        <w:rPr>
          <w:rFonts w:cs="Times New Roman" w:hint="default"/>
          <w:color w:val="000000"/>
          <w:kern w:val="0"/>
          <w:lang w:eastAsia="en-US" w:bidi="ar-SA"/>
        </w:rPr>
        <w:t>urnalistiky podľ</w:t>
      </w:r>
      <w:r w:rsidR="003C2AB2">
        <w:rPr>
          <w:rFonts w:cs="Times New Roman" w:hint="default"/>
          <w:color w:val="000000"/>
          <w:kern w:val="0"/>
          <w:lang w:eastAsia="en-US" w:bidi="ar-SA"/>
        </w:rPr>
        <w:t>a §</w:t>
      </w:r>
      <w:r w:rsidR="003C2AB2">
        <w:rPr>
          <w:rFonts w:cs="Times New Roman" w:hint="default"/>
          <w:color w:val="000000"/>
          <w:kern w:val="0"/>
          <w:lang w:eastAsia="en-US" w:bidi="ar-SA"/>
        </w:rPr>
        <w:t xml:space="preserve"> 2 ods. 1 pí</w:t>
      </w:r>
      <w:r w:rsidR="003C2AB2">
        <w:rPr>
          <w:rFonts w:cs="Times New Roman" w:hint="default"/>
          <w:color w:val="000000"/>
          <w:kern w:val="0"/>
          <w:lang w:eastAsia="en-US" w:bidi="ar-SA"/>
        </w:rPr>
        <w:t>sm. d) je pre prí</w:t>
      </w:r>
      <w:r w:rsidR="003C2AB2">
        <w:rPr>
          <w:rFonts w:cs="Times New Roman" w:hint="default"/>
          <w:color w:val="000000"/>
          <w:kern w:val="0"/>
          <w:lang w:eastAsia="en-US" w:bidi="ar-SA"/>
        </w:rPr>
        <w:t>sluš</w:t>
      </w:r>
      <w:r w:rsidR="003C2AB2">
        <w:rPr>
          <w:rFonts w:cs="Times New Roman" w:hint="default"/>
          <w:color w:val="000000"/>
          <w:kern w:val="0"/>
          <w:lang w:eastAsia="en-US" w:bidi="ar-SA"/>
        </w:rPr>
        <w:t>ný</w:t>
      </w:r>
      <w:r w:rsidR="003C2AB2">
        <w:rPr>
          <w:rFonts w:cs="Times New Roman" w:hint="default"/>
          <w:color w:val="000000"/>
          <w:kern w:val="0"/>
          <w:lang w:eastAsia="en-US" w:bidi="ar-SA"/>
        </w:rPr>
        <w:t xml:space="preserve"> rozpoč</w:t>
      </w:r>
      <w:r w:rsidR="003C2AB2">
        <w:rPr>
          <w:rFonts w:cs="Times New Roman" w:hint="default"/>
          <w:color w:val="000000"/>
          <w:kern w:val="0"/>
          <w:lang w:eastAsia="en-US" w:bidi="ar-SA"/>
        </w:rPr>
        <w:t>tový</w:t>
      </w:r>
      <w:r w:rsidR="003C2AB2">
        <w:rPr>
          <w:rFonts w:cs="Times New Roman" w:hint="default"/>
          <w:color w:val="000000"/>
          <w:kern w:val="0"/>
          <w:lang w:eastAsia="en-US" w:bidi="ar-SA"/>
        </w:rPr>
        <w:t xml:space="preserve"> rok najmenej 1 000 </w:t>
      </w:r>
      <w:r w:rsidR="003C2AB2">
        <w:rPr>
          <w:rFonts w:cs="Times New Roman" w:hint="default"/>
          <w:color w:val="000000"/>
          <w:kern w:val="0"/>
          <w:lang w:eastAsia="en-US" w:bidi="ar-SA"/>
        </w:rPr>
        <w:t>000 eur.“.</w:t>
      </w:r>
    </w:p>
    <w:p w:rsidR="00160AF8" w:rsidP="00A25E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8669C0">
        <w:rPr>
          <w:rFonts w:cs="Times New Roman" w:hint="default"/>
          <w:b/>
          <w:kern w:val="0"/>
          <w:lang w:eastAsia="en-US" w:bidi="ar-SA"/>
        </w:rPr>
        <w:t>Č</w:t>
      </w:r>
      <w:r w:rsidR="008669C0">
        <w:rPr>
          <w:rFonts w:cs="Times New Roman" w:hint="default"/>
          <w:b/>
          <w:kern w:val="0"/>
          <w:lang w:eastAsia="en-US" w:bidi="ar-SA"/>
        </w:rPr>
        <w:t>l. 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2228B" w:rsidP="00327C0D">
      <w:pPr>
        <w:widowControl/>
        <w:suppressAutoHyphens w:val="0"/>
        <w:bidi w:val="0"/>
        <w:spacing w:line="276" w:lineRule="auto"/>
        <w:jc w:val="both"/>
        <w:rPr>
          <w:rFonts w:cs="Times New Roman"/>
          <w:kern w:val="0"/>
          <w:lang w:eastAsia="en-US" w:bidi="ar-SA"/>
        </w:rPr>
      </w:pPr>
      <w:r w:rsidRPr="002F27EB" w:rsidR="002F27EB">
        <w:rPr>
          <w:rFonts w:cs="Times New Roman"/>
          <w:kern w:val="0"/>
          <w:lang w:eastAsia="en-US" w:bidi="ar-SA"/>
        </w:rPr>
        <w:tab/>
      </w:r>
      <w:r w:rsidRPr="002F27EB" w:rsidR="002F27EB">
        <w:rPr>
          <w:rFonts w:cs="Times New Roman" w:hint="default"/>
          <w:kern w:val="0"/>
          <w:lang w:eastAsia="en-US" w:bidi="ar-SA"/>
        </w:rPr>
        <w:t>Tento zá</w:t>
      </w:r>
      <w:r w:rsidRPr="002F27EB" w:rsidR="002F27EB">
        <w:rPr>
          <w:rFonts w:cs="Times New Roman" w:hint="default"/>
          <w:kern w:val="0"/>
          <w:lang w:eastAsia="en-US" w:bidi="ar-SA"/>
        </w:rPr>
        <w:t>kon nadobú</w:t>
      </w:r>
      <w:r w:rsidRPr="002F27EB" w:rsidR="002F27EB">
        <w:rPr>
          <w:rFonts w:cs="Times New Roman" w:hint="default"/>
          <w:kern w:val="0"/>
          <w:lang w:eastAsia="en-US" w:bidi="ar-SA"/>
        </w:rPr>
        <w:t>da úč</w:t>
      </w:r>
      <w:r w:rsidRPr="002F27EB" w:rsidR="002F27EB">
        <w:rPr>
          <w:rFonts w:cs="Times New Roman" w:hint="default"/>
          <w:kern w:val="0"/>
          <w:lang w:eastAsia="en-US" w:bidi="ar-SA"/>
        </w:rPr>
        <w:t>innosť</w:t>
      </w:r>
      <w:r w:rsidRPr="002F27EB" w:rsidR="002F27EB">
        <w:rPr>
          <w:rFonts w:cs="Times New Roman" w:hint="default"/>
          <w:kern w:val="0"/>
          <w:lang w:eastAsia="en-US" w:bidi="ar-SA"/>
        </w:rPr>
        <w:t xml:space="preserve"> </w:t>
      </w:r>
      <w:r w:rsidR="00132FA9">
        <w:rPr>
          <w:rFonts w:cs="Times New Roman" w:hint="default"/>
          <w:kern w:val="0"/>
          <w:lang w:eastAsia="en-US" w:bidi="ar-SA"/>
        </w:rPr>
        <w:t>dň</w:t>
      </w:r>
      <w:r w:rsidR="00132FA9">
        <w:rPr>
          <w:rFonts w:cs="Times New Roman" w:hint="default"/>
          <w:kern w:val="0"/>
          <w:lang w:eastAsia="en-US" w:bidi="ar-SA"/>
        </w:rPr>
        <w:t>om vyhlá</w:t>
      </w:r>
      <w:r w:rsidR="00132FA9">
        <w:rPr>
          <w:rFonts w:cs="Times New Roman" w:hint="default"/>
          <w:kern w:val="0"/>
          <w:lang w:eastAsia="en-US" w:bidi="ar-SA"/>
        </w:rPr>
        <w:t>senia.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D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419D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61836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D4C51"/>
    <w:rsid w:val="000E2096"/>
    <w:rsid w:val="000F0546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0A7"/>
    <w:rsid w:val="0014355E"/>
    <w:rsid w:val="00150922"/>
    <w:rsid w:val="00151E96"/>
    <w:rsid w:val="00153A2C"/>
    <w:rsid w:val="001545D3"/>
    <w:rsid w:val="00154B93"/>
    <w:rsid w:val="00160969"/>
    <w:rsid w:val="00160AF8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27C0D"/>
    <w:rsid w:val="00336052"/>
    <w:rsid w:val="00336F95"/>
    <w:rsid w:val="00336FD9"/>
    <w:rsid w:val="003370AC"/>
    <w:rsid w:val="00337B4F"/>
    <w:rsid w:val="003423ED"/>
    <w:rsid w:val="00355C4F"/>
    <w:rsid w:val="00364C2A"/>
    <w:rsid w:val="0036618E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2AB2"/>
    <w:rsid w:val="003C5CB8"/>
    <w:rsid w:val="003D448D"/>
    <w:rsid w:val="003D6DC2"/>
    <w:rsid w:val="003D7378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3515F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0B97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550E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1D2E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1767F"/>
    <w:rsid w:val="00A2228B"/>
    <w:rsid w:val="00A22761"/>
    <w:rsid w:val="00A25E6D"/>
    <w:rsid w:val="00A3470A"/>
    <w:rsid w:val="00A41F89"/>
    <w:rsid w:val="00A44A27"/>
    <w:rsid w:val="00A50C05"/>
    <w:rsid w:val="00A51C46"/>
    <w:rsid w:val="00A5219E"/>
    <w:rsid w:val="00A54132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37432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B540D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0E56"/>
    <w:rsid w:val="00D849EA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634E"/>
    <w:rsid w:val="00E31184"/>
    <w:rsid w:val="00E313F4"/>
    <w:rsid w:val="00E334EE"/>
    <w:rsid w:val="00E3768C"/>
    <w:rsid w:val="00E419D5"/>
    <w:rsid w:val="00E47012"/>
    <w:rsid w:val="00E471F2"/>
    <w:rsid w:val="00E50ED3"/>
    <w:rsid w:val="00E51538"/>
    <w:rsid w:val="00E65909"/>
    <w:rsid w:val="00E66CB0"/>
    <w:rsid w:val="00E720A8"/>
    <w:rsid w:val="00E74B63"/>
    <w:rsid w:val="00E7579F"/>
    <w:rsid w:val="00E76250"/>
    <w:rsid w:val="00E81660"/>
    <w:rsid w:val="00E8315D"/>
    <w:rsid w:val="00E83698"/>
    <w:rsid w:val="00E857D9"/>
    <w:rsid w:val="00E8629F"/>
    <w:rsid w:val="00E9073E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3B1EC-C7D8-42EA-902F-E1A4EDBE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389</Words>
  <Characters>2218</Characters>
  <Application>Microsoft Office Word</Application>
  <DocSecurity>0</DocSecurity>
  <Lines>0</Lines>
  <Paragraphs>0</Paragraphs>
  <ScaleCrop>false</ScaleCrop>
  <Company>HP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2018-03-26T10:16:00Z</dcterms:created>
  <dcterms:modified xsi:type="dcterms:W3CDTF">2018-03-26T10:16:00Z</dcterms:modified>
</cp:coreProperties>
</file>