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4B99" w:rsidRPr="00117A7E">
      <w:pPr>
        <w:bidi w:val="0"/>
        <w:jc w:val="center"/>
        <w:rPr>
          <w:rFonts w:ascii="Times New Roman" w:hAnsi="Times New Roman"/>
          <w:b/>
          <w:caps/>
          <w:spacing w:val="30"/>
          <w:sz w:val="25"/>
          <w:szCs w:val="25"/>
        </w:rPr>
      </w:pPr>
      <w:r w:rsidRPr="00117A7E" w:rsidR="00B326AA">
        <w:rPr>
          <w:rFonts w:ascii="Times New Roman" w:hAnsi="Times New Roman"/>
          <w:b/>
          <w:caps/>
          <w:spacing w:val="30"/>
          <w:sz w:val="25"/>
          <w:szCs w:val="25"/>
        </w:rPr>
        <w:t>Doložka zlučiteľnosti</w:t>
      </w:r>
    </w:p>
    <w:p w:rsidR="001F0AA3" w:rsidRPr="00117A7E" w:rsidP="00DC377E">
      <w:pPr>
        <w:bidi w:val="0"/>
        <w:jc w:val="center"/>
        <w:rPr>
          <w:rFonts w:ascii="Times New Roman" w:hAnsi="Times New Roman"/>
          <w:b/>
          <w:sz w:val="25"/>
          <w:szCs w:val="25"/>
        </w:rPr>
      </w:pPr>
      <w:r w:rsidR="00C12975">
        <w:rPr>
          <w:rFonts w:ascii="Times New Roman" w:hAnsi="Times New Roman"/>
          <w:b/>
          <w:sz w:val="25"/>
          <w:szCs w:val="25"/>
        </w:rPr>
        <w:t xml:space="preserve">návrhu </w:t>
      </w:r>
      <w:r w:rsidRPr="00117A7E" w:rsidR="00B326AA">
        <w:rPr>
          <w:rFonts w:ascii="Times New Roman" w:hAnsi="Times New Roman"/>
          <w:b/>
          <w:sz w:val="25"/>
          <w:szCs w:val="25"/>
        </w:rPr>
        <w:t>právneho p</w:t>
      </w:r>
      <w:r w:rsidRPr="00117A7E" w:rsidR="00DC377E">
        <w:rPr>
          <w:rFonts w:ascii="Times New Roman" w:hAnsi="Times New Roman"/>
          <w:b/>
          <w:sz w:val="25"/>
          <w:szCs w:val="25"/>
        </w:rPr>
        <w:t>redpisu s právom Európskej únie</w:t>
      </w:r>
    </w:p>
    <w:p w:rsidR="00DC377E" w:rsidRPr="00117A7E" w:rsidP="00DC377E">
      <w:pPr>
        <w:bidi w:val="0"/>
        <w:jc w:val="center"/>
        <w:rPr>
          <w:rFonts w:ascii="Times New Roman" w:hAnsi="Times New Roman"/>
          <w:b/>
          <w:sz w:val="25"/>
          <w:szCs w:val="25"/>
        </w:rPr>
      </w:pPr>
    </w:p>
    <w:p w:rsidR="00DC377E" w:rsidRPr="00117A7E" w:rsidP="00DC377E">
      <w:pPr>
        <w:bidi w:val="0"/>
        <w:jc w:val="center"/>
        <w:rPr>
          <w:rFonts w:ascii="Times New Roman" w:hAnsi="Times New Roman"/>
          <w:b/>
          <w:sz w:val="25"/>
          <w:szCs w:val="25"/>
        </w:rPr>
      </w:pPr>
    </w:p>
    <w:tbl>
      <w:tblPr>
        <w:tblStyle w:val="TableNormal"/>
        <w:tblW w:w="10031" w:type="dxa"/>
        <w:tblLook w:val="04A0"/>
      </w:tblPr>
      <w:tblGrid>
        <w:gridCol w:w="404"/>
        <w:gridCol w:w="9627"/>
      </w:tblGrid>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3311A5" w:rsidP="003311A5">
            <w:pPr>
              <w:tabs>
                <w:tab w:val="left" w:pos="360"/>
              </w:tabs>
              <w:bidi w:val="0"/>
              <w:rPr>
                <w:rFonts w:ascii="Times New Roman" w:hAnsi="Times New Roman"/>
                <w:b/>
                <w:sz w:val="25"/>
                <w:szCs w:val="25"/>
              </w:rPr>
            </w:pPr>
            <w:r w:rsidRPr="003311A5">
              <w:rPr>
                <w:rFonts w:ascii="Times New Roman" w:hAnsi="Times New Roman"/>
                <w:b/>
                <w:sz w:val="25"/>
                <w:szCs w:val="25"/>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3311A5" w:rsidP="008B56A7">
            <w:pPr>
              <w:tabs>
                <w:tab w:val="left" w:pos="360"/>
              </w:tabs>
              <w:bidi w:val="0"/>
              <w:jc w:val="both"/>
              <w:rPr>
                <w:rFonts w:ascii="Times New Roman" w:hAnsi="Times New Roman"/>
                <w:sz w:val="25"/>
                <w:szCs w:val="25"/>
              </w:rPr>
            </w:pPr>
            <w:r w:rsidRPr="003311A5">
              <w:rPr>
                <w:rFonts w:ascii="Times New Roman" w:hAnsi="Times New Roman"/>
                <w:b/>
                <w:sz w:val="25"/>
                <w:szCs w:val="25"/>
              </w:rPr>
              <w:t xml:space="preserve">Predkladateľ </w:t>
            </w:r>
            <w:r w:rsidRPr="003311A5" w:rsidR="00C12975">
              <w:rPr>
                <w:rFonts w:ascii="Times New Roman" w:hAnsi="Times New Roman"/>
                <w:b/>
                <w:sz w:val="25"/>
                <w:szCs w:val="25"/>
              </w:rPr>
              <w:t xml:space="preserve">návrhu </w:t>
            </w:r>
            <w:r w:rsidRPr="003311A5">
              <w:rPr>
                <w:rFonts w:ascii="Times New Roman" w:hAnsi="Times New Roman"/>
                <w:b/>
                <w:sz w:val="25"/>
                <w:szCs w:val="25"/>
              </w:rPr>
              <w:t>právneho predpisu:</w:t>
            </w:r>
            <w:r w:rsidRPr="003311A5" w:rsidR="00632C56">
              <w:rPr>
                <w:rFonts w:ascii="Times New Roman" w:hAnsi="Times New Roman"/>
                <w:sz w:val="25"/>
                <w:szCs w:val="25"/>
              </w:rPr>
              <w:t xml:space="preserve"> </w:t>
            </w:r>
            <w:r w:rsidR="008B56A7">
              <w:rPr>
                <w:rFonts w:ascii="Times New Roman" w:hAnsi="Times New Roman"/>
                <w:sz w:val="25"/>
                <w:szCs w:val="25"/>
              </w:rPr>
              <w:t>Úrad geodézie, kartografie a katastra Slovenskej republiky</w:t>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3311A5" w:rsidP="003311A5">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3311A5" w:rsidP="003311A5">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3311A5" w:rsidP="003311A5">
            <w:pPr>
              <w:tabs>
                <w:tab w:val="left" w:pos="360"/>
              </w:tabs>
              <w:bidi w:val="0"/>
              <w:rPr>
                <w:rFonts w:ascii="Times New Roman" w:hAnsi="Times New Roman"/>
                <w:b/>
                <w:sz w:val="25"/>
                <w:szCs w:val="25"/>
              </w:rPr>
            </w:pPr>
            <w:r w:rsidRPr="003311A5">
              <w:rPr>
                <w:rFonts w:ascii="Times New Roman" w:hAnsi="Times New Roman"/>
                <w:b/>
                <w:sz w:val="25"/>
                <w:szCs w:val="25"/>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3311A5" w:rsidP="006C3010">
            <w:pPr>
              <w:tabs>
                <w:tab w:val="left" w:pos="360"/>
              </w:tabs>
              <w:bidi w:val="0"/>
              <w:jc w:val="both"/>
              <w:rPr>
                <w:rFonts w:ascii="Times New Roman" w:hAnsi="Times New Roman"/>
                <w:sz w:val="25"/>
                <w:szCs w:val="25"/>
              </w:rPr>
            </w:pPr>
            <w:r w:rsidRPr="003311A5">
              <w:rPr>
                <w:rFonts w:ascii="Times New Roman" w:hAnsi="Times New Roman"/>
                <w:b/>
                <w:sz w:val="25"/>
                <w:szCs w:val="25"/>
              </w:rPr>
              <w:t>Názov návrhu právneho predpisu:</w:t>
            </w:r>
            <w:r w:rsidRPr="003311A5" w:rsidR="00632C56">
              <w:rPr>
                <w:rFonts w:ascii="Times New Roman" w:hAnsi="Times New Roman"/>
                <w:sz w:val="25"/>
                <w:szCs w:val="25"/>
              </w:rPr>
              <w:t xml:space="preserve"> </w:t>
            </w:r>
            <w:r w:rsidR="008B56A7">
              <w:rPr>
                <w:rFonts w:ascii="Times New Roman" w:hAnsi="Times New Roman"/>
                <w:sz w:val="25"/>
                <w:szCs w:val="25"/>
              </w:rPr>
              <w:t>Zákon, ktorým sa mení a dopĺňa zákon Národnej rady Slovenskej republiky č. 162/1995 Z. z. o katastri nehnuteľností a o zápise vlastníckych a iných práv k nehnuteľnostiam (katastrálny zákon) v znení neskorších predpisov a</w:t>
            </w:r>
            <w:r w:rsidR="006C3010">
              <w:rPr>
                <w:rFonts w:ascii="Times New Roman" w:hAnsi="Times New Roman"/>
                <w:sz w:val="25"/>
                <w:szCs w:val="25"/>
              </w:rPr>
              <w:t> ktorým sa menia a dopĺňajú niektoré zákony</w:t>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3311A5" w:rsidP="003311A5">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3311A5" w:rsidP="003311A5">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3311A5" w:rsidP="003311A5">
            <w:pPr>
              <w:tabs>
                <w:tab w:val="left" w:pos="360"/>
              </w:tabs>
              <w:bidi w:val="0"/>
              <w:rPr>
                <w:rFonts w:ascii="Times New Roman" w:hAnsi="Times New Roman"/>
                <w:b/>
                <w:sz w:val="25"/>
                <w:szCs w:val="25"/>
              </w:rPr>
            </w:pPr>
            <w:r w:rsidRPr="003311A5">
              <w:rPr>
                <w:rFonts w:ascii="Times New Roman" w:hAnsi="Times New Roman"/>
                <w:b/>
                <w:sz w:val="25"/>
                <w:szCs w:val="25"/>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3311A5" w:rsidP="003311A5">
            <w:pPr>
              <w:tabs>
                <w:tab w:val="left" w:pos="360"/>
              </w:tabs>
              <w:bidi w:val="0"/>
              <w:rPr>
                <w:rFonts w:ascii="Times New Roman" w:hAnsi="Times New Roman"/>
                <w:b/>
                <w:sz w:val="25"/>
                <w:szCs w:val="25"/>
              </w:rPr>
            </w:pPr>
            <w:r w:rsidRPr="003311A5">
              <w:rPr>
                <w:rFonts w:ascii="Times New Roman" w:hAnsi="Times New Roman"/>
                <w:b/>
                <w:sz w:val="25"/>
                <w:szCs w:val="25"/>
              </w:rPr>
              <w:t>Problematika návrhu právneho predpisu:</w:t>
            </w:r>
          </w:p>
          <w:p w:rsidR="003841E0" w:rsidRPr="003311A5" w:rsidP="003311A5">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3311A5">
            <w:pPr>
              <w:tabs>
                <w:tab w:val="left" w:pos="360"/>
              </w:tabs>
              <w:bidi w:val="0"/>
              <w:rPr>
                <w:rFonts w:ascii="Times New Roman" w:hAnsi="Times New Roman"/>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8570D4" w:rsidRPr="00117A7E" w:rsidP="003311A5">
            <w:pPr>
              <w:pStyle w:val="ListParagraph"/>
              <w:numPr>
                <w:numId w:val="7"/>
              </w:numPr>
              <w:tabs>
                <w:tab w:val="left" w:pos="360"/>
              </w:tabs>
              <w:bidi w:val="0"/>
              <w:rPr>
                <w:rFonts w:ascii="Times New Roman" w:hAnsi="Times New Roman"/>
              </w:rPr>
            </w:pPr>
            <w:r w:rsidRPr="003311A5" w:rsidR="00111BCC">
              <w:rPr>
                <w:rFonts w:ascii="Times" w:hAnsi="Times" w:cs="Times"/>
                <w:sz w:val="25"/>
                <w:szCs w:val="25"/>
              </w:rPr>
              <w:t>nie je upravená v práve Európskej únie</w:t>
            </w:r>
          </w:p>
          <w:p w:rsidR="00054456" w:rsidRPr="00117A7E" w:rsidP="003311A5">
            <w:pPr>
              <w:pStyle w:val="ListParagraph"/>
              <w:tabs>
                <w:tab w:val="left" w:pos="360"/>
              </w:tabs>
              <w:bidi w:val="0"/>
              <w:ind w:left="360"/>
              <w:rPr>
                <w:rFonts w:ascii="Times New Roman" w:hAnsi="Times New Roman"/>
              </w:rPr>
            </w:pPr>
          </w:p>
          <w:p w:rsidR="006F3E6F" w:rsidRPr="00117A7E" w:rsidP="003311A5">
            <w:pPr>
              <w:pStyle w:val="ListParagraph"/>
              <w:tabs>
                <w:tab w:val="left" w:pos="360"/>
              </w:tabs>
              <w:bidi w:val="0"/>
              <w:ind w:left="360"/>
              <w:rPr>
                <w:rFonts w:ascii="Times New Roman" w:hAnsi="Times New Roman"/>
              </w:rPr>
            </w:pPr>
          </w:p>
          <w:p w:rsidR="0023485C" w:rsidRPr="00117A7E" w:rsidP="003311A5">
            <w:pPr>
              <w:pStyle w:val="ListParagraph"/>
              <w:tabs>
                <w:tab w:val="left" w:pos="360"/>
              </w:tabs>
              <w:bidi w:val="0"/>
              <w:ind w:left="360"/>
              <w:rPr>
                <w:rFonts w:ascii="Times New Roman" w:hAnsi="Times New Roman"/>
              </w:rPr>
            </w:pPr>
          </w:p>
          <w:p w:rsidR="0023485C" w:rsidRPr="00117A7E" w:rsidP="003311A5">
            <w:pPr>
              <w:pStyle w:val="ListParagraph"/>
              <w:tabs>
                <w:tab w:val="left" w:pos="360"/>
              </w:tabs>
              <w:bidi w:val="0"/>
              <w:ind w:left="360"/>
              <w:rPr>
                <w:rFonts w:ascii="Times New Roman" w:hAnsi="Times New Roman"/>
              </w:rPr>
            </w:pPr>
          </w:p>
          <w:p w:rsidR="0023485C" w:rsidRPr="00117A7E" w:rsidP="003311A5">
            <w:pPr>
              <w:pStyle w:val="ListParagraph"/>
              <w:tabs>
                <w:tab w:val="left" w:pos="360"/>
              </w:tabs>
              <w:bidi w:val="0"/>
              <w:ind w:left="360"/>
              <w:rPr>
                <w:rFonts w:ascii="Times New Roman" w:hAnsi="Times New Roman"/>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3311A5">
            <w:pPr>
              <w:tabs>
                <w:tab w:val="left" w:pos="360"/>
              </w:tabs>
              <w:bidi w:val="0"/>
              <w:rPr>
                <w:rFonts w:ascii="Times New Roman" w:hAnsi="Times New Roman"/>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117A7E" w:rsidP="003311A5">
            <w:pPr>
              <w:pStyle w:val="ListParagraph"/>
              <w:numPr>
                <w:numId w:val="7"/>
              </w:numPr>
              <w:tabs>
                <w:tab w:val="left" w:pos="360"/>
              </w:tabs>
              <w:bidi w:val="0"/>
              <w:rPr>
                <w:rFonts w:ascii="Times New Roman" w:hAnsi="Times New Roman"/>
              </w:rPr>
            </w:pPr>
            <w:r w:rsidRPr="003311A5" w:rsidR="00111BCC">
              <w:rPr>
                <w:rFonts w:ascii="Times" w:hAnsi="Times" w:cs="Times"/>
                <w:sz w:val="25"/>
                <w:szCs w:val="25"/>
              </w:rPr>
              <w:t>nie je obsiahnutá v judikatúre Súdneho dvora Európskej únie</w:t>
            </w:r>
          </w:p>
          <w:p w:rsidR="0023485C" w:rsidRPr="00117A7E" w:rsidP="003311A5">
            <w:pPr>
              <w:pStyle w:val="ListParagraph"/>
              <w:tabs>
                <w:tab w:val="left" w:pos="360"/>
              </w:tabs>
              <w:bidi w:val="0"/>
              <w:ind w:left="360"/>
              <w:rPr>
                <w:rFonts w:ascii="Times New Roman" w:hAnsi="Times New Roman"/>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3311A5" w:rsidP="003311A5">
            <w:pPr>
              <w:tabs>
                <w:tab w:val="left" w:pos="360"/>
              </w:tabs>
              <w:bidi w:val="0"/>
              <w:rPr>
                <w:rFonts w:ascii="Times New Roman" w:hAnsi="Times New Roman"/>
                <w:b/>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117A7E" w:rsidP="003311A5">
            <w:pPr>
              <w:tabs>
                <w:tab w:val="left" w:pos="360"/>
              </w:tabs>
              <w:bidi w:val="0"/>
              <w:rPr>
                <w:rFonts w:ascii="Times New Roman" w:hAnsi="Times New Roman"/>
              </w:rPr>
            </w:pPr>
          </w:p>
        </w:tc>
      </w:tr>
    </w:tbl>
    <w:p w:rsidR="001F0AA3" w:rsidRPr="00117A7E" w:rsidP="001F0AA3">
      <w:pPr>
        <w:tabs>
          <w:tab w:val="left" w:pos="360"/>
        </w:tabs>
        <w:bidi w:val="0"/>
        <w:rPr>
          <w:rFonts w:ascii="Times New Roman" w:hAnsi="Times New Roman"/>
        </w:rPr>
      </w:pPr>
    </w:p>
    <w:p w:rsidR="003D0DA4" w:rsidRPr="00117A7E" w:rsidP="00814DF5">
      <w:pPr>
        <w:tabs>
          <w:tab w:val="left" w:pos="360"/>
        </w:tabs>
        <w:bidi w:val="0"/>
        <w:jc w:val="both"/>
        <w:rPr>
          <w:rFonts w:ascii="Times New Roman" w:hAnsi="Times New Roman"/>
        </w:rPr>
      </w:pPr>
      <w:r w:rsidR="00111BCC">
        <w:rPr>
          <w:rFonts w:ascii="Times" w:hAnsi="Times" w:cs="Times"/>
          <w:b/>
          <w:bCs/>
          <w:sz w:val="25"/>
          <w:szCs w:val="25"/>
        </w:rPr>
        <w:t>Vzhľadom na vnútroštátny charakter navrhovaného právneho predpisu je bezpredmetné vyjadrovať sa k bodom 4., 5. a 6. doložky zlučiteľnosti.</w:t>
      </w:r>
    </w:p>
    <w:sectPr>
      <w:footerReference w:type="default" r:id="rId6"/>
      <w:pgSz w:w="12240" w:h="15840"/>
      <w:pgMar w:top="1417" w:right="1417" w:bottom="1417" w:left="1417"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202060306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AE" w:rsidRPr="008F7DAE">
    <w:pPr>
      <w:pStyle w:val="Footer"/>
      <w:bidi w:val="0"/>
      <w:jc w:val="right"/>
      <w:rPr>
        <w:rFonts w:ascii="Times New Roman" w:hAnsi="Times New Roman"/>
        <w:sz w:val="20"/>
        <w:szCs w:val="20"/>
      </w:rPr>
    </w:pPr>
    <w:r w:rsidRPr="008F7DAE">
      <w:rPr>
        <w:rFonts w:ascii="Times New Roman" w:hAnsi="Times New Roman"/>
        <w:sz w:val="20"/>
        <w:szCs w:val="20"/>
      </w:rPr>
      <w:fldChar w:fldCharType="begin"/>
    </w:r>
    <w:r w:rsidRPr="008F7DAE">
      <w:rPr>
        <w:rFonts w:ascii="Times New Roman" w:hAnsi="Times New Roman"/>
        <w:sz w:val="20"/>
        <w:szCs w:val="20"/>
      </w:rPr>
      <w:instrText>PAGE   \* MERGEFORMAT</w:instrText>
    </w:r>
    <w:r w:rsidRPr="008F7DAE">
      <w:rPr>
        <w:rFonts w:ascii="Times New Roman" w:hAnsi="Times New Roman"/>
        <w:sz w:val="20"/>
        <w:szCs w:val="20"/>
      </w:rPr>
      <w:fldChar w:fldCharType="separate"/>
    </w:r>
    <w:r w:rsidR="000074F3">
      <w:rPr>
        <w:rFonts w:ascii="Times New Roman" w:hAnsi="Times New Roman"/>
        <w:noProof/>
        <w:sz w:val="20"/>
        <w:szCs w:val="20"/>
      </w:rPr>
      <w:t>1</w:t>
    </w:r>
    <w:r w:rsidRPr="008F7DAE">
      <w:rPr>
        <w:rFonts w:ascii="Times New Roman" w:hAnsi="Times New Roman"/>
        <w:sz w:val="20"/>
        <w:szCs w:val="20"/>
      </w:rPr>
      <w:fldChar w:fldCharType="end"/>
    </w:r>
  </w:p>
  <w:p w:rsidR="008F7DA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1484D"/>
    <w:multiLevelType w:val="hybridMultilevel"/>
    <w:tmpl w:val="81A87962"/>
    <w:lvl w:ilvl="0">
      <w:start w:val="3"/>
      <w:numFmt w:val="bullet"/>
      <w:lvlText w:val="-"/>
      <w:lvlJc w:val="left"/>
      <w:pPr>
        <w:ind w:left="1080" w:hanging="360"/>
      </w:pPr>
      <w:rPr>
        <w:rFonts w:ascii="Times New Roman" w:eastAsia="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E01323C"/>
    <w:multiLevelType w:val="hybridMultilevel"/>
    <w:tmpl w:val="F5C89F76"/>
    <w:lvl w:ilvl="0">
      <w:start w:val="1"/>
      <w:numFmt w:val="decimal"/>
      <w:lvlText w:val="%1."/>
      <w:lvlJc w:val="left"/>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4613B58"/>
    <w:multiLevelType w:val="hybridMultilevel"/>
    <w:tmpl w:val="1EF280DA"/>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25B21DE"/>
    <w:multiLevelType w:val="hybridMultilevel"/>
    <w:tmpl w:val="2078F9F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E5642E0"/>
    <w:multiLevelType w:val="hybridMultilevel"/>
    <w:tmpl w:val="0E729AC6"/>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E8B16FD"/>
    <w:multiLevelType w:val="hybridMultilevel"/>
    <w:tmpl w:val="A0F68696"/>
    <w:lvl w:ilvl="0">
      <w:start w:val="2"/>
      <w:numFmt w:val="bullet"/>
      <w:lvlText w:val="-"/>
      <w:lvlJc w:val="left"/>
      <w:pPr>
        <w:ind w:left="1080" w:hanging="360"/>
      </w:pPr>
      <w:rPr>
        <w:rFonts w:ascii="Times New Roman" w:eastAsia="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doNotUseIndentAsNumberingTabStop/>
    <w:allowSpaceOfSameStyleInTable/>
    <w:splitPgBreakAndParaMark/>
    <w:useAnsiKerningPairs/>
  </w:compat>
  <w:rsids>
    <w:rsidRoot w:val="00824CCF"/>
    <w:rsid w:val="000074F3"/>
    <w:rsid w:val="00010D7F"/>
    <w:rsid w:val="00054456"/>
    <w:rsid w:val="00066C47"/>
    <w:rsid w:val="000C03E4"/>
    <w:rsid w:val="000C5887"/>
    <w:rsid w:val="00111BCC"/>
    <w:rsid w:val="00117A7E"/>
    <w:rsid w:val="001D60ED"/>
    <w:rsid w:val="001F0AA3"/>
    <w:rsid w:val="0020025E"/>
    <w:rsid w:val="0023485C"/>
    <w:rsid w:val="002B14DD"/>
    <w:rsid w:val="002E6AC0"/>
    <w:rsid w:val="003311A5"/>
    <w:rsid w:val="003841E0"/>
    <w:rsid w:val="003D0DA4"/>
    <w:rsid w:val="00482868"/>
    <w:rsid w:val="004A3CCB"/>
    <w:rsid w:val="004B1E6E"/>
    <w:rsid w:val="004E7F23"/>
    <w:rsid w:val="00596545"/>
    <w:rsid w:val="00632C56"/>
    <w:rsid w:val="006C0FA0"/>
    <w:rsid w:val="006C3010"/>
    <w:rsid w:val="006E1D9C"/>
    <w:rsid w:val="006F3E6F"/>
    <w:rsid w:val="00785F65"/>
    <w:rsid w:val="007F5B72"/>
    <w:rsid w:val="00814DF5"/>
    <w:rsid w:val="00824CCF"/>
    <w:rsid w:val="00847169"/>
    <w:rsid w:val="008570D4"/>
    <w:rsid w:val="008655C8"/>
    <w:rsid w:val="008B56A7"/>
    <w:rsid w:val="008E2891"/>
    <w:rsid w:val="008F7DAE"/>
    <w:rsid w:val="00970F68"/>
    <w:rsid w:val="009C63EB"/>
    <w:rsid w:val="00B128CD"/>
    <w:rsid w:val="00B326AA"/>
    <w:rsid w:val="00C12975"/>
    <w:rsid w:val="00C90146"/>
    <w:rsid w:val="00CA5D08"/>
    <w:rsid w:val="00D14B99"/>
    <w:rsid w:val="00D465F6"/>
    <w:rsid w:val="00D5344B"/>
    <w:rsid w:val="00D7275F"/>
    <w:rsid w:val="00D75FDD"/>
    <w:rsid w:val="00DB3DB1"/>
    <w:rsid w:val="00DC06F9"/>
    <w:rsid w:val="00DC377E"/>
    <w:rsid w:val="00DC3BFE"/>
    <w:rsid w:val="00E42BD6"/>
    <w:rsid w:val="00E85F6B"/>
    <w:rsid w:val="00EC5BF8"/>
    <w:rsid w:val="00FA32F7"/>
    <w:rsid w:val="00FD64BC"/>
    <w:rsid w:val="00FF2EE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5">
    <w:name w:val="heading 5"/>
    <w:basedOn w:val="Normal"/>
    <w:link w:val="Nadpis5Char"/>
    <w:uiPriority w:val="9"/>
    <w:qFormat/>
    <w:rsid w:val="009C63EB"/>
    <w:pPr>
      <w:widowControl/>
      <w:autoSpaceDE/>
      <w:autoSpaceDN/>
      <w:adjustRightInd/>
      <w:spacing w:before="100" w:beforeAutospacing="1" w:after="100" w:afterAutospacing="1"/>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CommentReference">
    <w:name w:val="annotation reference"/>
    <w:uiPriority w:val="99"/>
    <w:semiHidden/>
    <w:unhideWhenUsed/>
    <w:rsid w:val="00EC5BF8"/>
    <w:rPr>
      <w:sz w:val="16"/>
    </w:rPr>
  </w:style>
  <w:style w:type="paragraph" w:styleId="CommentText">
    <w:name w:val="annotation text"/>
    <w:basedOn w:val="Normal"/>
    <w:link w:val="TextkomentraChar"/>
    <w:uiPriority w:val="99"/>
    <w:semiHidden/>
    <w:unhideWhenUsed/>
    <w:rsid w:val="00EC5BF8"/>
    <w:pPr>
      <w:jc w:val="left"/>
    </w:pPr>
    <w:rPr>
      <w:sz w:val="20"/>
      <w:szCs w:val="20"/>
    </w:rPr>
  </w:style>
  <w:style w:type="character" w:customStyle="1" w:styleId="TextkomentraChar">
    <w:name w:val="Text komentára Char"/>
    <w:link w:val="CommentText"/>
    <w:uiPriority w:val="99"/>
    <w:semiHidden/>
    <w:locked/>
    <w:rsid w:val="00EC5BF8"/>
    <w:rPr>
      <w:sz w:val="20"/>
      <w:lang w:val="ru-RU" w:eastAsia="x-none"/>
    </w:rPr>
  </w:style>
  <w:style w:type="paragraph" w:styleId="CommentSubject">
    <w:name w:val="annotation subject"/>
    <w:basedOn w:val="CommentText"/>
    <w:next w:val="CommentText"/>
    <w:link w:val="PredmetkomentraChar"/>
    <w:uiPriority w:val="99"/>
    <w:semiHidden/>
    <w:unhideWhenUsed/>
    <w:rsid w:val="00EC5BF8"/>
    <w:pPr>
      <w:jc w:val="left"/>
    </w:pPr>
    <w:rPr>
      <w:b/>
      <w:bCs/>
    </w:rPr>
  </w:style>
  <w:style w:type="character" w:customStyle="1" w:styleId="PredmetkomentraChar">
    <w:name w:val="Predmet komentára Char"/>
    <w:link w:val="CommentSubject"/>
    <w:uiPriority w:val="99"/>
    <w:semiHidden/>
    <w:locked/>
    <w:rsid w:val="00EC5BF8"/>
    <w:rPr>
      <w:b/>
      <w:sz w:val="20"/>
      <w:lang w:val="ru-RU" w:eastAsia="x-none"/>
    </w:rPr>
  </w:style>
  <w:style w:type="paragraph" w:styleId="BalloonText">
    <w:name w:val="Balloon Text"/>
    <w:basedOn w:val="Normal"/>
    <w:link w:val="TextbublinyChar"/>
    <w:uiPriority w:val="99"/>
    <w:semiHidden/>
    <w:unhideWhenUsed/>
    <w:rsid w:val="00EC5BF8"/>
    <w:pPr>
      <w:jc w:val="left"/>
    </w:pPr>
    <w:rPr>
      <w:rFonts w:ascii="Tahoma" w:hAnsi="Tahoma" w:cs="Tahoma"/>
      <w:sz w:val="16"/>
      <w:szCs w:val="16"/>
    </w:rPr>
  </w:style>
  <w:style w:type="character" w:customStyle="1" w:styleId="TextbublinyChar">
    <w:name w:val="Text bubliny Char"/>
    <w:link w:val="BalloonText"/>
    <w:uiPriority w:val="99"/>
    <w:semiHidden/>
    <w:locked/>
    <w:rsid w:val="00EC5BF8"/>
    <w:rPr>
      <w:rFonts w:ascii="Tahoma" w:hAnsi="Tahoma" w:cs="Tahoma"/>
      <w:sz w:val="16"/>
      <w:lang w:val="ru-RU" w:eastAsia="x-none"/>
    </w:rPr>
  </w:style>
  <w:style w:type="paragraph" w:styleId="ListParagraph">
    <w:name w:val="List Paragraph"/>
    <w:basedOn w:val="Normal"/>
    <w:uiPriority w:val="99"/>
    <w:qFormat/>
    <w:rsid w:val="00E85F6B"/>
    <w:pPr>
      <w:ind w:left="720"/>
      <w:contextualSpacing/>
      <w:jc w:val="left"/>
    </w:pPr>
  </w:style>
  <w:style w:type="character" w:customStyle="1" w:styleId="Nadpis5Char">
    <w:name w:val="Nadpis 5 Char"/>
    <w:link w:val="Heading5"/>
    <w:uiPriority w:val="9"/>
    <w:locked/>
    <w:rsid w:val="009C63EB"/>
    <w:rPr>
      <w:b/>
      <w:sz w:val="20"/>
    </w:rPr>
  </w:style>
  <w:style w:type="table" w:styleId="TableGrid">
    <w:name w:val="Table Grid"/>
    <w:basedOn w:val="TableNormal"/>
    <w:uiPriority w:val="99"/>
    <w:unhideWhenUsed/>
    <w:rsid w:val="001F0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lavikaChar"/>
    <w:uiPriority w:val="99"/>
    <w:unhideWhenUsed/>
    <w:rsid w:val="008F7DAE"/>
    <w:pPr>
      <w:tabs>
        <w:tab w:val="center" w:pos="4536"/>
        <w:tab w:val="right" w:pos="9072"/>
      </w:tabs>
      <w:jc w:val="left"/>
    </w:pPr>
  </w:style>
  <w:style w:type="character" w:customStyle="1" w:styleId="HlavikaChar">
    <w:name w:val="Hlavička Char"/>
    <w:link w:val="Header"/>
    <w:uiPriority w:val="99"/>
    <w:locked/>
    <w:rsid w:val="008F7DAE"/>
    <w:rPr>
      <w:sz w:val="24"/>
    </w:rPr>
  </w:style>
  <w:style w:type="paragraph" w:styleId="Footer">
    <w:name w:val="footer"/>
    <w:basedOn w:val="Normal"/>
    <w:link w:val="PtaChar"/>
    <w:uiPriority w:val="99"/>
    <w:unhideWhenUsed/>
    <w:rsid w:val="008F7DAE"/>
    <w:pPr>
      <w:tabs>
        <w:tab w:val="center" w:pos="4536"/>
        <w:tab w:val="right" w:pos="9072"/>
      </w:tabs>
      <w:jc w:val="left"/>
    </w:pPr>
  </w:style>
  <w:style w:type="character" w:customStyle="1" w:styleId="PtaChar">
    <w:name w:val="Päta Char"/>
    <w:link w:val="Footer"/>
    <w:uiPriority w:val="99"/>
    <w:locked/>
    <w:rsid w:val="008F7DAE"/>
    <w:rPr>
      <w:sz w:val="24"/>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Doložka zlučiteľnosti"/>
    <f:field ref="objsubject" par="" edit="true" text="Doložka zlučiteľnosti"/>
    <f:field ref="objcreatedby" par="" text="Administrator, System"/>
    <f:field ref="objcreatedat" par="" text="26.4.2017 19:00:23"/>
    <f:field ref="objchangedby" par="" text="Administrator, System"/>
    <f:field ref="objmodifiedat" par="" text="26.4.2017 19:00:26"/>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B496EE-6B70-400D-BAAD-6580E65E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Pages>
  <Words>115</Words>
  <Characters>662</Characters>
  <Application>Microsoft Office Word</Application>
  <DocSecurity>0</DocSecurity>
  <Lines>0</Lines>
  <Paragraphs>0</Paragraphs>
  <ScaleCrop>false</ScaleCrop>
  <Company>Hewlett-Packard Company</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Šoltysová Ľubomíra</cp:lastModifiedBy>
  <cp:revision>2</cp:revision>
  <dcterms:created xsi:type="dcterms:W3CDTF">2018-03-09T09:37:00Z</dcterms:created>
  <dcterms:modified xsi:type="dcterms:W3CDTF">2018-03-09T09:37:00Z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COO.2145.1000.3.1936564</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26. 1. 2017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Negatívne</vt:lpwstr>
  </property>
  <property fmtid="{D5CDD505-2E9C-101B-9397-08002B2CF9AE}" pid="12" name="FSC#SKEDITIONSLOVLEX@103.510:AttrStrListDocPropAltRiesenia">
    <vt:lpwstr>Návrhu zákona predchádzali analýzy súčasného stavu, porovnávanie poskytovania lekárskej služby prvej pomoci na Slovensku aj v okolitých krajinách a posudzovali sa rozličné varianty pevnej, voliteľnej aj dobrovoľnej siete nových ambulantných pohotovostných</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Navrhovanou úpravou sa predpokladá negatívny vplyv na rozpočet verejnej správy, financovanie návrhu je rozpočtovo zabezpečené zo zdrojov verejného zdravotného poistenia. Negatívny vplyv je na ťarchu zdravotných poisťovní, nezakladá vplyv na štátny r</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STANOVISKO KOMISIE (PREDBEŽNÉ PRIPOMIENKOVÉ KONANIE)K NÁVRHUZÁKONA, KTORÝM SA MENÍ A DOPĹŇA ZÁKON Č. 576/2004 Z. Z. O ZDRAVOTNEJ STAROSTLIVOSTI, SLUŽBÁCH SÚVISIACICH S POSKYTOVANÍM ZDRAVOTNEJ STAROSTLIVOSTI A O ZMENE A DOPLNENÍ NIEKTORÝCH ZÁKONOV V ZNENÍ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576/2004 Z. z. o zdravotnej starostlivosti, službách súvisiacich s poskytovaním zdravotnej starostlivosti a o </vt:lpwstr>
  </property>
  <property fmtid="{D5CDD505-2E9C-101B-9397-08002B2CF9AE}" pid="32" name="FSC#SKEDITIONSLOVLEX@103.510:AttrStrListDocPropTextPredklSpravy">
    <vt:lpwstr>&lt;strong&gt;&amp;nbsp;&amp;nbsp;&amp;nbsp;&amp;nbsp;&amp;nbsp;&amp;nbsp;&amp;nbsp;&amp;nbsp;&amp;nbsp;&amp;nbsp;&amp;nbsp; &lt;/strong&gt;Ministerstvo zdravotníctva Slovenskej republiky predkladá návrh zákona, ktorým sa mení a dopĺňa zákon č. 576/2004 Z. z. o&amp;nbsp;zdravotnej starostlivosti, službách súvisiac</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LP/2017/275</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Zdravotníctvo</vt:lpwstr>
  </property>
  <property fmtid="{D5CDD505-2E9C-101B-9397-08002B2CF9AE}" pid="125" name="FSC#SKEDITIONSLOVLEX@103.510:nazovpredpis">
    <vt:lpwstr>, ktorým sa mení a dopĺňa zákon č. 576/2004 Z. z. o zdravotnej starostlivosti, službách súvisiacich s poskytovaním zdravotnej starostlivosti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576/2004 Z. z. o zdravotnej starostlivosti, službách súvisiacich s poskytovaním zdravotnej starostlivosti a o zmene a doplnení niektorých zákonov v znení neskorších predpisov a ktorým sa menia a dopĺňajú niektoré z</vt:lpwstr>
  </property>
  <property fmtid="{D5CDD505-2E9C-101B-9397-08002B2CF9AE}" pid="132" name="FSC#SKEDITIONSLOVLEX@103.510:plnynazovpredpis1">
    <vt:lpwstr>ákony</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Programové vyhlásenie vlády Slovenskej republiky na december 2016         </vt:lpwstr>
  </property>
  <property fmtid="{D5CDD505-2E9C-101B-9397-08002B2CF9AE}" pid="136" name="FSC#SKEDITIONSLOVLEX@103.510:povodpredpis">
    <vt:lpwstr>Slovlex (eLeg)</vt:lpwstr>
  </property>
  <property fmtid="{D5CDD505-2E9C-101B-9397-08002B2CF9AE}" pid="137" name="FSC#SKEDITIONSLOVLEX@103.510:predkladatel">
    <vt:lpwstr>JUDr. Jana Jakubíková</vt:lpwstr>
  </property>
  <property fmtid="{D5CDD505-2E9C-101B-9397-08002B2CF9AE}" pid="138" name="FSC#SKEDITIONSLOVLEX@103.510:predkladateliaObalSD">
    <vt:lpwstr>Tomáš Drucker
minister zdravotníctva Slovenskej republiky</vt:lpwstr>
  </property>
  <property fmtid="{D5CDD505-2E9C-101B-9397-08002B2CF9AE}" pid="139"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140" name="FSC#SKEDITIONSLOVLEX@103.510:rezortcislopredpis">
    <vt:lpwstr>10632-OL-2016</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 zákona, ktorým sa mení a&amp;nbsp;dopĺňa zákon č. 576/2004 Z. z. o&amp;nbsp;zdravotnej starostlivosti, službách súvisiacich s&amp;nbsp;poskytovaním zdravotnej starostlivosti a&amp;nbsp;o&amp;nbsp;zmene a&amp;nbsp;doplnení niektorých zákon</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zlučiteľnosti</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zdravotníctva Slovenskej republiky</vt:lpwstr>
  </property>
  <property fmtid="{D5CDD505-2E9C-101B-9397-08002B2CF9AE}" pid="151" name="FSC#SKEDITIONSLOVLEX@103.510:zodppredkladatel">
    <vt:lpwstr>Tomáš Drucker</vt:lpwstr>
  </property>
</Properties>
</file>