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03BD9" w:rsidP="00403BD9">
      <w:pPr>
        <w:bidi w:val="0"/>
        <w:jc w:val="center"/>
        <w:rPr>
          <w:rFonts w:eastAsia="Times New Roman"/>
          <w:b/>
          <w:szCs w:val="24"/>
          <w:lang w:eastAsia="sk-SK"/>
        </w:rPr>
      </w:pPr>
    </w:p>
    <w:p w:rsidR="00956874" w:rsidRPr="00956874" w:rsidP="00403BD9">
      <w:pPr>
        <w:bidi w:val="0"/>
        <w:jc w:val="center"/>
        <w:rPr>
          <w:rFonts w:eastAsia="Times New Roman"/>
          <w:b/>
          <w:szCs w:val="24"/>
          <w:lang w:eastAsia="sk-SK"/>
        </w:rPr>
      </w:pPr>
      <w:r w:rsidRPr="00EC5ED3">
        <w:rPr>
          <w:rFonts w:eastAsia="Times New Roman"/>
          <w:b/>
          <w:szCs w:val="24"/>
          <w:lang w:eastAsia="sk-SK"/>
        </w:rPr>
        <w:t>Kľúčové prvky dohody CETA a dosahy na SR</w:t>
      </w:r>
    </w:p>
    <w:p w:rsidR="001545C4" w:rsidP="00403BD9">
      <w:pPr>
        <w:bidi w:val="0"/>
        <w:ind w:left="48" w:firstLine="672"/>
        <w:jc w:val="both"/>
        <w:rPr>
          <w:rFonts w:eastAsia="Times New Roman"/>
          <w:szCs w:val="24"/>
          <w:lang w:eastAsia="sk-SK"/>
        </w:rPr>
      </w:pPr>
    </w:p>
    <w:p w:rsidR="00403BD9" w:rsidP="00403BD9">
      <w:pPr>
        <w:bidi w:val="0"/>
        <w:ind w:left="48" w:firstLine="672"/>
        <w:jc w:val="both"/>
        <w:rPr>
          <w:rFonts w:eastAsia="Times New Roman"/>
          <w:szCs w:val="24"/>
          <w:lang w:eastAsia="sk-SK"/>
        </w:rPr>
      </w:pPr>
    </w:p>
    <w:p w:rsidR="00956874" w:rsidRPr="00956874" w:rsidP="00403BD9">
      <w:pPr>
        <w:bidi w:val="0"/>
        <w:ind w:left="48" w:firstLine="672"/>
        <w:jc w:val="both"/>
        <w:rPr>
          <w:rFonts w:eastAsia="Times New Roman"/>
          <w:szCs w:val="24"/>
          <w:lang w:eastAsia="sk-SK"/>
        </w:rPr>
      </w:pPr>
      <w:r w:rsidRPr="00956874">
        <w:rPr>
          <w:rFonts w:eastAsia="Times New Roman"/>
          <w:szCs w:val="24"/>
          <w:lang w:eastAsia="sk-SK"/>
        </w:rPr>
        <w:t>Dohoda CETA je zatiaľ najambicióznejšia dohoda o voľnom obchode, ktorú EÚ vyrokovala s dôležitým partnerom G7. Znamená nové príležitosti v oblasti obchodovania a</w:t>
      </w:r>
      <w:r w:rsidR="007844A0">
        <w:rPr>
          <w:rFonts w:eastAsia="Times New Roman"/>
          <w:szCs w:val="24"/>
          <w:lang w:eastAsia="sk-SK"/>
        </w:rPr>
        <w:t> </w:t>
      </w:r>
      <w:r w:rsidRPr="00956874">
        <w:rPr>
          <w:rFonts w:eastAsia="Times New Roman"/>
          <w:szCs w:val="24"/>
          <w:lang w:eastAsia="sk-SK"/>
        </w:rPr>
        <w:t xml:space="preserve">investícií pre hospodárske subjekty oboch strán. V dôsledku CETA sa odstránia clá, skončia sa obmedzenia prístupu k verejným zákazkám, otvorí sa trh so službami, poskytnú sa predvídateľné podmienky pre investorov a v neposlednom rade </w:t>
      </w:r>
      <w:r w:rsidR="007844A0">
        <w:rPr>
          <w:rFonts w:eastAsia="Times New Roman"/>
          <w:szCs w:val="24"/>
          <w:lang w:eastAsia="sk-SK"/>
        </w:rPr>
        <w:t>dohoda</w:t>
      </w:r>
      <w:r w:rsidRPr="00956874">
        <w:rPr>
          <w:rFonts w:eastAsia="Times New Roman"/>
          <w:szCs w:val="24"/>
          <w:lang w:eastAsia="sk-SK"/>
        </w:rPr>
        <w:t xml:space="preserve"> prispeje k zabráneniu nezákonného kopírovania inovácií a tradičných výrobkov EÚ. Dohoda obsahuje aj všetky záruky zabezpečujúce, aby hospodárske zisky neboli realizované na úkor základných práv, sociálnych noriem, práva vlády na reguláciu, ochrany životného prostredia alebo zdravia a</w:t>
      </w:r>
      <w:r w:rsidR="007844A0">
        <w:rPr>
          <w:rFonts w:eastAsia="Times New Roman"/>
          <w:szCs w:val="24"/>
          <w:lang w:eastAsia="sk-SK"/>
        </w:rPr>
        <w:t> </w:t>
      </w:r>
      <w:r w:rsidRPr="00956874">
        <w:rPr>
          <w:rFonts w:eastAsia="Times New Roman"/>
          <w:szCs w:val="24"/>
          <w:lang w:eastAsia="sk-SK"/>
        </w:rPr>
        <w:t>bezpečnosti spotrebiteľov.</w:t>
      </w:r>
    </w:p>
    <w:p w:rsidR="00956874" w:rsidRPr="00956874" w:rsidP="00956874">
      <w:pPr>
        <w:bidi w:val="0"/>
        <w:spacing w:before="100" w:beforeAutospacing="1" w:after="100" w:afterAutospacing="1"/>
        <w:ind w:left="48" w:firstLine="672"/>
        <w:jc w:val="both"/>
        <w:rPr>
          <w:rFonts w:eastAsia="Times New Roman"/>
          <w:szCs w:val="24"/>
          <w:lang w:eastAsia="sk-SK"/>
        </w:rPr>
      </w:pPr>
      <w:r w:rsidRPr="00956874">
        <w:rPr>
          <w:rFonts w:eastAsia="Times New Roman"/>
          <w:szCs w:val="24"/>
          <w:lang w:eastAsia="sk-SK"/>
        </w:rPr>
        <w:t xml:space="preserve">Dohoda prinesie európskym spotrebiteľom a spoločnostiam úspory v dôsledku odstránenia alebo zníženia colných sadzieb. EÚ aj Kanada odstránia od prvého dňa platnosti dohody clá </w:t>
      </w:r>
      <w:r w:rsidR="007844A0">
        <w:rPr>
          <w:rFonts w:eastAsia="Times New Roman"/>
          <w:szCs w:val="24"/>
          <w:lang w:eastAsia="sk-SK"/>
        </w:rPr>
        <w:t>pre</w:t>
      </w:r>
      <w:r w:rsidRPr="00956874">
        <w:rPr>
          <w:rFonts w:eastAsia="Times New Roman"/>
          <w:szCs w:val="24"/>
          <w:lang w:eastAsia="sk-SK"/>
        </w:rPr>
        <w:t xml:space="preserve"> približne 98</w:t>
      </w:r>
      <w:r w:rsidR="007844A0">
        <w:rPr>
          <w:rFonts w:eastAsia="Times New Roman"/>
          <w:szCs w:val="24"/>
          <w:lang w:eastAsia="sk-SK"/>
        </w:rPr>
        <w:t> </w:t>
      </w:r>
      <w:r w:rsidRPr="00956874">
        <w:rPr>
          <w:rFonts w:eastAsia="Times New Roman"/>
          <w:szCs w:val="24"/>
          <w:lang w:eastAsia="sk-SK"/>
        </w:rPr>
        <w:t>% colných položiek, čo je najlepší výsledok, aký EÚ dosiahla v</w:t>
      </w:r>
      <w:r w:rsidR="007844A0">
        <w:rPr>
          <w:rFonts w:eastAsia="Times New Roman"/>
          <w:szCs w:val="24"/>
          <w:lang w:eastAsia="sk-SK"/>
        </w:rPr>
        <w:t> </w:t>
      </w:r>
      <w:r w:rsidRPr="00956874">
        <w:rPr>
          <w:rFonts w:eastAsia="Times New Roman"/>
          <w:szCs w:val="24"/>
          <w:lang w:eastAsia="sk-SK"/>
        </w:rPr>
        <w:t>doterajších rokovaniach o dohodách o voľnom obchode. Clá v priemyselnom sektore budú plne liberalizované (tzv. pokrytie dohody CETA v tomto sektore je 100</w:t>
      </w:r>
      <w:r w:rsidR="007844A0">
        <w:rPr>
          <w:rFonts w:eastAsia="Times New Roman"/>
          <w:szCs w:val="24"/>
          <w:lang w:eastAsia="sk-SK"/>
        </w:rPr>
        <w:t> </w:t>
      </w:r>
      <w:r w:rsidRPr="00956874">
        <w:rPr>
          <w:rFonts w:eastAsia="Times New Roman"/>
          <w:szCs w:val="24"/>
          <w:lang w:eastAsia="sk-SK"/>
        </w:rPr>
        <w:t>%), z toho viac ako 99</w:t>
      </w:r>
      <w:r w:rsidR="007844A0">
        <w:rPr>
          <w:rFonts w:eastAsia="Times New Roman"/>
          <w:szCs w:val="24"/>
          <w:lang w:eastAsia="sk-SK"/>
        </w:rPr>
        <w:t> </w:t>
      </w:r>
      <w:r w:rsidRPr="00956874">
        <w:rPr>
          <w:rFonts w:eastAsia="Times New Roman"/>
          <w:szCs w:val="24"/>
          <w:lang w:eastAsia="sk-SK"/>
        </w:rPr>
        <w:t>% už od dátumu uplatňovania dohody. To ušetrí exportérom EÚ ročne na nevybratom cle cca 500 mil. €.</w:t>
      </w:r>
    </w:p>
    <w:p w:rsidR="00956874" w:rsidRPr="00956874" w:rsidP="00956874">
      <w:pPr>
        <w:bidi w:val="0"/>
        <w:spacing w:before="100" w:beforeAutospacing="1" w:after="100" w:afterAutospacing="1"/>
        <w:ind w:left="48" w:firstLine="672"/>
        <w:jc w:val="both"/>
        <w:rPr>
          <w:rFonts w:eastAsia="Times New Roman"/>
          <w:szCs w:val="24"/>
          <w:lang w:eastAsia="sk-SK"/>
        </w:rPr>
      </w:pPr>
      <w:r w:rsidRPr="00956874">
        <w:rPr>
          <w:rFonts w:eastAsia="Times New Roman"/>
          <w:szCs w:val="24"/>
          <w:lang w:eastAsia="sk-SK"/>
        </w:rPr>
        <w:t xml:space="preserve">Kanada </w:t>
      </w:r>
      <w:r w:rsidR="004476DC">
        <w:rPr>
          <w:rFonts w:eastAsia="Times New Roman"/>
          <w:szCs w:val="24"/>
          <w:lang w:eastAsia="sk-SK"/>
        </w:rPr>
        <w:t xml:space="preserve">v dohode </w:t>
      </w:r>
      <w:r w:rsidRPr="00956874">
        <w:rPr>
          <w:rFonts w:eastAsia="Times New Roman"/>
          <w:szCs w:val="24"/>
          <w:lang w:eastAsia="sk-SK"/>
        </w:rPr>
        <w:t>po prvýkrát otvorila svoj trh s verejnými zákazkami aj na úrovni provincií, čo predstavuje jeden z</w:t>
      </w:r>
      <w:r w:rsidR="004476DC">
        <w:rPr>
          <w:rFonts w:eastAsia="Times New Roman"/>
          <w:szCs w:val="24"/>
          <w:lang w:eastAsia="sk-SK"/>
        </w:rPr>
        <w:t xml:space="preserve"> jej </w:t>
      </w:r>
      <w:r w:rsidRPr="00956874">
        <w:rPr>
          <w:rFonts w:eastAsia="Times New Roman"/>
          <w:szCs w:val="24"/>
          <w:lang w:eastAsia="sk-SK"/>
        </w:rPr>
        <w:t>významných prínosov. Subjekty z EÚ budú môcť predkladať ponuky na poskytovanie tovarov a služieb nielen na federálnej úrovni, ale aj kanadským provinciám a samosprávam. Kanada tiež vytvorí jednotnú elektronickú webovú stránku, na ktorej budú zverejnené informácie o tendroch a prístupe k verejnému obstarávaniu na všetkých úrovniach administratívy.</w:t>
      </w:r>
    </w:p>
    <w:p w:rsidR="00956874" w:rsidRPr="00956874" w:rsidP="00956874">
      <w:pPr>
        <w:bidi w:val="0"/>
        <w:spacing w:before="100" w:beforeAutospacing="1" w:after="100" w:afterAutospacing="1"/>
        <w:ind w:left="48" w:firstLine="672"/>
        <w:jc w:val="both"/>
        <w:rPr>
          <w:rFonts w:eastAsia="Times New Roman"/>
          <w:szCs w:val="24"/>
          <w:lang w:eastAsia="sk-SK"/>
        </w:rPr>
      </w:pPr>
      <w:r w:rsidRPr="00956874">
        <w:rPr>
          <w:rFonts w:eastAsia="Times New Roman"/>
          <w:szCs w:val="24"/>
          <w:lang w:eastAsia="sk-SK"/>
        </w:rPr>
        <w:t>Dohoda</w:t>
      </w:r>
      <w:r w:rsidR="00463F09">
        <w:rPr>
          <w:rFonts w:eastAsia="Times New Roman"/>
          <w:szCs w:val="24"/>
          <w:lang w:eastAsia="sk-SK"/>
        </w:rPr>
        <w:t xml:space="preserve"> CETA</w:t>
      </w:r>
      <w:r w:rsidRPr="00956874">
        <w:rPr>
          <w:rFonts w:eastAsia="Times New Roman"/>
          <w:szCs w:val="24"/>
          <w:lang w:eastAsia="sk-SK"/>
        </w:rPr>
        <w:t xml:space="preserve"> je v súlade s </w:t>
      </w:r>
      <w:r w:rsidR="00C109E6">
        <w:rPr>
          <w:rFonts w:eastAsia="Times New Roman"/>
          <w:szCs w:val="24"/>
          <w:lang w:eastAsia="sk-SK"/>
        </w:rPr>
        <w:t>politikami</w:t>
      </w:r>
      <w:r w:rsidRPr="00956874">
        <w:rPr>
          <w:rFonts w:eastAsia="Times New Roman"/>
          <w:szCs w:val="24"/>
          <w:lang w:eastAsia="sk-SK"/>
        </w:rPr>
        <w:t xml:space="preserve"> </w:t>
      </w:r>
      <w:r w:rsidRPr="00A12B0F" w:rsidR="003D6A27">
        <w:rPr>
          <w:rFonts w:eastAsia="Times New Roman"/>
          <w:szCs w:val="24"/>
          <w:lang w:eastAsia="sk-SK"/>
        </w:rPr>
        <w:t>EÚ</w:t>
      </w:r>
      <w:r w:rsidR="004C1554">
        <w:rPr>
          <w:rFonts w:eastAsia="Times New Roman"/>
          <w:szCs w:val="24"/>
          <w:lang w:eastAsia="sk-SK"/>
        </w:rPr>
        <w:t xml:space="preserve">. </w:t>
      </w:r>
      <w:r w:rsidR="00C109E6">
        <w:rPr>
          <w:rFonts w:eastAsia="Times New Roman"/>
          <w:szCs w:val="24"/>
          <w:lang w:eastAsia="sk-SK"/>
        </w:rPr>
        <w:t xml:space="preserve">V tomto smere sa prostredníctvom CETA, neoslabia ani nezmenia právne predpisy EÚ, ani sa nebudú meniť, obmedzovať ani odstraňovať normy EÚ v žiadnej z regulovaných oblastí. </w:t>
      </w:r>
      <w:r w:rsidR="00463F09">
        <w:rPr>
          <w:rFonts w:eastAsia="Times New Roman"/>
          <w:szCs w:val="24"/>
          <w:lang w:eastAsia="sk-SK"/>
        </w:rPr>
        <w:t>N</w:t>
      </w:r>
      <w:r w:rsidRPr="00956874">
        <w:rPr>
          <w:rFonts w:eastAsia="Times New Roman"/>
          <w:szCs w:val="24"/>
          <w:lang w:eastAsia="sk-SK"/>
        </w:rPr>
        <w:t>ormy</w:t>
      </w:r>
      <w:r w:rsidR="00C109E6">
        <w:rPr>
          <w:rFonts w:eastAsia="Times New Roman"/>
          <w:szCs w:val="24"/>
          <w:lang w:eastAsia="sk-SK"/>
        </w:rPr>
        <w:t xml:space="preserve"> a predpisy</w:t>
      </w:r>
      <w:r w:rsidRPr="00956874">
        <w:rPr>
          <w:rFonts w:eastAsia="Times New Roman"/>
          <w:szCs w:val="24"/>
          <w:lang w:eastAsia="sk-SK"/>
        </w:rPr>
        <w:t xml:space="preserve"> týkajúce sa bezpečnosti potravín, bezpečnosti výrobkov, ochrany spotrebiteľa, zdravia, životného prostredia, sociálne alebo pracovné normy zost</w:t>
      </w:r>
      <w:r w:rsidR="0066274F">
        <w:rPr>
          <w:rFonts w:eastAsia="Times New Roman"/>
          <w:szCs w:val="24"/>
          <w:lang w:eastAsia="sk-SK"/>
        </w:rPr>
        <w:t>ávajú</w:t>
      </w:r>
      <w:r w:rsidRPr="00956874">
        <w:rPr>
          <w:rFonts w:eastAsia="Times New Roman"/>
          <w:szCs w:val="24"/>
          <w:lang w:eastAsia="sk-SK"/>
        </w:rPr>
        <w:t xml:space="preserve"> </w:t>
      </w:r>
      <w:r w:rsidR="00964A11">
        <w:rPr>
          <w:rFonts w:eastAsia="Times New Roman"/>
          <w:szCs w:val="24"/>
          <w:lang w:eastAsia="sk-SK"/>
        </w:rPr>
        <w:t>zachované</w:t>
      </w:r>
      <w:r w:rsidR="00C109E6">
        <w:rPr>
          <w:rFonts w:eastAsia="Times New Roman"/>
          <w:szCs w:val="24"/>
          <w:lang w:eastAsia="sk-SK"/>
        </w:rPr>
        <w:t>.</w:t>
      </w:r>
      <w:r w:rsidR="00BF0A57">
        <w:rPr>
          <w:rFonts w:eastAsia="Times New Roman"/>
          <w:szCs w:val="24"/>
          <w:lang w:eastAsia="sk-SK"/>
        </w:rPr>
        <w:t xml:space="preserve"> </w:t>
      </w:r>
      <w:r w:rsidR="00C109E6">
        <w:rPr>
          <w:rFonts w:eastAsia="Times New Roman"/>
          <w:szCs w:val="24"/>
          <w:lang w:eastAsia="sk-SK"/>
        </w:rPr>
        <w:t>V</w:t>
      </w:r>
      <w:r w:rsidRPr="00956874">
        <w:rPr>
          <w:rFonts w:eastAsia="Times New Roman"/>
          <w:szCs w:val="24"/>
          <w:lang w:eastAsia="sk-SK"/>
        </w:rPr>
        <w:t>šetky dovozy z Kanady budú musieť naďalej spĺňať pravidlá a predpisy EÚ (napr. technické predpisy a normy pre výrobk</w:t>
      </w:r>
      <w:r w:rsidR="004476DC">
        <w:rPr>
          <w:rFonts w:eastAsia="Times New Roman"/>
          <w:szCs w:val="24"/>
          <w:lang w:eastAsia="sk-SK"/>
        </w:rPr>
        <w:t>y,</w:t>
      </w:r>
      <w:r w:rsidRPr="00956874">
        <w:rPr>
          <w:rFonts w:eastAsia="Times New Roman"/>
          <w:szCs w:val="24"/>
          <w:lang w:eastAsia="sk-SK"/>
        </w:rPr>
        <w:t xml:space="preserve"> sanitárne alebo fytosanitárne predpisy, predpisy o bezpečnosti potravín, normy pre bezpečnosť a ochranu zdravia, pravidlá o geneticky mo</w:t>
      </w:r>
      <w:r w:rsidR="003B5C0C">
        <w:rPr>
          <w:rFonts w:eastAsia="Times New Roman"/>
          <w:szCs w:val="24"/>
          <w:lang w:eastAsia="sk-SK"/>
        </w:rPr>
        <w:t>difikovaných organizmoch, predpisy o</w:t>
      </w:r>
      <w:r w:rsidR="001424C9">
        <w:rPr>
          <w:rFonts w:eastAsia="Times New Roman"/>
          <w:szCs w:val="24"/>
          <w:lang w:eastAsia="sk-SK"/>
        </w:rPr>
        <w:t> </w:t>
      </w:r>
      <w:r w:rsidR="003B5C0C">
        <w:rPr>
          <w:rFonts w:eastAsia="Times New Roman"/>
          <w:szCs w:val="24"/>
          <w:lang w:eastAsia="sk-SK"/>
        </w:rPr>
        <w:t>ochrane životného prostredia a</w:t>
      </w:r>
      <w:r w:rsidRPr="00956874">
        <w:rPr>
          <w:rFonts w:eastAsia="Times New Roman"/>
          <w:szCs w:val="24"/>
          <w:lang w:eastAsia="sk-SK"/>
        </w:rPr>
        <w:t xml:space="preserve"> ochran</w:t>
      </w:r>
      <w:r w:rsidR="003B5C0C">
        <w:rPr>
          <w:rFonts w:eastAsia="Times New Roman"/>
          <w:szCs w:val="24"/>
          <w:lang w:eastAsia="sk-SK"/>
        </w:rPr>
        <w:t>e</w:t>
      </w:r>
      <w:r w:rsidRPr="00956874">
        <w:rPr>
          <w:rFonts w:eastAsia="Times New Roman"/>
          <w:szCs w:val="24"/>
          <w:lang w:eastAsia="sk-SK"/>
        </w:rPr>
        <w:t xml:space="preserve"> spotrebiteľa).</w:t>
      </w:r>
    </w:p>
    <w:p w:rsidR="00956874" w:rsidRPr="00956874" w:rsidP="00956874">
      <w:pPr>
        <w:bidi w:val="0"/>
        <w:spacing w:before="100" w:beforeAutospacing="1" w:after="100" w:afterAutospacing="1"/>
        <w:ind w:left="48" w:firstLine="672"/>
        <w:jc w:val="both"/>
        <w:rPr>
          <w:rFonts w:eastAsia="Times New Roman"/>
          <w:szCs w:val="24"/>
          <w:lang w:eastAsia="sk-SK"/>
        </w:rPr>
      </w:pPr>
      <w:r w:rsidRPr="00956874">
        <w:rPr>
          <w:rFonts w:eastAsia="Times New Roman"/>
          <w:szCs w:val="24"/>
          <w:lang w:eastAsia="sk-SK"/>
        </w:rPr>
        <w:t>Predpokladá sa, že takmer polovica celkového rastu HDP očakávaného vplyvom uplatňovania dohody bude orientovaná do obchodu so službami. CETA prinesie nové príležitosti pre európskych exportérov služieb najmä v kľúčových sektoroch ako finančné služby, telekomunikácie, energetika, námorné služby. EÚ v CETA tak, ako vo všetkých svojich obchodných dohodách v plnom rozsahu ochraňuje služby vo verejnom záujme (napr. zásobovanie vodou, zdravotníctvo, sociálne služby alebo vzdelávanie). Členské štáty EÚ budú môcť naďalej prevádzkovať verejné monopoly pre konkrétnu službu</w:t>
      </w:r>
      <w:r w:rsidR="007B629F">
        <w:rPr>
          <w:rFonts w:eastAsia="Times New Roman"/>
          <w:szCs w:val="24"/>
          <w:lang w:eastAsia="sk-SK"/>
        </w:rPr>
        <w:t xml:space="preserve"> a b</w:t>
      </w:r>
      <w:r w:rsidRPr="00956874">
        <w:rPr>
          <w:rFonts w:eastAsia="Times New Roman"/>
          <w:szCs w:val="24"/>
          <w:lang w:eastAsia="sk-SK"/>
        </w:rPr>
        <w:t>udú môcť naďalej rozhodovať o tom, ktoré služby si chcú zachovať ako univerzálne a</w:t>
      </w:r>
      <w:r w:rsidR="007844A0">
        <w:rPr>
          <w:rFonts w:eastAsia="Times New Roman"/>
          <w:szCs w:val="24"/>
          <w:lang w:eastAsia="sk-SK"/>
        </w:rPr>
        <w:t> </w:t>
      </w:r>
      <w:r w:rsidRPr="00956874">
        <w:rPr>
          <w:rFonts w:eastAsia="Times New Roman"/>
          <w:szCs w:val="24"/>
          <w:lang w:eastAsia="sk-SK"/>
        </w:rPr>
        <w:t>verejné,  prípadne ich dotovať.</w:t>
      </w:r>
      <w:r w:rsidR="00EA1ECE">
        <w:rPr>
          <w:rFonts w:eastAsia="Times New Roman"/>
          <w:szCs w:val="24"/>
          <w:lang w:eastAsia="sk-SK"/>
        </w:rPr>
        <w:t xml:space="preserve"> Okrem toho CETA neobsahuje ustanovenie, ktoré by bránilo vláde členského štátu EÚ kedykoľvek v budúcnosti zmeniť akékoľvek autonómne rozhodnutie, ktoré prípadne prijala na účel privatizácie týchto sektorov.</w:t>
      </w:r>
    </w:p>
    <w:p w:rsidR="00956874" w:rsidRPr="00956874" w:rsidP="00956874">
      <w:pPr>
        <w:bidi w:val="0"/>
        <w:spacing w:before="100" w:beforeAutospacing="1" w:after="100" w:afterAutospacing="1"/>
        <w:ind w:left="48" w:firstLine="672"/>
        <w:jc w:val="both"/>
        <w:rPr>
          <w:rFonts w:eastAsia="Times New Roman"/>
          <w:szCs w:val="24"/>
          <w:lang w:eastAsia="sk-SK"/>
        </w:rPr>
      </w:pPr>
      <w:r w:rsidRPr="00956874">
        <w:rPr>
          <w:rFonts w:eastAsia="Times New Roman"/>
          <w:szCs w:val="24"/>
          <w:lang w:eastAsia="sk-SK"/>
        </w:rPr>
        <w:t>V oblasti regulačnej spolupráce strany vytvárajú fórum pre spoluprácu, ktoré bude fungovať ako dobrovoľný mechanizmus na výmenu skúsenost</w:t>
      </w:r>
      <w:r w:rsidR="00463F09">
        <w:rPr>
          <w:rFonts w:eastAsia="Times New Roman"/>
          <w:szCs w:val="24"/>
          <w:lang w:eastAsia="sk-SK"/>
        </w:rPr>
        <w:t>í</w:t>
      </w:r>
      <w:r w:rsidRPr="00956874">
        <w:rPr>
          <w:rFonts w:eastAsia="Times New Roman"/>
          <w:szCs w:val="24"/>
          <w:lang w:eastAsia="sk-SK"/>
        </w:rPr>
        <w:t xml:space="preserve"> a relevantných informácií medzi regulačnými orgánmi a na pomoc pri identifikovaní oblastí, v ktorých by mohli tieto inštitúcie spolupracovať. Nemá však kompetencie meniť existujúce predpisy, ani tvoriť nové právne predpisy. Žiadnym spôsobom neobmedzí rozhodovaciu právomoc regulačných orgánov v členských štátoch EÚ, ani na úrovni EÚ. </w:t>
      </w:r>
    </w:p>
    <w:p w:rsidR="00956874" w:rsidRPr="00956874" w:rsidP="00956874">
      <w:pPr>
        <w:bidi w:val="0"/>
        <w:spacing w:before="100" w:beforeAutospacing="1" w:after="100" w:afterAutospacing="1"/>
        <w:ind w:left="48" w:firstLine="672"/>
        <w:jc w:val="both"/>
        <w:rPr>
          <w:rFonts w:eastAsia="Times New Roman"/>
          <w:szCs w:val="24"/>
          <w:lang w:eastAsia="sk-SK"/>
        </w:rPr>
      </w:pPr>
      <w:r w:rsidRPr="00956874">
        <w:rPr>
          <w:rFonts w:eastAsia="Times New Roman"/>
          <w:szCs w:val="24"/>
          <w:lang w:eastAsia="sk-SK"/>
        </w:rPr>
        <w:t>Dohoda CETA obsahuje nový moderný prístup EÚ k</w:t>
      </w:r>
      <w:r w:rsidR="007643D0">
        <w:rPr>
          <w:rFonts w:eastAsia="Times New Roman"/>
          <w:szCs w:val="24"/>
          <w:lang w:eastAsia="sk-SK"/>
        </w:rPr>
        <w:t xml:space="preserve"> ochrane </w:t>
      </w:r>
      <w:r w:rsidRPr="00956874">
        <w:rPr>
          <w:rFonts w:eastAsia="Times New Roman"/>
          <w:szCs w:val="24"/>
          <w:lang w:eastAsia="sk-SK"/>
        </w:rPr>
        <w:t>investíci</w:t>
      </w:r>
      <w:r w:rsidR="007643D0">
        <w:rPr>
          <w:rFonts w:eastAsia="Times New Roman"/>
          <w:szCs w:val="24"/>
          <w:lang w:eastAsia="sk-SK"/>
        </w:rPr>
        <w:t>í a</w:t>
      </w:r>
      <w:r w:rsidRPr="00956874">
        <w:rPr>
          <w:rFonts w:eastAsia="Times New Roman"/>
          <w:szCs w:val="24"/>
          <w:lang w:eastAsia="sk-SK"/>
        </w:rPr>
        <w:t xml:space="preserve"> mechanizmu riešenia </w:t>
      </w:r>
      <w:r w:rsidR="007643D0">
        <w:rPr>
          <w:rFonts w:eastAsia="Times New Roman"/>
          <w:szCs w:val="24"/>
          <w:lang w:eastAsia="sk-SK"/>
        </w:rPr>
        <w:t xml:space="preserve">investičných </w:t>
      </w:r>
      <w:r w:rsidRPr="00956874">
        <w:rPr>
          <w:rFonts w:eastAsia="Times New Roman"/>
          <w:szCs w:val="24"/>
          <w:lang w:eastAsia="sk-SK"/>
        </w:rPr>
        <w:t xml:space="preserve">sporov. Zavádza dôležité inovácie v tejto oblasti, zabezpečuje vysokú úroveň ochrany investorov, pričom plne zachováva právo vlád regulovať a presadzovať oprávnené ciele verejnej politiky, pokiaľ ide o ochranu zdravia, bezpečnosti alebo životného prostredia. CETA predstavuje významný zlom v tradičnom prístupe k ochrane investícií </w:t>
      </w:r>
      <w:r w:rsidR="007F39AF">
        <w:rPr>
          <w:rFonts w:eastAsia="Times New Roman"/>
          <w:szCs w:val="24"/>
          <w:lang w:eastAsia="sk-SK"/>
        </w:rPr>
        <w:br/>
      </w:r>
      <w:r w:rsidRPr="00956874">
        <w:rPr>
          <w:rFonts w:eastAsia="Times New Roman"/>
          <w:szCs w:val="24"/>
          <w:lang w:eastAsia="sk-SK"/>
        </w:rPr>
        <w:t>a riešeniu investičných sporov vo väčšine existujúcich bilaterálnych investičných</w:t>
      </w:r>
      <w:r w:rsidR="004F2E0D">
        <w:rPr>
          <w:rFonts w:eastAsia="Times New Roman"/>
          <w:szCs w:val="24"/>
          <w:lang w:eastAsia="sk-SK"/>
        </w:rPr>
        <w:t xml:space="preserve"> zmlúv. </w:t>
      </w:r>
      <w:r w:rsidRPr="007643D0" w:rsidR="007643D0">
        <w:rPr>
          <w:rFonts w:eastAsia="Times New Roman"/>
          <w:szCs w:val="24"/>
          <w:lang w:eastAsia="sk-SK"/>
        </w:rPr>
        <w:t>Spresňuje štandardy ochrany, čím zabraňuje ich širokej interpretácii</w:t>
      </w:r>
      <w:r w:rsidR="007643D0">
        <w:rPr>
          <w:rFonts w:eastAsia="Times New Roman"/>
          <w:szCs w:val="24"/>
          <w:lang w:eastAsia="sk-SK"/>
        </w:rPr>
        <w:t xml:space="preserve">, </w:t>
      </w:r>
      <w:r w:rsidRPr="00956874">
        <w:rPr>
          <w:rFonts w:eastAsia="Times New Roman"/>
          <w:szCs w:val="24"/>
          <w:lang w:eastAsia="sk-SK"/>
        </w:rPr>
        <w:t>vytvára nezávislý systém skladajúci sa zo stáleho</w:t>
      </w:r>
      <w:r w:rsidR="007643D0">
        <w:rPr>
          <w:rFonts w:eastAsia="Times New Roman"/>
          <w:szCs w:val="24"/>
          <w:lang w:eastAsia="sk-SK"/>
        </w:rPr>
        <w:t xml:space="preserve"> prvostupňového </w:t>
      </w:r>
      <w:r w:rsidRPr="00956874">
        <w:rPr>
          <w:rFonts w:eastAsia="Times New Roman"/>
          <w:szCs w:val="24"/>
          <w:lang w:eastAsia="sk-SK"/>
        </w:rPr>
        <w:t>tribunálu a odvolacieho tribunálu</w:t>
      </w:r>
      <w:r w:rsidR="007643D0">
        <w:rPr>
          <w:rFonts w:eastAsia="Times New Roman"/>
          <w:szCs w:val="24"/>
          <w:lang w:eastAsia="sk-SK"/>
        </w:rPr>
        <w:t xml:space="preserve"> vymenovaných zmluvnými stranami</w:t>
      </w:r>
      <w:r w:rsidRPr="00956874">
        <w:rPr>
          <w:rFonts w:eastAsia="Times New Roman"/>
          <w:szCs w:val="24"/>
          <w:lang w:eastAsia="sk-SK"/>
        </w:rPr>
        <w:t xml:space="preserve">, ktoré budú viesť konania o riešení </w:t>
      </w:r>
      <w:r w:rsidR="007643D0">
        <w:rPr>
          <w:rFonts w:eastAsia="Times New Roman"/>
          <w:szCs w:val="24"/>
          <w:lang w:eastAsia="sk-SK"/>
        </w:rPr>
        <w:t xml:space="preserve">investičného </w:t>
      </w:r>
      <w:r w:rsidRPr="00956874">
        <w:rPr>
          <w:rFonts w:eastAsia="Times New Roman"/>
          <w:szCs w:val="24"/>
          <w:lang w:eastAsia="sk-SK"/>
        </w:rPr>
        <w:t>sporu transparentným a nestranným spôsobom. CETA tiež obsahuje ustanovenia o transparentnosti investičných sporov, etický kódex pre členov tribunálu</w:t>
      </w:r>
      <w:r w:rsidR="007643D0">
        <w:rPr>
          <w:rFonts w:eastAsia="Times New Roman"/>
          <w:szCs w:val="24"/>
          <w:lang w:eastAsia="sk-SK"/>
        </w:rPr>
        <w:t xml:space="preserve"> a mediátorov</w:t>
      </w:r>
      <w:r w:rsidRPr="00956874">
        <w:rPr>
          <w:rFonts w:eastAsia="Times New Roman"/>
          <w:szCs w:val="24"/>
          <w:lang w:eastAsia="sk-SK"/>
        </w:rPr>
        <w:t xml:space="preserve">, vylučuje paralelné konania, obsahuje jasnejšie a presnejšie štandardy ochrany investícií, jasne definuje „nepriame vyvlastnenie“, nechráni „schránkové“ firmy, obsahuje rýchly systém na odmietnutie špekulatívnych žalôb. </w:t>
      </w:r>
      <w:r w:rsidR="007643D0">
        <w:rPr>
          <w:rFonts w:eastAsia="Times New Roman"/>
          <w:szCs w:val="24"/>
          <w:lang w:eastAsia="sk-SK"/>
        </w:rPr>
        <w:t>Ustanovenia o ochrane investícií a n</w:t>
      </w:r>
      <w:r w:rsidRPr="00956874">
        <w:rPr>
          <w:rFonts w:eastAsia="Times New Roman"/>
          <w:szCs w:val="24"/>
          <w:lang w:eastAsia="sk-SK"/>
        </w:rPr>
        <w:t>ový investičný súdny systém v CETA nahrad</w:t>
      </w:r>
      <w:r w:rsidR="007643D0">
        <w:rPr>
          <w:rFonts w:eastAsia="Times New Roman"/>
          <w:szCs w:val="24"/>
          <w:lang w:eastAsia="sk-SK"/>
        </w:rPr>
        <w:t>ia</w:t>
      </w:r>
      <w:r w:rsidRPr="00956874">
        <w:rPr>
          <w:rFonts w:eastAsia="Times New Roman"/>
          <w:szCs w:val="24"/>
          <w:lang w:eastAsia="sk-SK"/>
        </w:rPr>
        <w:t xml:space="preserve"> bilaterálnu Zmluvu medzi Slovenskou republikou a Kanadou o</w:t>
      </w:r>
      <w:r w:rsidR="007844A0">
        <w:rPr>
          <w:rFonts w:eastAsia="Times New Roman"/>
          <w:szCs w:val="24"/>
          <w:lang w:eastAsia="sk-SK"/>
        </w:rPr>
        <w:t> </w:t>
      </w:r>
      <w:r w:rsidRPr="00956874">
        <w:rPr>
          <w:rFonts w:eastAsia="Times New Roman"/>
          <w:szCs w:val="24"/>
          <w:lang w:eastAsia="sk-SK"/>
        </w:rPr>
        <w:t>podpore a ochrane investícií (publikovaná v Zbierke zákonov SR pod č. 26/2012 Z. z.).</w:t>
      </w:r>
    </w:p>
    <w:p w:rsidR="00956874" w:rsidRPr="00956874" w:rsidP="00956874">
      <w:pPr>
        <w:bidi w:val="0"/>
        <w:spacing w:before="100" w:beforeAutospacing="1" w:after="100" w:afterAutospacing="1"/>
        <w:ind w:left="48" w:firstLine="672"/>
        <w:jc w:val="both"/>
        <w:rPr>
          <w:rFonts w:eastAsia="Times New Roman"/>
          <w:szCs w:val="24"/>
          <w:lang w:eastAsia="sk-SK"/>
        </w:rPr>
      </w:pPr>
      <w:r w:rsidRPr="00956874">
        <w:rPr>
          <w:rFonts w:eastAsia="Times New Roman"/>
          <w:szCs w:val="24"/>
          <w:lang w:eastAsia="sk-SK"/>
        </w:rPr>
        <w:t>Dohoda tiež obsahuje kapitoly o obchode a udržateľnom rozvoji, obchode a</w:t>
      </w:r>
      <w:r w:rsidR="007844A0">
        <w:rPr>
          <w:rFonts w:eastAsia="Times New Roman"/>
          <w:szCs w:val="24"/>
          <w:lang w:eastAsia="sk-SK"/>
        </w:rPr>
        <w:t> </w:t>
      </w:r>
      <w:r w:rsidRPr="00956874">
        <w:rPr>
          <w:rFonts w:eastAsia="Times New Roman"/>
          <w:szCs w:val="24"/>
          <w:lang w:eastAsia="sk-SK"/>
        </w:rPr>
        <w:t>pracovných štandardoch a obchode a životnom prostredí, ktoré spájajú obchodnú dohodu s</w:t>
      </w:r>
      <w:r w:rsidR="007844A0">
        <w:rPr>
          <w:rFonts w:eastAsia="Times New Roman"/>
          <w:szCs w:val="24"/>
          <w:lang w:eastAsia="sk-SK"/>
        </w:rPr>
        <w:t> </w:t>
      </w:r>
      <w:r w:rsidRPr="00956874">
        <w:rPr>
          <w:rFonts w:eastAsia="Times New Roman"/>
          <w:szCs w:val="24"/>
          <w:lang w:eastAsia="sk-SK"/>
        </w:rPr>
        <w:t>celkovými cieľmi EÚ týkajúcimi sa udržateľného rozvoja a konkrétnymi cieľmi v oblasti pracovných záležitostí, životného prostredia a zmeny klímy.</w:t>
      </w:r>
    </w:p>
    <w:p w:rsidR="00956874" w:rsidRPr="00956874" w:rsidP="00956874">
      <w:pPr>
        <w:bidi w:val="0"/>
        <w:spacing w:before="100" w:beforeAutospacing="1" w:after="100" w:afterAutospacing="1"/>
        <w:ind w:left="48"/>
        <w:jc w:val="both"/>
        <w:rPr>
          <w:rFonts w:eastAsia="Times New Roman"/>
          <w:b/>
          <w:szCs w:val="24"/>
          <w:lang w:eastAsia="sk-SK"/>
        </w:rPr>
      </w:pPr>
      <w:r w:rsidR="00C44184">
        <w:rPr>
          <w:rFonts w:eastAsia="Times New Roman"/>
          <w:b/>
          <w:szCs w:val="24"/>
          <w:lang w:eastAsia="sk-SK"/>
        </w:rPr>
        <w:t>Dosahy na SR</w:t>
      </w:r>
    </w:p>
    <w:p w:rsidR="00956874" w:rsidRPr="00956874" w:rsidP="007844A0">
      <w:pPr>
        <w:bidi w:val="0"/>
        <w:spacing w:before="100" w:beforeAutospacing="1" w:after="100" w:afterAutospacing="1"/>
        <w:ind w:firstLine="709"/>
        <w:jc w:val="both"/>
        <w:rPr>
          <w:rFonts w:eastAsia="Times New Roman"/>
          <w:szCs w:val="24"/>
          <w:lang w:eastAsia="sk-SK"/>
        </w:rPr>
      </w:pPr>
      <w:r w:rsidRPr="00956874">
        <w:rPr>
          <w:rFonts w:eastAsia="Times New Roman"/>
          <w:szCs w:val="24"/>
          <w:lang w:eastAsia="sk-SK"/>
        </w:rPr>
        <w:t xml:space="preserve">MH SR ako gestor dohody zadalo vypracovanie analýzy dopadov Komplexnej hospodárskej a obchodnej dohody medzi EÚ a Kanadou na SR, ktorej cieľom bolo definovať dosahy na poľnohospodárstvo a potravinárstvo, dosahy na makroekonomické ukazovatele SR, ako i vybrané sektory ekonomiky SR (automobilový, strojárenský a elektrotechnický sektor). Zhotoviteľmi analýzy boli Ekonomický ústav Slovenskej akadémie vied a Národné poľnohospodárske a potravinárske centrum. Kompletný text analýzy je prístupný na webovej stránke MH SR </w:t>
      </w:r>
      <w:hyperlink r:id="rId6" w:history="1">
        <w:r w:rsidRPr="00956874">
          <w:rPr>
            <w:rFonts w:eastAsia="Times New Roman"/>
            <w:color w:val="0000FF"/>
            <w:szCs w:val="24"/>
            <w:u w:val="single"/>
            <w:lang w:eastAsia="sk-SK"/>
          </w:rPr>
          <w:t>http://www.mhsr.sk/obchod/obchodne-vztahy-s-tretimi-krajinami/dohody-eu-s-tretimi-krajinami/komplexna-hospodarska-a-obchodna-dohoda-medzi-eu-a-kanadou-ceta/sektorova-analyza-dopadov-ceta-na-sr</w:t>
        </w:r>
      </w:hyperlink>
      <w:r w:rsidRPr="00956874">
        <w:rPr>
          <w:rFonts w:eastAsia="Times New Roman"/>
          <w:szCs w:val="24"/>
          <w:lang w:eastAsia="sk-SK"/>
        </w:rPr>
        <w:t xml:space="preserve"> </w:t>
      </w:r>
      <w:r w:rsidRPr="00956874">
        <w:rPr>
          <w:rFonts w:eastAsia="Times New Roman"/>
          <w:color w:val="FF0000"/>
          <w:szCs w:val="24"/>
          <w:lang w:eastAsia="sk-SK"/>
        </w:rPr>
        <w:t xml:space="preserve"> </w:t>
      </w:r>
      <w:r w:rsidRPr="00956874">
        <w:rPr>
          <w:rFonts w:eastAsia="Times New Roman"/>
          <w:szCs w:val="24"/>
          <w:lang w:eastAsia="sk-SK"/>
        </w:rPr>
        <w:t xml:space="preserve">. </w:t>
      </w:r>
    </w:p>
    <w:p w:rsidR="00956874" w:rsidRPr="00956874" w:rsidP="00956874">
      <w:pPr>
        <w:bidi w:val="0"/>
        <w:spacing w:before="100" w:beforeAutospacing="1" w:after="100" w:afterAutospacing="1"/>
        <w:jc w:val="both"/>
        <w:rPr>
          <w:rFonts w:eastAsia="Times New Roman"/>
          <w:szCs w:val="24"/>
          <w:lang w:eastAsia="sk-SK"/>
        </w:rPr>
      </w:pPr>
      <w:r w:rsidRPr="00956874">
        <w:rPr>
          <w:rFonts w:eastAsia="Times New Roman"/>
          <w:szCs w:val="24"/>
          <w:lang w:eastAsia="sk-SK"/>
        </w:rPr>
        <w:t>Spoločné závery zhotoviteľov analýzy sú nasledovné:</w:t>
      </w:r>
    </w:p>
    <w:p w:rsidR="00956874" w:rsidRPr="00956874" w:rsidP="00956874">
      <w:pPr>
        <w:bidi w:val="0"/>
        <w:spacing w:before="100" w:beforeAutospacing="1" w:after="100" w:afterAutospacing="1"/>
        <w:jc w:val="both"/>
        <w:rPr>
          <w:rFonts w:eastAsia="Times New Roman"/>
          <w:b/>
          <w:szCs w:val="24"/>
          <w:lang w:eastAsia="sk-SK"/>
        </w:rPr>
      </w:pPr>
      <w:r w:rsidRPr="00956874">
        <w:rPr>
          <w:rFonts w:eastAsia="Times New Roman"/>
          <w:b/>
          <w:szCs w:val="24"/>
          <w:lang w:eastAsia="sk-SK"/>
        </w:rPr>
        <w:t>Národohospodárske efekty</w:t>
      </w:r>
    </w:p>
    <w:p w:rsidR="00956874" w:rsidRPr="00956874" w:rsidP="00673452">
      <w:pPr>
        <w:numPr>
          <w:numId w:val="3"/>
        </w:numPr>
        <w:bidi w:val="0"/>
        <w:spacing w:before="120" w:after="200"/>
        <w:ind w:left="142" w:hanging="142"/>
        <w:jc w:val="both"/>
        <w:rPr>
          <w:rFonts w:eastAsia="Times New Roman"/>
          <w:szCs w:val="24"/>
          <w:lang w:eastAsia="sk-SK"/>
        </w:rPr>
      </w:pPr>
      <w:r w:rsidRPr="00956874">
        <w:rPr>
          <w:rFonts w:eastAsia="Times New Roman"/>
          <w:szCs w:val="24"/>
          <w:lang w:eastAsia="sk-SK"/>
        </w:rPr>
        <w:t>Slovenská ekonomika sa v dôsledku prílevu priamych zahraničných investícií (PZI) špecializuje najmä na priemyselné sektory s proexportne orientovanou produkciou, tzn. na vývoz priemyselných výrobkov a dovoz potravín.</w:t>
      </w:r>
    </w:p>
    <w:p w:rsidR="00956874" w:rsidRPr="00956874" w:rsidP="00C44184">
      <w:pPr>
        <w:bidi w:val="0"/>
        <w:spacing w:before="120"/>
        <w:ind w:left="142"/>
        <w:jc w:val="both"/>
        <w:rPr>
          <w:rFonts w:eastAsia="Times New Roman"/>
          <w:b/>
          <w:szCs w:val="24"/>
          <w:lang w:eastAsia="sk-SK"/>
        </w:rPr>
      </w:pPr>
      <w:r w:rsidRPr="00956874">
        <w:rPr>
          <w:rFonts w:eastAsia="Times New Roman"/>
          <w:szCs w:val="24"/>
          <w:lang w:eastAsia="sk-SK"/>
        </w:rPr>
        <w:t xml:space="preserve">Liberalizácia obchodu EÚ s Kanadou bude naďalej </w:t>
      </w:r>
      <w:r w:rsidRPr="00956874">
        <w:rPr>
          <w:rFonts w:eastAsia="Times New Roman"/>
          <w:b/>
          <w:szCs w:val="24"/>
          <w:lang w:eastAsia="sk-SK"/>
        </w:rPr>
        <w:t>posilňovať špecializáciu SR na priemyselné sektory.</w:t>
      </w:r>
    </w:p>
    <w:p w:rsidR="00956874" w:rsidRPr="00956874" w:rsidP="00673452">
      <w:pPr>
        <w:numPr>
          <w:numId w:val="3"/>
        </w:numPr>
        <w:bidi w:val="0"/>
        <w:spacing w:before="120" w:after="200"/>
        <w:ind w:left="142" w:hanging="142"/>
        <w:jc w:val="both"/>
        <w:rPr>
          <w:rFonts w:eastAsia="Times New Roman"/>
          <w:szCs w:val="24"/>
          <w:lang w:eastAsia="sk-SK"/>
        </w:rPr>
      </w:pPr>
      <w:r w:rsidRPr="00956874">
        <w:rPr>
          <w:rFonts w:eastAsia="Times New Roman"/>
          <w:szCs w:val="24"/>
          <w:lang w:eastAsia="sk-SK"/>
        </w:rPr>
        <w:t xml:space="preserve">Na základe rôznych variantov vývoja v dôsledku odstránenia tarifných prekážok sa </w:t>
      </w:r>
      <w:r w:rsidRPr="00956874">
        <w:rPr>
          <w:rFonts w:eastAsia="Times New Roman"/>
          <w:b/>
          <w:szCs w:val="24"/>
          <w:lang w:eastAsia="sk-SK"/>
        </w:rPr>
        <w:t>vplyv</w:t>
      </w:r>
      <w:r w:rsidRPr="00956874">
        <w:rPr>
          <w:rFonts w:eastAsia="Times New Roman"/>
          <w:szCs w:val="24"/>
          <w:lang w:eastAsia="sk-SK"/>
        </w:rPr>
        <w:t xml:space="preserve"> Komplexnej hospodárskej a obchodnej dohody – CETA (</w:t>
      </w:r>
      <w:r w:rsidRPr="00956874">
        <w:rPr>
          <w:rFonts w:eastAsia="Times New Roman"/>
          <w:i/>
          <w:szCs w:val="24"/>
          <w:lang w:eastAsia="sk-SK"/>
        </w:rPr>
        <w:t>Comprehensive Economic and Trade Agreement</w:t>
      </w:r>
      <w:r w:rsidRPr="00956874">
        <w:rPr>
          <w:rFonts w:eastAsia="Times New Roman"/>
          <w:szCs w:val="24"/>
          <w:lang w:eastAsia="sk-SK"/>
        </w:rPr>
        <w:t xml:space="preserve">) na slovenskú ekonomiku očakáva v priemere na </w:t>
      </w:r>
      <w:r w:rsidRPr="00956874">
        <w:rPr>
          <w:rFonts w:eastAsia="Times New Roman"/>
          <w:b/>
          <w:szCs w:val="24"/>
          <w:lang w:eastAsia="sk-SK"/>
        </w:rPr>
        <w:t>úrovni 0,013 % HDP</w:t>
      </w:r>
      <w:r w:rsidRPr="00956874">
        <w:rPr>
          <w:rFonts w:eastAsia="Times New Roman"/>
          <w:szCs w:val="24"/>
          <w:lang w:eastAsia="sk-SK"/>
        </w:rPr>
        <w:t>.</w:t>
      </w:r>
    </w:p>
    <w:p w:rsidR="00956874" w:rsidRPr="00956874" w:rsidP="00673452">
      <w:pPr>
        <w:numPr>
          <w:numId w:val="3"/>
        </w:numPr>
        <w:bidi w:val="0"/>
        <w:spacing w:before="120" w:after="200"/>
        <w:ind w:left="142" w:hanging="142"/>
        <w:jc w:val="both"/>
        <w:rPr>
          <w:rFonts w:eastAsia="Times New Roman"/>
          <w:szCs w:val="24"/>
          <w:lang w:eastAsia="sk-SK"/>
        </w:rPr>
      </w:pPr>
      <w:r w:rsidRPr="00956874">
        <w:rPr>
          <w:rFonts w:eastAsia="Times New Roman"/>
          <w:szCs w:val="24"/>
          <w:lang w:eastAsia="sk-SK"/>
        </w:rPr>
        <w:t xml:space="preserve">Vplyv dohody CETA </w:t>
      </w:r>
      <w:r w:rsidRPr="00956874">
        <w:rPr>
          <w:rFonts w:eastAsia="Times New Roman"/>
          <w:b/>
          <w:szCs w:val="24"/>
          <w:lang w:eastAsia="sk-SK"/>
        </w:rPr>
        <w:t>na tvorbu pracovných miest</w:t>
      </w:r>
      <w:r w:rsidRPr="00956874">
        <w:rPr>
          <w:rFonts w:eastAsia="Times New Roman"/>
          <w:szCs w:val="24"/>
          <w:lang w:eastAsia="sk-SK"/>
        </w:rPr>
        <w:t xml:space="preserve"> na Slovensku sa predpokladá na úrovni </w:t>
      </w:r>
      <w:r w:rsidRPr="00956874">
        <w:rPr>
          <w:rFonts w:eastAsia="Times New Roman"/>
          <w:b/>
          <w:szCs w:val="24"/>
          <w:lang w:eastAsia="sk-SK"/>
        </w:rPr>
        <w:t>0,012 % celkovej zamestnanosti</w:t>
      </w:r>
      <w:r w:rsidRPr="00956874">
        <w:rPr>
          <w:rFonts w:eastAsia="Times New Roman"/>
          <w:szCs w:val="24"/>
          <w:lang w:eastAsia="sk-SK"/>
        </w:rPr>
        <w:t>.</w:t>
      </w:r>
    </w:p>
    <w:p w:rsidR="00956874" w:rsidRPr="00956874" w:rsidP="00673452">
      <w:pPr>
        <w:numPr>
          <w:numId w:val="3"/>
        </w:numPr>
        <w:bidi w:val="0"/>
        <w:spacing w:before="120" w:after="200"/>
        <w:ind w:left="142" w:hanging="142"/>
        <w:jc w:val="both"/>
        <w:rPr>
          <w:rFonts w:eastAsia="Times New Roman"/>
          <w:szCs w:val="24"/>
          <w:lang w:eastAsia="sk-SK"/>
        </w:rPr>
      </w:pPr>
      <w:r w:rsidRPr="00956874">
        <w:rPr>
          <w:rFonts w:eastAsia="Times New Roman"/>
          <w:szCs w:val="24"/>
          <w:lang w:eastAsia="sk-SK"/>
        </w:rPr>
        <w:t xml:space="preserve">Prijatie dohody CETA bude mať </w:t>
      </w:r>
      <w:r w:rsidRPr="00956874">
        <w:rPr>
          <w:rFonts w:eastAsia="Times New Roman"/>
          <w:b/>
          <w:szCs w:val="24"/>
          <w:lang w:eastAsia="sk-SK"/>
        </w:rPr>
        <w:t>pozitívny efekt na čistú zahraničnoobchodnú výmenu</w:t>
      </w:r>
      <w:r w:rsidRPr="00956874">
        <w:rPr>
          <w:rFonts w:eastAsia="Times New Roman"/>
          <w:szCs w:val="24"/>
          <w:lang w:eastAsia="sk-SK"/>
        </w:rPr>
        <w:t xml:space="preserve"> medzi Slovenskou republikou a Kanadou, a to </w:t>
      </w:r>
      <w:r w:rsidRPr="00956874">
        <w:rPr>
          <w:rFonts w:eastAsia="Times New Roman"/>
          <w:b/>
          <w:szCs w:val="24"/>
          <w:lang w:eastAsia="sk-SK"/>
        </w:rPr>
        <w:t>najmä</w:t>
      </w:r>
      <w:r w:rsidRPr="00956874">
        <w:rPr>
          <w:rFonts w:eastAsia="Times New Roman"/>
          <w:szCs w:val="24"/>
          <w:lang w:eastAsia="sk-SK"/>
        </w:rPr>
        <w:t xml:space="preserve"> vďaka očakávaným </w:t>
      </w:r>
      <w:r w:rsidRPr="00956874">
        <w:rPr>
          <w:rFonts w:eastAsia="Times New Roman"/>
          <w:b/>
          <w:szCs w:val="24"/>
          <w:lang w:eastAsia="sk-SK"/>
        </w:rPr>
        <w:t>pozitívnym efektom v automobilovom priemysle</w:t>
      </w:r>
      <w:r w:rsidRPr="00956874">
        <w:rPr>
          <w:rFonts w:eastAsia="Times New Roman"/>
          <w:szCs w:val="24"/>
          <w:lang w:eastAsia="sk-SK"/>
        </w:rPr>
        <w:t>.</w:t>
      </w:r>
    </w:p>
    <w:p w:rsidR="00956874" w:rsidRPr="00956874" w:rsidP="00673452">
      <w:pPr>
        <w:numPr>
          <w:numId w:val="3"/>
        </w:numPr>
        <w:bidi w:val="0"/>
        <w:spacing w:before="120" w:after="200"/>
        <w:ind w:left="142" w:hanging="142"/>
        <w:jc w:val="both"/>
        <w:rPr>
          <w:rFonts w:eastAsia="Times New Roman"/>
          <w:szCs w:val="24"/>
          <w:lang w:eastAsia="sk-SK"/>
        </w:rPr>
      </w:pPr>
      <w:r w:rsidRPr="00956874">
        <w:rPr>
          <w:rFonts w:eastAsia="Times New Roman"/>
          <w:b/>
          <w:szCs w:val="24"/>
          <w:lang w:eastAsia="sk-SK"/>
        </w:rPr>
        <w:t>Odstránenie tarifných</w:t>
      </w:r>
      <w:r w:rsidRPr="00956874">
        <w:rPr>
          <w:rFonts w:eastAsia="Times New Roman"/>
          <w:szCs w:val="24"/>
          <w:lang w:eastAsia="sk-SK"/>
        </w:rPr>
        <w:t xml:space="preserve"> prekážok by malo viesť k zvýšeniu vývozu do Kanady v priemere o</w:t>
      </w:r>
      <w:r w:rsidR="00C44184">
        <w:rPr>
          <w:rFonts w:eastAsia="Times New Roman"/>
          <w:szCs w:val="24"/>
          <w:lang w:eastAsia="sk-SK"/>
        </w:rPr>
        <w:t> </w:t>
      </w:r>
      <w:r w:rsidRPr="00956874">
        <w:rPr>
          <w:rFonts w:eastAsia="Times New Roman"/>
          <w:szCs w:val="24"/>
          <w:lang w:eastAsia="sk-SK"/>
        </w:rPr>
        <w:t>8 %, v prípade vysokej reakcie na pokles cien až o 18 %.</w:t>
      </w:r>
    </w:p>
    <w:p w:rsidR="00956874" w:rsidRPr="00956874" w:rsidP="00673452">
      <w:pPr>
        <w:numPr>
          <w:numId w:val="3"/>
        </w:numPr>
        <w:bidi w:val="0"/>
        <w:spacing w:before="120" w:after="200"/>
        <w:ind w:left="142" w:hanging="142"/>
        <w:jc w:val="both"/>
        <w:rPr>
          <w:rFonts w:eastAsia="Times New Roman"/>
          <w:szCs w:val="24"/>
          <w:lang w:eastAsia="sk-SK"/>
        </w:rPr>
      </w:pPr>
      <w:r w:rsidRPr="00956874">
        <w:rPr>
          <w:rFonts w:eastAsia="Times New Roman"/>
          <w:b/>
          <w:szCs w:val="24"/>
          <w:lang w:eastAsia="sk-SK"/>
        </w:rPr>
        <w:t>Odstránením tarifných</w:t>
      </w:r>
      <w:r w:rsidRPr="00956874">
        <w:rPr>
          <w:rFonts w:eastAsia="Times New Roman"/>
          <w:szCs w:val="24"/>
          <w:lang w:eastAsia="sk-SK"/>
        </w:rPr>
        <w:t xml:space="preserve"> opatrení a </w:t>
      </w:r>
      <w:r w:rsidRPr="00956874">
        <w:rPr>
          <w:rFonts w:eastAsia="Times New Roman"/>
          <w:b/>
          <w:szCs w:val="24"/>
          <w:lang w:eastAsia="sk-SK"/>
        </w:rPr>
        <w:t>netarifných bariér bol</w:t>
      </w:r>
      <w:r w:rsidRPr="00956874">
        <w:rPr>
          <w:rFonts w:eastAsia="Times New Roman"/>
          <w:szCs w:val="24"/>
          <w:lang w:eastAsia="sk-SK"/>
        </w:rPr>
        <w:t xml:space="preserve"> pre všetky odvetvia hospodárstva SR </w:t>
      </w:r>
      <w:r w:rsidRPr="00956874">
        <w:rPr>
          <w:rFonts w:eastAsia="Times New Roman"/>
          <w:b/>
          <w:szCs w:val="24"/>
          <w:lang w:eastAsia="sk-SK"/>
        </w:rPr>
        <w:t>indikovaný potenciál zvýšenia vývozu v rozsahu 30 – 38 %.</w:t>
      </w:r>
      <w:r w:rsidRPr="00956874">
        <w:rPr>
          <w:rFonts w:eastAsia="Times New Roman"/>
          <w:szCs w:val="24"/>
          <w:lang w:eastAsia="sk-SK"/>
        </w:rPr>
        <w:t xml:space="preserve"> Ročne to pri vývoze do Kanady predstavuje zvýšenie o </w:t>
      </w:r>
      <w:r w:rsidRPr="00956874">
        <w:rPr>
          <w:rFonts w:eastAsia="Times New Roman"/>
          <w:b/>
          <w:szCs w:val="24"/>
          <w:lang w:eastAsia="sk-SK"/>
        </w:rPr>
        <w:t>68,1 – 88,1 mil. USD (57,1 – 73,9 mil. EUR)</w:t>
      </w:r>
      <w:r>
        <w:rPr>
          <w:rFonts w:eastAsia="Times New Roman"/>
          <w:szCs w:val="24"/>
          <w:vertAlign w:val="superscript"/>
          <w:rtl w:val="0"/>
          <w:lang w:eastAsia="sk-SK"/>
        </w:rPr>
        <w:footnoteReference w:id="2"/>
      </w:r>
      <w:r w:rsidRPr="00956874">
        <w:rPr>
          <w:rFonts w:eastAsia="Times New Roman"/>
          <w:szCs w:val="24"/>
          <w:lang w:eastAsia="sk-SK"/>
        </w:rPr>
        <w:t>.</w:t>
      </w:r>
    </w:p>
    <w:p w:rsidR="00956874" w:rsidRPr="00956874" w:rsidP="004F2E0D">
      <w:pPr>
        <w:bidi w:val="0"/>
        <w:spacing w:before="100" w:beforeAutospacing="1" w:after="100" w:afterAutospacing="1"/>
        <w:jc w:val="both"/>
        <w:rPr>
          <w:rFonts w:eastAsia="Times New Roman"/>
          <w:b/>
          <w:szCs w:val="24"/>
          <w:lang w:eastAsia="sk-SK"/>
        </w:rPr>
      </w:pPr>
      <w:r w:rsidRPr="00956874">
        <w:rPr>
          <w:rFonts w:eastAsia="Times New Roman"/>
          <w:b/>
          <w:szCs w:val="24"/>
          <w:lang w:eastAsia="sk-SK"/>
        </w:rPr>
        <w:t>Poľnohospodárstvo a potravinárstvo</w:t>
      </w:r>
    </w:p>
    <w:p w:rsidR="00956874" w:rsidRPr="00956874" w:rsidP="00673452">
      <w:pPr>
        <w:numPr>
          <w:numId w:val="4"/>
        </w:numPr>
        <w:bidi w:val="0"/>
        <w:spacing w:after="120"/>
        <w:ind w:left="142" w:hanging="142"/>
        <w:jc w:val="both"/>
        <w:rPr>
          <w:rFonts w:eastAsia="Times New Roman"/>
          <w:szCs w:val="24"/>
          <w:lang w:eastAsia="sk-SK"/>
        </w:rPr>
      </w:pPr>
      <w:r w:rsidRPr="00956874">
        <w:rPr>
          <w:rFonts w:eastAsia="Times New Roman"/>
          <w:szCs w:val="24"/>
          <w:lang w:eastAsia="sk-SK"/>
        </w:rPr>
        <w:t xml:space="preserve">Agropotravinársky zahraničný obchod SR s Kanadou dosahuje nízke objemy. Podiel Kanady na dovoze SR pri agropotravinárskych komoditách dosahuje </w:t>
      </w:r>
      <w:r w:rsidRPr="00956874">
        <w:rPr>
          <w:rFonts w:eastAsia="Times New Roman"/>
          <w:b/>
          <w:szCs w:val="24"/>
          <w:lang w:eastAsia="sk-SK"/>
        </w:rPr>
        <w:t>len 0,16</w:t>
      </w:r>
      <w:r w:rsidR="001424C9">
        <w:rPr>
          <w:rFonts w:eastAsia="Times New Roman"/>
          <w:b/>
          <w:szCs w:val="24"/>
          <w:lang w:eastAsia="sk-SK"/>
        </w:rPr>
        <w:t> </w:t>
      </w:r>
      <w:r w:rsidRPr="00956874">
        <w:rPr>
          <w:rFonts w:eastAsia="Times New Roman"/>
          <w:b/>
          <w:szCs w:val="24"/>
          <w:lang w:eastAsia="sk-SK"/>
        </w:rPr>
        <w:t>%</w:t>
      </w:r>
      <w:r w:rsidRPr="00956874">
        <w:rPr>
          <w:rFonts w:eastAsia="Times New Roman"/>
          <w:szCs w:val="24"/>
          <w:lang w:eastAsia="sk-SK"/>
        </w:rPr>
        <w:t xml:space="preserve"> a na vývoze </w:t>
      </w:r>
      <w:r w:rsidRPr="00956874">
        <w:rPr>
          <w:rFonts w:eastAsia="Times New Roman"/>
          <w:b/>
          <w:szCs w:val="24"/>
          <w:lang w:eastAsia="sk-SK"/>
        </w:rPr>
        <w:t>dokonca len 0,06 %</w:t>
      </w:r>
      <w:r w:rsidRPr="00956874">
        <w:rPr>
          <w:rFonts w:eastAsia="Times New Roman"/>
          <w:szCs w:val="24"/>
          <w:lang w:eastAsia="sk-SK"/>
        </w:rPr>
        <w:t>.</w:t>
      </w:r>
    </w:p>
    <w:p w:rsidR="00956874" w:rsidRPr="00956874" w:rsidP="00673452">
      <w:pPr>
        <w:numPr>
          <w:numId w:val="4"/>
        </w:numPr>
        <w:bidi w:val="0"/>
        <w:spacing w:after="120"/>
        <w:ind w:left="142" w:hanging="142"/>
        <w:jc w:val="both"/>
        <w:rPr>
          <w:rFonts w:eastAsia="Times New Roman"/>
          <w:szCs w:val="24"/>
          <w:lang w:eastAsia="sk-SK"/>
        </w:rPr>
      </w:pPr>
      <w:r w:rsidRPr="00956874">
        <w:rPr>
          <w:rFonts w:eastAsia="Times New Roman"/>
          <w:b/>
          <w:szCs w:val="24"/>
          <w:lang w:eastAsia="sk-SK"/>
        </w:rPr>
        <w:t>Liberalizácia dovozných ciel by znamenala úsporu pre slovenských výrobcov</w:t>
      </w:r>
      <w:r w:rsidRPr="00956874">
        <w:rPr>
          <w:rFonts w:eastAsia="Times New Roman"/>
          <w:szCs w:val="24"/>
          <w:lang w:eastAsia="sk-SK"/>
        </w:rPr>
        <w:t>, hlavne pri výrobkoch orientovaný</w:t>
      </w:r>
      <w:r w:rsidR="00736A58">
        <w:rPr>
          <w:rFonts w:eastAsia="Times New Roman"/>
          <w:szCs w:val="24"/>
          <w:lang w:eastAsia="sk-SK"/>
        </w:rPr>
        <w:t>ch</w:t>
      </w:r>
      <w:r w:rsidRPr="00956874">
        <w:rPr>
          <w:rFonts w:eastAsia="Times New Roman"/>
          <w:szCs w:val="24"/>
          <w:lang w:eastAsia="sk-SK"/>
        </w:rPr>
        <w:t xml:space="preserve"> na kanadský trh, t. j. cukrovinky bez kakaa, čokoláda, výrobky z obilia.</w:t>
      </w:r>
    </w:p>
    <w:p w:rsidR="00956874" w:rsidRPr="00956874" w:rsidP="00673452">
      <w:pPr>
        <w:numPr>
          <w:numId w:val="4"/>
        </w:numPr>
        <w:bidi w:val="0"/>
        <w:spacing w:after="120"/>
        <w:ind w:left="142" w:hanging="142"/>
        <w:jc w:val="both"/>
        <w:rPr>
          <w:rFonts w:eastAsia="Times New Roman"/>
          <w:b/>
          <w:szCs w:val="24"/>
          <w:lang w:eastAsia="sk-SK"/>
        </w:rPr>
      </w:pPr>
      <w:r w:rsidRPr="00956874">
        <w:rPr>
          <w:rFonts w:eastAsia="Times New Roman"/>
          <w:szCs w:val="24"/>
          <w:lang w:eastAsia="sk-SK"/>
        </w:rPr>
        <w:t>Agropotravinársky obchod EÚ s Kanadou sa koncentruje na krajiny EÚ 15. Podiel Kanady na agrovývoze EÚ do tretích krajín dosahuje až 2,5 % a na agrodovoze 2,1 %. Európska únia je druhým najvýznamnejším exportérom poľnohospodárskych a potravinárskych výrobkov do Kanady. Exportný potenciál EÚ by sa liberalizáciou obchodu s Kanadou mohol zvýšiť.</w:t>
      </w:r>
    </w:p>
    <w:p w:rsidR="00956874" w:rsidRPr="00956874" w:rsidP="00673452">
      <w:pPr>
        <w:numPr>
          <w:numId w:val="4"/>
        </w:numPr>
        <w:bidi w:val="0"/>
        <w:spacing w:after="120"/>
        <w:ind w:left="142" w:hanging="142"/>
        <w:jc w:val="both"/>
        <w:rPr>
          <w:rFonts w:eastAsia="Times New Roman"/>
          <w:szCs w:val="24"/>
          <w:lang w:eastAsia="sk-SK"/>
        </w:rPr>
      </w:pPr>
      <w:r w:rsidRPr="00956874">
        <w:rPr>
          <w:rFonts w:eastAsia="Times New Roman"/>
          <w:szCs w:val="24"/>
          <w:lang w:eastAsia="sk-SK"/>
        </w:rPr>
        <w:t>Na liberalizácii obchodu s využitím už existujúcich odbytových ciest európskych producentov by mohli profitovať aj slovenskí producenti hovädzieho mäsa, obilnín, sladu, škrobov, konzervovaného mäsa, cukroviniek, čokolády, cestovín, sušienok, polievok, omáčok a potravinových prípravkov.</w:t>
      </w:r>
    </w:p>
    <w:p w:rsidR="00956874" w:rsidRPr="00956874" w:rsidP="00673452">
      <w:pPr>
        <w:numPr>
          <w:numId w:val="4"/>
        </w:numPr>
        <w:bidi w:val="0"/>
        <w:spacing w:after="120"/>
        <w:ind w:left="142" w:hanging="142"/>
        <w:jc w:val="both"/>
        <w:rPr>
          <w:rFonts w:eastAsia="Times New Roman"/>
          <w:b/>
          <w:szCs w:val="24"/>
          <w:lang w:eastAsia="sk-SK"/>
        </w:rPr>
      </w:pPr>
      <w:r w:rsidRPr="00956874">
        <w:rPr>
          <w:rFonts w:eastAsia="Times New Roman"/>
          <w:szCs w:val="24"/>
          <w:lang w:eastAsia="sk-SK"/>
        </w:rPr>
        <w:t xml:space="preserve">Kanada si extrémne vysokým dovozným clom primárne chráni domáci mliekarenský priemysel, ako aj produkciu mäsa a mäsových výrobkov, čokolády a potravinárskych prípravkov využívaných v potravinárskom priemysle. </w:t>
      </w:r>
      <w:r w:rsidRPr="00956874">
        <w:rPr>
          <w:rFonts w:eastAsia="Times New Roman"/>
          <w:b/>
          <w:szCs w:val="24"/>
          <w:lang w:eastAsia="sk-SK"/>
        </w:rPr>
        <w:t>Liberalizácia vzájomného obchodu by mala exportérom priniesť najväčšie úspory práve v uvedených sektoroch a pri týchto výrobkoch je možné očakávať najvýraznejšiu akceleráciu exportu EÚ.</w:t>
      </w:r>
    </w:p>
    <w:p w:rsidR="00956874" w:rsidRPr="00956874" w:rsidP="00673452">
      <w:pPr>
        <w:numPr>
          <w:numId w:val="4"/>
        </w:numPr>
        <w:bidi w:val="0"/>
        <w:spacing w:after="120"/>
        <w:ind w:left="142" w:hanging="142"/>
        <w:jc w:val="both"/>
        <w:rPr>
          <w:rFonts w:eastAsia="Times New Roman"/>
          <w:szCs w:val="24"/>
          <w:lang w:eastAsia="sk-SK"/>
        </w:rPr>
      </w:pPr>
      <w:r w:rsidRPr="00956874">
        <w:rPr>
          <w:rFonts w:eastAsia="Times New Roman"/>
          <w:szCs w:val="24"/>
          <w:lang w:eastAsia="sk-SK"/>
        </w:rPr>
        <w:t xml:space="preserve">Európska únia vyčlenila z bezcolného režimu živú hydinu, chladené a mrazené hovädzie mäso, bravčové mäso, hydinové mäso s výnimkou vodnej hydiny, vtáčie vajcia v škrupine aj bez nej a kukuricu cukrovú. Ide o výrobky, ktoré aj z pohľadu agropotravinárskeho zahraničného obchodu Slovenskej republiky možno označiť za </w:t>
      </w:r>
      <w:r w:rsidRPr="00956874">
        <w:rPr>
          <w:rFonts w:eastAsia="Times New Roman"/>
          <w:b/>
          <w:szCs w:val="24"/>
          <w:lang w:eastAsia="sk-SK"/>
        </w:rPr>
        <w:t>citlivé položky</w:t>
      </w:r>
      <w:r w:rsidRPr="00956874">
        <w:rPr>
          <w:rFonts w:eastAsia="Times New Roman"/>
          <w:szCs w:val="24"/>
          <w:lang w:eastAsia="sk-SK"/>
        </w:rPr>
        <w:t>. Na druhej strane, medzi citlivými položkami úplne absentujú poľnohospodárske a potravinárske výrobky, pri ktorých slovenskí producenti čelia silnej konkurencii hlavne z ostatných členských štátov EÚ. Výrazné zvýšenie dovozu týchto výrobkov z tretích krajín, v tomto prípade z Kanady, by ešte posilnilo cenový konkurenčný tlak. Ide hlavne o mliečne výrobky (Kanada nebude v krátkodobom a strednodobom horizonte konkurencieschopná na trhu EÚ s výrobkami mliekarenského priemyslu), obilie a mlynské výrobky, ako aj ovocie a zeleninu vrátane výrobkov z nich.</w:t>
      </w:r>
    </w:p>
    <w:p w:rsidR="00956874" w:rsidRPr="00956874" w:rsidP="00673452">
      <w:pPr>
        <w:numPr>
          <w:numId w:val="4"/>
        </w:numPr>
        <w:bidi w:val="0"/>
        <w:spacing w:after="120"/>
        <w:ind w:left="142" w:hanging="142"/>
        <w:jc w:val="both"/>
        <w:rPr>
          <w:rFonts w:eastAsia="Times New Roman"/>
          <w:szCs w:val="24"/>
          <w:lang w:eastAsia="sk-SK"/>
        </w:rPr>
      </w:pPr>
      <w:r w:rsidRPr="00956874">
        <w:rPr>
          <w:rFonts w:eastAsia="Times New Roman"/>
          <w:szCs w:val="24"/>
          <w:lang w:eastAsia="sk-SK"/>
        </w:rPr>
        <w:t>Všetky dovozy z Kanady musia spĺňať pravidlá a predpisy EÚ vrátane sanitárnych alebo fytosanitárnych predpisov, predpisov o bezpečnosti potravín, noriem pre bezpečnosť a</w:t>
      </w:r>
      <w:r w:rsidR="00755D24">
        <w:rPr>
          <w:rFonts w:eastAsia="Times New Roman"/>
          <w:szCs w:val="24"/>
          <w:lang w:eastAsia="sk-SK"/>
        </w:rPr>
        <w:t> </w:t>
      </w:r>
      <w:r w:rsidRPr="00956874">
        <w:rPr>
          <w:rFonts w:eastAsia="Times New Roman"/>
          <w:szCs w:val="24"/>
          <w:lang w:eastAsia="sk-SK"/>
        </w:rPr>
        <w:t>ochranu zdravia, pravidiel o geneticky modifikovaných organizmoch (GMO). Kanada svojim výrobcom neukladá povinnosť ich produkty označiť v prípade použitia GMO. Európska legislatíva vyžaduje označovanie potravín, ktoré sú vyrobené alebo obsahujú GMO a platí povinné označovanie prímesí nad 0,9 % autorizovaných GMO. Vstupom dohody CETA do platnosti sa naša legislatíva nemení.</w:t>
      </w:r>
    </w:p>
    <w:p w:rsidR="00956874" w:rsidRPr="00956874" w:rsidP="00673452">
      <w:pPr>
        <w:numPr>
          <w:numId w:val="4"/>
        </w:numPr>
        <w:bidi w:val="0"/>
        <w:spacing w:after="120"/>
        <w:ind w:left="142" w:hanging="142"/>
        <w:jc w:val="both"/>
        <w:rPr>
          <w:rFonts w:eastAsia="Times New Roman"/>
          <w:szCs w:val="24"/>
          <w:lang w:eastAsia="sk-SK"/>
        </w:rPr>
      </w:pPr>
      <w:r w:rsidRPr="00956874">
        <w:rPr>
          <w:rFonts w:eastAsia="Times New Roman"/>
          <w:szCs w:val="24"/>
          <w:lang w:eastAsia="sk-SK"/>
        </w:rPr>
        <w:t xml:space="preserve">Pre strategické rozhodnutia slovenských exportérov je relevantná finančná náročnosť na vstup a presadenie sa v maloobchodných reťazcoch a silná domáca i zahraničná konkurencia na trhu s potravinami, keďže Kanada dováža agropotravinárske produkty z celého sveta, t. j. aj z nízkonákladových krajín. </w:t>
      </w:r>
      <w:r w:rsidRPr="00956874">
        <w:rPr>
          <w:rFonts w:eastAsia="Times New Roman"/>
          <w:b/>
          <w:szCs w:val="24"/>
          <w:lang w:eastAsia="sk-SK"/>
        </w:rPr>
        <w:t>Osobitné postavenie majú maloobchodné reťazce obchodujúce s alkoholickými nápojmi</w:t>
      </w:r>
      <w:r w:rsidRPr="00956874">
        <w:rPr>
          <w:rFonts w:eastAsia="Times New Roman"/>
          <w:szCs w:val="24"/>
          <w:lang w:eastAsia="sk-SK"/>
        </w:rPr>
        <w:t>.</w:t>
      </w:r>
    </w:p>
    <w:p w:rsidR="00956874" w:rsidRPr="00956874" w:rsidP="00673452">
      <w:pPr>
        <w:numPr>
          <w:numId w:val="4"/>
        </w:numPr>
        <w:bidi w:val="0"/>
        <w:spacing w:after="120"/>
        <w:ind w:left="142" w:hanging="142"/>
        <w:jc w:val="both"/>
        <w:rPr>
          <w:rFonts w:eastAsia="Times New Roman"/>
          <w:b/>
          <w:szCs w:val="24"/>
          <w:lang w:eastAsia="sk-SK"/>
        </w:rPr>
      </w:pPr>
      <w:r w:rsidRPr="00956874">
        <w:rPr>
          <w:rFonts w:eastAsia="Times New Roman"/>
          <w:szCs w:val="24"/>
          <w:lang w:eastAsia="sk-SK"/>
        </w:rPr>
        <w:t>Napriek limitovanému výrobnému potenciálu slovenských alkoholických nápojov a zložitej a nákladnej procedúre na vstup do uvedených sietí, na kanadskom trhu zaznamenáva úspech slovenské pivo. Šancu majú aj liehové nápoje, ich vývoz je však minimálny. Slovenské vína sa zatiaľ na kanadskom trhu presadiť nepodarilo vzhľadom na nízky objem výroby a</w:t>
      </w:r>
      <w:r w:rsidR="00755D24">
        <w:rPr>
          <w:rFonts w:eastAsia="Times New Roman"/>
          <w:szCs w:val="24"/>
          <w:lang w:eastAsia="sk-SK"/>
        </w:rPr>
        <w:t> </w:t>
      </w:r>
      <w:r w:rsidRPr="00956874">
        <w:rPr>
          <w:rFonts w:eastAsia="Times New Roman"/>
          <w:szCs w:val="24"/>
          <w:lang w:eastAsia="sk-SK"/>
        </w:rPr>
        <w:t xml:space="preserve">konkurenciu tradičných vinárskych krajín EÚ. Vzhľadom na obmedzený výrobný potenciál SR pri alkoholických nápojoch a dlhodobo nízke objemy ich vývozu nie je reálne, aby sa hodnota slovenského vývozu alkoholických nápojov do Kanady v strednodobom horizonte veľmi výrazne zvýšila. </w:t>
      </w:r>
      <w:r w:rsidRPr="00956874">
        <w:rPr>
          <w:rFonts w:eastAsia="Times New Roman"/>
          <w:b/>
          <w:szCs w:val="24"/>
          <w:lang w:eastAsia="sk-SK"/>
        </w:rPr>
        <w:t>Napriek uvedeným skutočnostiam, vysoká kvalita slovenských vín a alkoholických nápojov a ich priaznivé hodnotenia na svetových výstavách im otvárajú možnosť postupne preniknúť v čoraz väčšej miere aj na kanadský trh s</w:t>
      </w:r>
      <w:r w:rsidR="00755D24">
        <w:rPr>
          <w:rFonts w:eastAsia="Times New Roman"/>
          <w:b/>
          <w:szCs w:val="24"/>
          <w:lang w:eastAsia="sk-SK"/>
        </w:rPr>
        <w:t> </w:t>
      </w:r>
      <w:r w:rsidRPr="00956874">
        <w:rPr>
          <w:rFonts w:eastAsia="Times New Roman"/>
          <w:b/>
          <w:szCs w:val="24"/>
          <w:lang w:eastAsia="sk-SK"/>
        </w:rPr>
        <w:t>cielenou orientáciou na krajanské komunity.</w:t>
      </w:r>
    </w:p>
    <w:p w:rsidR="00956874" w:rsidRPr="00956874" w:rsidP="00673452">
      <w:pPr>
        <w:numPr>
          <w:numId w:val="4"/>
        </w:numPr>
        <w:bidi w:val="0"/>
        <w:spacing w:after="120"/>
        <w:ind w:left="142" w:hanging="142"/>
        <w:jc w:val="both"/>
        <w:rPr>
          <w:rFonts w:eastAsia="Times New Roman"/>
          <w:b/>
          <w:szCs w:val="24"/>
          <w:lang w:eastAsia="sk-SK"/>
        </w:rPr>
      </w:pPr>
      <w:r w:rsidRPr="00956874">
        <w:rPr>
          <w:rFonts w:eastAsia="Times New Roman"/>
          <w:b/>
          <w:szCs w:val="24"/>
          <w:lang w:eastAsia="sk-SK"/>
        </w:rPr>
        <w:t>Zemepisné označenia</w:t>
      </w:r>
      <w:r w:rsidRPr="00956874">
        <w:rPr>
          <w:rFonts w:eastAsia="Times New Roman"/>
          <w:szCs w:val="24"/>
          <w:lang w:eastAsia="sk-SK"/>
        </w:rPr>
        <w:t xml:space="preserve"> patria k dôležitým marketingovým nástrojom výrazne zvyšujúcim konkurencieschopnosť predávaných výrobkov na zahraničných trhoch. Pre agropotravinárske komodity (s vylúčením vína a liehových nápojov) si v rámci dohody CETA Kanada žiadne nároky na ochranu svojich agropotravinárskych výrobkov v</w:t>
      </w:r>
      <w:r w:rsidR="00755D24">
        <w:rPr>
          <w:rFonts w:eastAsia="Times New Roman"/>
          <w:szCs w:val="24"/>
          <w:lang w:eastAsia="sk-SK"/>
        </w:rPr>
        <w:t> </w:t>
      </w:r>
      <w:r w:rsidRPr="00956874">
        <w:rPr>
          <w:rFonts w:eastAsia="Times New Roman"/>
          <w:szCs w:val="24"/>
          <w:lang w:eastAsia="sk-SK"/>
        </w:rPr>
        <w:t xml:space="preserve">súčasnosti neuplatňuje. Európska únia si uplatňuje nárok na ochranu 171 zemepisných označení pre agropotravinárske komodity. Tie pochádzajú zo 14 krajín EÚ. </w:t>
      </w:r>
      <w:r w:rsidRPr="00956874">
        <w:rPr>
          <w:rFonts w:eastAsia="Times New Roman"/>
          <w:b/>
          <w:szCs w:val="24"/>
          <w:lang w:eastAsia="sk-SK"/>
        </w:rPr>
        <w:t>Slovenská republika v uvedenom zozname nefiguruje</w:t>
      </w:r>
      <w:r w:rsidRPr="00956874">
        <w:rPr>
          <w:rFonts w:eastAsia="Times New Roman"/>
          <w:szCs w:val="24"/>
          <w:lang w:eastAsia="sk-SK"/>
        </w:rPr>
        <w:t xml:space="preserve">. Dôvodom je </w:t>
      </w:r>
      <w:r w:rsidR="00791D99">
        <w:rPr>
          <w:rFonts w:eastAsia="Times New Roman"/>
          <w:szCs w:val="24"/>
          <w:lang w:eastAsia="sk-SK"/>
        </w:rPr>
        <w:t>skutočnosť</w:t>
      </w:r>
      <w:r w:rsidRPr="00956874">
        <w:rPr>
          <w:rFonts w:eastAsia="Times New Roman"/>
          <w:szCs w:val="24"/>
          <w:lang w:eastAsia="sk-SK"/>
        </w:rPr>
        <w:t xml:space="preserve">, že EÚ si prednostne vynegociovala zemepisné označenia výrobkov citlivých na falšovanie. Zoznamy zemepisných označení, ktorými sa identifikujú výrobky EÚ na trhu Kanady, sa v budúcnosti môžu na základe bilaterálnych rokovaní postupne rozširovať a </w:t>
      </w:r>
      <w:r w:rsidRPr="00956874">
        <w:rPr>
          <w:rFonts w:eastAsia="Times New Roman"/>
          <w:b/>
          <w:szCs w:val="24"/>
          <w:lang w:eastAsia="sk-SK"/>
        </w:rPr>
        <w:t>existuje reálna možnosť do predmetného zoznamu zahrnúť aj slovenské výrobky.</w:t>
      </w:r>
    </w:p>
    <w:p w:rsidR="00956874" w:rsidRPr="00956874" w:rsidP="00673452">
      <w:pPr>
        <w:numPr>
          <w:numId w:val="4"/>
        </w:numPr>
        <w:bidi w:val="0"/>
        <w:spacing w:after="120"/>
        <w:ind w:left="142" w:hanging="142"/>
        <w:jc w:val="both"/>
        <w:rPr>
          <w:rFonts w:eastAsia="Times New Roman"/>
          <w:szCs w:val="24"/>
          <w:lang w:eastAsia="sk-SK"/>
        </w:rPr>
      </w:pPr>
      <w:r w:rsidRPr="00956874">
        <w:rPr>
          <w:rFonts w:eastAsia="Times New Roman"/>
          <w:szCs w:val="24"/>
          <w:lang w:eastAsia="sk-SK"/>
        </w:rPr>
        <w:t>Úspešnosť slovenských výrobkov na kanadskom trhu závisí od druhu, kvalitatívnych parametrov a atraktívnosti výrobku, optimálneho pomeru medzi cenou a kvalitou a</w:t>
      </w:r>
      <w:r w:rsidR="00755D24">
        <w:rPr>
          <w:rFonts w:eastAsia="Times New Roman"/>
          <w:szCs w:val="24"/>
          <w:lang w:eastAsia="sk-SK"/>
        </w:rPr>
        <w:t> </w:t>
      </w:r>
      <w:r w:rsidRPr="00956874">
        <w:rPr>
          <w:rFonts w:eastAsia="Times New Roman"/>
          <w:szCs w:val="24"/>
          <w:lang w:eastAsia="sk-SK"/>
        </w:rPr>
        <w:t>očakávaných objemov predaja. Dôležité je nadviazanie kontaktov s kanadskými importérmi, veľkoobchodnými distribútormi alebo maloobchodnými reťazcami, investovanie do marketingového prieskumu, reklamy a pravidelné udržiavanie osobných kontaktov s kanadským trhom (účasť na špecializovaných výstavách v jednotlivých ekonomických centrách Kanady, organizovanie propagačných a prezentačných aktivít).</w:t>
      </w:r>
    </w:p>
    <w:p w:rsidR="00956874" w:rsidRPr="00956874" w:rsidP="00673452">
      <w:pPr>
        <w:numPr>
          <w:numId w:val="4"/>
        </w:numPr>
        <w:bidi w:val="0"/>
        <w:spacing w:after="120"/>
        <w:ind w:left="142" w:hanging="142"/>
        <w:jc w:val="both"/>
        <w:rPr>
          <w:rFonts w:eastAsia="Times New Roman"/>
          <w:szCs w:val="24"/>
          <w:lang w:eastAsia="sk-SK"/>
        </w:rPr>
      </w:pPr>
      <w:r w:rsidRPr="00956874">
        <w:rPr>
          <w:rFonts w:eastAsia="Times New Roman"/>
          <w:szCs w:val="24"/>
          <w:lang w:eastAsia="sk-SK"/>
        </w:rPr>
        <w:t>Dohoda CETA by mala mať pozitívny vplyv na export poľnohospodárskych a</w:t>
      </w:r>
      <w:r w:rsidR="00755D24">
        <w:rPr>
          <w:rFonts w:eastAsia="Times New Roman"/>
          <w:szCs w:val="24"/>
          <w:lang w:eastAsia="sk-SK"/>
        </w:rPr>
        <w:t> </w:t>
      </w:r>
      <w:r w:rsidRPr="00956874">
        <w:rPr>
          <w:rFonts w:eastAsia="Times New Roman"/>
          <w:szCs w:val="24"/>
          <w:lang w:eastAsia="sk-SK"/>
        </w:rPr>
        <w:t xml:space="preserve">potravinárskych výrobkov. Aktívne saldo EÚ s Kanadou v roku 2016 dosiahlo 714,2 mil. EUR. </w:t>
      </w:r>
      <w:r w:rsidRPr="00956874">
        <w:rPr>
          <w:rFonts w:eastAsia="Times New Roman"/>
          <w:b/>
          <w:szCs w:val="24"/>
          <w:lang w:eastAsia="sk-SK"/>
        </w:rPr>
        <w:t>Rizikom môže byť znižujúci sa domáci rozsah výroby agrosektora a rastúci import potravín.</w:t>
      </w:r>
      <w:r w:rsidRPr="00956874">
        <w:rPr>
          <w:rFonts w:eastAsia="Times New Roman"/>
          <w:szCs w:val="24"/>
          <w:lang w:eastAsia="sk-SK"/>
        </w:rPr>
        <w:t xml:space="preserve"> Modelové výsledky vedú k záverom, že uzatvorenie dohody CETA môže stimulovať </w:t>
      </w:r>
      <w:r w:rsidRPr="00956874">
        <w:rPr>
          <w:rFonts w:eastAsia="Times New Roman"/>
          <w:b/>
          <w:szCs w:val="24"/>
          <w:lang w:eastAsia="sk-SK"/>
        </w:rPr>
        <w:t xml:space="preserve">rast exportu do Kanady viac v potravinárskom priemysle </w:t>
      </w:r>
      <w:r w:rsidRPr="00956874">
        <w:rPr>
          <w:rFonts w:eastAsia="Times New Roman"/>
          <w:szCs w:val="24"/>
          <w:lang w:eastAsia="sk-SK"/>
        </w:rPr>
        <w:t>ako v</w:t>
      </w:r>
      <w:r w:rsidR="00755D24">
        <w:rPr>
          <w:rFonts w:eastAsia="Times New Roman"/>
          <w:szCs w:val="24"/>
          <w:lang w:eastAsia="sk-SK"/>
        </w:rPr>
        <w:t> </w:t>
      </w:r>
      <w:r w:rsidRPr="00956874">
        <w:rPr>
          <w:rFonts w:eastAsia="Times New Roman"/>
          <w:szCs w:val="24"/>
          <w:lang w:eastAsia="sk-SK"/>
        </w:rPr>
        <w:t>poľnohospodárstve, a to v rozsahu 0,7 mil. USD (0,59 mil. EUR) až 1,1 mil. USD (0,92 mil. EUR).</w:t>
      </w:r>
    </w:p>
    <w:p w:rsidR="00956874" w:rsidRPr="00956874" w:rsidP="00673452">
      <w:pPr>
        <w:numPr>
          <w:numId w:val="4"/>
        </w:numPr>
        <w:bidi w:val="0"/>
        <w:spacing w:after="120"/>
        <w:ind w:left="142" w:hanging="142"/>
        <w:jc w:val="both"/>
        <w:rPr>
          <w:rFonts w:eastAsia="Times New Roman"/>
          <w:b/>
          <w:szCs w:val="24"/>
          <w:lang w:eastAsia="sk-SK"/>
        </w:rPr>
      </w:pPr>
      <w:r w:rsidRPr="00956874">
        <w:rPr>
          <w:rFonts w:eastAsia="Times New Roman"/>
          <w:szCs w:val="24"/>
          <w:lang w:eastAsia="sk-SK"/>
        </w:rPr>
        <w:t xml:space="preserve">Ani zvýšený indikovaný rast agropotravinárskeho exportu významnejšie </w:t>
      </w:r>
      <w:r w:rsidRPr="00956874">
        <w:rPr>
          <w:rFonts w:eastAsia="Times New Roman"/>
          <w:b/>
          <w:szCs w:val="24"/>
          <w:lang w:eastAsia="sk-SK"/>
        </w:rPr>
        <w:t>neovplyvní nízku úroveň obchodnej výmeny poľnohospodárstva a potravinárskeho priemyslu Slovenska a Kanady.</w:t>
      </w:r>
    </w:p>
    <w:p w:rsidR="00956874" w:rsidRPr="00956874" w:rsidP="00673452">
      <w:pPr>
        <w:numPr>
          <w:numId w:val="4"/>
        </w:numPr>
        <w:bidi w:val="0"/>
        <w:spacing w:after="120"/>
        <w:ind w:left="142" w:hanging="142"/>
        <w:jc w:val="both"/>
        <w:rPr>
          <w:rFonts w:eastAsia="Times New Roman"/>
          <w:b/>
          <w:szCs w:val="24"/>
          <w:lang w:eastAsia="sk-SK"/>
        </w:rPr>
      </w:pPr>
      <w:r w:rsidRPr="00956874">
        <w:rPr>
          <w:rFonts w:eastAsia="Times New Roman"/>
          <w:b/>
          <w:szCs w:val="24"/>
          <w:lang w:eastAsia="sk-SK"/>
        </w:rPr>
        <w:t>Cieľom Kanady je zvýšiť aj agropotravinársky export na jednotný trh EÚ.</w:t>
      </w:r>
      <w:r w:rsidRPr="00956874">
        <w:rPr>
          <w:rFonts w:eastAsia="Times New Roman"/>
          <w:szCs w:val="24"/>
          <w:lang w:eastAsia="sk-SK"/>
        </w:rPr>
        <w:t xml:space="preserve"> Modelované odhady naznačujú výhodnosť CETA v raste exportu. Exportný potenciál rastu je vyšší, ako bez CETA a než aký by bol medzi danými ekonomikami bez hlbšej obchodnej liberalizácie. </w:t>
      </w:r>
      <w:r w:rsidRPr="00956874">
        <w:rPr>
          <w:rFonts w:eastAsia="Times New Roman"/>
          <w:b/>
          <w:szCs w:val="24"/>
          <w:lang w:eastAsia="sk-SK"/>
        </w:rPr>
        <w:t>Z Kanady by účinkom CETA mohol na Slovensko prúdiť agropotravinársky tovar vyšší o 0,8 mil. USD (0,67 mil. EUR), ale na trh EÚ vyšší až zhruba o 1,1 mld. USD (0,92 mld. EUR) (+ 32 %).</w:t>
      </w:r>
    </w:p>
    <w:p w:rsidR="00956874" w:rsidRPr="00956874" w:rsidP="00673452">
      <w:pPr>
        <w:numPr>
          <w:numId w:val="4"/>
        </w:numPr>
        <w:bidi w:val="0"/>
        <w:spacing w:after="120"/>
        <w:ind w:left="142" w:hanging="142"/>
        <w:jc w:val="both"/>
        <w:rPr>
          <w:rFonts w:eastAsia="Times New Roman"/>
          <w:szCs w:val="24"/>
          <w:lang w:eastAsia="sk-SK"/>
        </w:rPr>
      </w:pPr>
      <w:r w:rsidRPr="00956874">
        <w:rPr>
          <w:rFonts w:eastAsia="Times New Roman"/>
          <w:szCs w:val="24"/>
          <w:lang w:eastAsia="sk-SK"/>
        </w:rPr>
        <w:t xml:space="preserve">Vygenerovaný rozdiel v zmene vzájomného obchodu SR a Kanady je zanedbateľný. Je však pravdepodobné, že bude </w:t>
      </w:r>
      <w:r w:rsidRPr="00956874">
        <w:rPr>
          <w:rFonts w:eastAsia="Times New Roman"/>
          <w:b/>
          <w:szCs w:val="24"/>
          <w:lang w:eastAsia="sk-SK"/>
        </w:rPr>
        <w:t>silne pôsobiť nepriamy efekt CETA</w:t>
      </w:r>
      <w:r w:rsidRPr="00956874">
        <w:rPr>
          <w:rFonts w:eastAsia="Times New Roman"/>
          <w:szCs w:val="24"/>
          <w:lang w:eastAsia="sk-SK"/>
        </w:rPr>
        <w:t xml:space="preserve">, </w:t>
      </w:r>
      <w:r w:rsidRPr="00956874">
        <w:rPr>
          <w:rFonts w:eastAsia="Times New Roman"/>
          <w:b/>
          <w:szCs w:val="24"/>
          <w:lang w:eastAsia="sk-SK"/>
        </w:rPr>
        <w:t>a to export z krajín EÚ s najväčším podielom obchodu s Kanadou</w:t>
      </w:r>
      <w:r w:rsidRPr="00956874">
        <w:rPr>
          <w:rFonts w:eastAsia="Times New Roman"/>
          <w:szCs w:val="24"/>
          <w:lang w:eastAsia="sk-SK"/>
        </w:rPr>
        <w:t xml:space="preserve"> (Belgicko, Francúzsko, Holandsko, Poľsko) </w:t>
      </w:r>
      <w:r w:rsidRPr="00956874">
        <w:rPr>
          <w:rFonts w:eastAsia="Times New Roman"/>
          <w:b/>
          <w:szCs w:val="24"/>
          <w:lang w:eastAsia="sk-SK"/>
        </w:rPr>
        <w:t>na slovenský trh</w:t>
      </w:r>
      <w:r w:rsidRPr="00956874">
        <w:rPr>
          <w:rFonts w:eastAsia="Times New Roman"/>
          <w:szCs w:val="24"/>
          <w:lang w:eastAsia="sk-SK"/>
        </w:rPr>
        <w:t xml:space="preserve">. Svedčí o tom takmer nulový, resp. nulový export viacerých dezagregovaných skupín zo Slovenska do Kanady a naopak, čo nie je platné pre vzájomný obchod SR </w:t>
      </w:r>
      <w:r w:rsidR="00C22F34">
        <w:rPr>
          <w:rFonts w:eastAsia="Times New Roman"/>
          <w:szCs w:val="24"/>
          <w:lang w:eastAsia="sk-SK"/>
        </w:rPr>
        <w:br/>
      </w:r>
      <w:r w:rsidRPr="00956874">
        <w:rPr>
          <w:rFonts w:eastAsia="Times New Roman"/>
          <w:szCs w:val="24"/>
          <w:lang w:eastAsia="sk-SK"/>
        </w:rPr>
        <w:t>a ostatných členských štátov EÚ.</w:t>
      </w:r>
    </w:p>
    <w:p w:rsidR="00956874" w:rsidRPr="00956874" w:rsidP="00673452">
      <w:pPr>
        <w:numPr>
          <w:numId w:val="4"/>
        </w:numPr>
        <w:bidi w:val="0"/>
        <w:spacing w:after="120"/>
        <w:ind w:left="142" w:hanging="142"/>
        <w:jc w:val="both"/>
        <w:rPr>
          <w:rFonts w:eastAsia="Times New Roman"/>
          <w:szCs w:val="24"/>
          <w:lang w:eastAsia="sk-SK"/>
        </w:rPr>
      </w:pPr>
      <w:r w:rsidRPr="00956874">
        <w:rPr>
          <w:rFonts w:eastAsia="Times New Roman"/>
          <w:b/>
          <w:szCs w:val="24"/>
          <w:lang w:eastAsia="sk-SK"/>
        </w:rPr>
        <w:t>Najvyššia citlivosť slovenského exportu</w:t>
      </w:r>
      <w:r w:rsidRPr="00956874">
        <w:rPr>
          <w:rFonts w:eastAsia="Times New Roman"/>
          <w:szCs w:val="24"/>
          <w:lang w:eastAsia="sk-SK"/>
        </w:rPr>
        <w:t xml:space="preserve"> agropotravinárskych výrobkov na tvorbu zóny voľného obchodu (FTA) je pri olejninách a výrobkoch z nich, ďalej pri cukrovinkách a pri mlieku a mliečnych výrobkoch. Naopak, čo sa týka zmeny aktuálnych objemov obchodu, tie by mohli najvýraznejšie rásť pri cukre a cukrovinkách, ďalej pri nápojoch a následne pri obilninách a výrobkoch z nich.</w:t>
      </w:r>
    </w:p>
    <w:p w:rsidR="00956874" w:rsidRPr="00956874" w:rsidP="00673452">
      <w:pPr>
        <w:numPr>
          <w:numId w:val="4"/>
        </w:numPr>
        <w:bidi w:val="0"/>
        <w:spacing w:after="120"/>
        <w:ind w:left="142" w:hanging="142"/>
        <w:jc w:val="both"/>
        <w:rPr>
          <w:rFonts w:eastAsia="Times New Roman"/>
          <w:szCs w:val="24"/>
          <w:lang w:eastAsia="sk-SK"/>
        </w:rPr>
      </w:pPr>
      <w:r w:rsidRPr="00956874">
        <w:rPr>
          <w:rFonts w:eastAsia="Times New Roman"/>
          <w:b/>
          <w:szCs w:val="24"/>
          <w:lang w:eastAsia="sk-SK"/>
        </w:rPr>
        <w:t>Citlivosť slovenského importu</w:t>
      </w:r>
      <w:r w:rsidRPr="00956874">
        <w:rPr>
          <w:rFonts w:eastAsia="Times New Roman"/>
          <w:szCs w:val="24"/>
          <w:lang w:eastAsia="sk-SK"/>
        </w:rPr>
        <w:t xml:space="preserve"> je najvyššia pri nápojoch, ďalej pri mlieku a mliečnych výrobkoch, ako aj pri mäse a mäsových výrobkoch.</w:t>
      </w:r>
    </w:p>
    <w:p w:rsidR="00956874" w:rsidRPr="00956874" w:rsidP="00673452">
      <w:pPr>
        <w:numPr>
          <w:numId w:val="4"/>
        </w:numPr>
        <w:bidi w:val="0"/>
        <w:spacing w:after="120"/>
        <w:ind w:left="142" w:hanging="142"/>
        <w:jc w:val="both"/>
        <w:rPr>
          <w:rFonts w:eastAsia="Times New Roman"/>
          <w:b/>
          <w:szCs w:val="24"/>
          <w:lang w:eastAsia="sk-SK"/>
        </w:rPr>
      </w:pPr>
      <w:r w:rsidRPr="00956874">
        <w:rPr>
          <w:rFonts w:eastAsia="Times New Roman"/>
          <w:b/>
          <w:szCs w:val="24"/>
          <w:lang w:eastAsia="sk-SK"/>
        </w:rPr>
        <w:t>Priamy kanadský export do SR je taký nízky, že aj napriek novým podmienkam v</w:t>
      </w:r>
      <w:r w:rsidR="00755D24">
        <w:rPr>
          <w:rFonts w:eastAsia="Times New Roman"/>
          <w:b/>
          <w:szCs w:val="24"/>
          <w:lang w:eastAsia="sk-SK"/>
        </w:rPr>
        <w:t> </w:t>
      </w:r>
      <w:r w:rsidRPr="00956874">
        <w:rPr>
          <w:rFonts w:eastAsia="Times New Roman"/>
          <w:b/>
          <w:szCs w:val="24"/>
          <w:lang w:eastAsia="sk-SK"/>
        </w:rPr>
        <w:t>dôsledku uzatvorenia dohody CETA sa jeho zmeny približujú k nule. Zmena objemu kanadského exportu do EÚ je však najvyššia pri obilninách a výrobkoch z nich, mäse a nápojoch.</w:t>
      </w:r>
    </w:p>
    <w:p w:rsidR="00956874" w:rsidRPr="00956874" w:rsidP="004F2E0D">
      <w:pPr>
        <w:bidi w:val="0"/>
        <w:spacing w:before="100" w:beforeAutospacing="1" w:after="100" w:afterAutospacing="1"/>
        <w:jc w:val="both"/>
        <w:rPr>
          <w:rFonts w:eastAsia="Times New Roman"/>
          <w:b/>
          <w:szCs w:val="24"/>
          <w:lang w:eastAsia="sk-SK"/>
        </w:rPr>
      </w:pPr>
      <w:r w:rsidRPr="00956874">
        <w:rPr>
          <w:rFonts w:eastAsia="Times New Roman"/>
          <w:b/>
          <w:szCs w:val="24"/>
          <w:lang w:eastAsia="sk-SK"/>
        </w:rPr>
        <w:t>Netarifné obchodné bariéry (NTB)</w:t>
      </w:r>
    </w:p>
    <w:p w:rsidR="00956874" w:rsidRPr="00956874" w:rsidP="00673452">
      <w:pPr>
        <w:numPr>
          <w:numId w:val="5"/>
        </w:numPr>
        <w:bidi w:val="0"/>
        <w:spacing w:after="120"/>
        <w:ind w:left="142" w:hanging="142"/>
        <w:jc w:val="both"/>
        <w:rPr>
          <w:rFonts w:eastAsia="Times New Roman"/>
          <w:szCs w:val="24"/>
          <w:lang w:eastAsia="sk-SK"/>
        </w:rPr>
      </w:pPr>
      <w:r w:rsidRPr="00956874">
        <w:rPr>
          <w:rFonts w:eastAsia="Times New Roman"/>
          <w:b/>
          <w:szCs w:val="24"/>
          <w:lang w:eastAsia="sk-SK"/>
        </w:rPr>
        <w:t>V odvetví poľnohospodárstva pri exporte do Kanady sú NTB výrazne vyššie ako pri exporte na Slovensko</w:t>
      </w:r>
      <w:r w:rsidRPr="00956874">
        <w:rPr>
          <w:rFonts w:eastAsia="Times New Roman"/>
          <w:szCs w:val="24"/>
          <w:lang w:eastAsia="sk-SK"/>
        </w:rPr>
        <w:t xml:space="preserve"> (a teda aj do EÚ). Výsledok odhadu pre Kanadu naznačuje, že Kanada môže znížiť obchodné náklady o približne 21 % a pre Slovensko by sa mohli pri exporte do Kanady znížiť výraznejšie, a to o 33 %.</w:t>
      </w:r>
    </w:p>
    <w:p w:rsidR="00956874" w:rsidRPr="00956874" w:rsidP="00673452">
      <w:pPr>
        <w:numPr>
          <w:numId w:val="5"/>
        </w:numPr>
        <w:bidi w:val="0"/>
        <w:spacing w:after="120"/>
        <w:ind w:left="142" w:hanging="142"/>
        <w:jc w:val="both"/>
        <w:rPr>
          <w:rFonts w:eastAsia="Times New Roman"/>
          <w:szCs w:val="24"/>
          <w:lang w:eastAsia="sk-SK"/>
        </w:rPr>
      </w:pPr>
      <w:r w:rsidRPr="00956874">
        <w:rPr>
          <w:rFonts w:eastAsia="Times New Roman"/>
          <w:b/>
          <w:szCs w:val="24"/>
          <w:lang w:eastAsia="sk-SK"/>
        </w:rPr>
        <w:t xml:space="preserve">V potravinárskom priemysle sú NTB pre slovenský export nižšie </w:t>
      </w:r>
      <w:r w:rsidRPr="00956874">
        <w:rPr>
          <w:rFonts w:eastAsia="Times New Roman"/>
          <w:szCs w:val="24"/>
          <w:lang w:eastAsia="sk-SK"/>
        </w:rPr>
        <w:t xml:space="preserve">(12 – 29 %) a sú porovnateľné s úrovňou vygenerovanou pre všetky odvetvia hospodárstva SR (22 – 32 %). </w:t>
      </w:r>
      <w:r w:rsidRPr="00956874">
        <w:rPr>
          <w:rFonts w:eastAsia="Times New Roman"/>
          <w:b/>
          <w:szCs w:val="24"/>
          <w:lang w:eastAsia="sk-SK"/>
        </w:rPr>
        <w:t>Pri exporte Kanady je potenciál zníženia obchodných nákladov výrazne vyšší</w:t>
      </w:r>
      <w:r w:rsidRPr="00956874">
        <w:rPr>
          <w:rFonts w:eastAsia="Times New Roman"/>
          <w:szCs w:val="24"/>
          <w:lang w:eastAsia="sk-SK"/>
        </w:rPr>
        <w:t>, a to až 62</w:t>
      </w:r>
      <w:r w:rsidR="00755D24">
        <w:rPr>
          <w:rFonts w:eastAsia="Times New Roman"/>
          <w:szCs w:val="24"/>
          <w:lang w:eastAsia="sk-SK"/>
        </w:rPr>
        <w:t> </w:t>
      </w:r>
      <w:r w:rsidRPr="00956874">
        <w:rPr>
          <w:rFonts w:eastAsia="Times New Roman"/>
          <w:szCs w:val="24"/>
          <w:lang w:eastAsia="sk-SK"/>
        </w:rPr>
        <w:t>%. V odvetví agropotravinárstva exportný potenciál SR predstavuje zníženie nákladov o</w:t>
      </w:r>
      <w:r w:rsidR="00755D24">
        <w:rPr>
          <w:rFonts w:eastAsia="Times New Roman"/>
          <w:szCs w:val="24"/>
          <w:lang w:eastAsia="sk-SK"/>
        </w:rPr>
        <w:t> </w:t>
      </w:r>
      <w:r w:rsidRPr="00956874">
        <w:rPr>
          <w:rFonts w:eastAsia="Times New Roman"/>
          <w:szCs w:val="24"/>
          <w:lang w:eastAsia="sk-SK"/>
        </w:rPr>
        <w:t>25 – 33 %. V prípade Kanady je opäť vyšší (46 %). Z hľadiska eliminácie obchodných nákladov je výhoda jednoznačne na strane Kanady.</w:t>
      </w:r>
    </w:p>
    <w:p w:rsidR="00956874" w:rsidRPr="00956874" w:rsidP="00673452">
      <w:pPr>
        <w:numPr>
          <w:numId w:val="5"/>
        </w:numPr>
        <w:bidi w:val="0"/>
        <w:spacing w:after="120"/>
        <w:ind w:left="142" w:hanging="142"/>
        <w:jc w:val="both"/>
        <w:rPr>
          <w:rFonts w:eastAsia="Times New Roman"/>
          <w:szCs w:val="24"/>
          <w:lang w:eastAsia="sk-SK"/>
        </w:rPr>
      </w:pPr>
      <w:r w:rsidRPr="00956874">
        <w:rPr>
          <w:rFonts w:eastAsia="Times New Roman"/>
          <w:szCs w:val="24"/>
          <w:lang w:eastAsia="sk-SK"/>
        </w:rPr>
        <w:t xml:space="preserve">Pri </w:t>
      </w:r>
      <w:r w:rsidRPr="00956874">
        <w:rPr>
          <w:rFonts w:eastAsia="Times New Roman"/>
          <w:b/>
          <w:szCs w:val="24"/>
          <w:lang w:eastAsia="sk-SK"/>
        </w:rPr>
        <w:t>exporte živých zvierat do Kanady</w:t>
      </w:r>
      <w:r w:rsidRPr="00956874">
        <w:rPr>
          <w:rFonts w:eastAsia="Times New Roman"/>
          <w:szCs w:val="24"/>
          <w:lang w:eastAsia="sk-SK"/>
        </w:rPr>
        <w:t xml:space="preserve"> sú NTB </w:t>
      </w:r>
      <w:r w:rsidRPr="00956874">
        <w:rPr>
          <w:rFonts w:eastAsia="Times New Roman"/>
          <w:b/>
          <w:szCs w:val="24"/>
          <w:lang w:eastAsia="sk-SK"/>
        </w:rPr>
        <w:t>nižšie ako pri exporte do EÚ</w:t>
      </w:r>
      <w:r w:rsidRPr="00956874">
        <w:rPr>
          <w:rFonts w:eastAsia="Times New Roman"/>
          <w:szCs w:val="24"/>
          <w:lang w:eastAsia="sk-SK"/>
        </w:rPr>
        <w:t xml:space="preserve">, </w:t>
      </w:r>
      <w:r w:rsidRPr="00956874">
        <w:rPr>
          <w:rFonts w:eastAsia="Times New Roman"/>
          <w:b/>
          <w:szCs w:val="24"/>
          <w:lang w:eastAsia="sk-SK"/>
        </w:rPr>
        <w:t>a to na úrovni 64 %.</w:t>
      </w:r>
      <w:r w:rsidRPr="00956874">
        <w:rPr>
          <w:rFonts w:eastAsia="Times New Roman"/>
          <w:szCs w:val="24"/>
          <w:lang w:eastAsia="sk-SK"/>
        </w:rPr>
        <w:t xml:space="preserve"> Ich eliminácia v prospech Kanady môže dosiahnuť až 80 %. V prípade Kanady existuje aj výrazne vyšší potenciál exportu živých zvierat ako v prípade Slovenska.</w:t>
      </w:r>
    </w:p>
    <w:p w:rsidR="00956874" w:rsidRPr="00956874" w:rsidP="00673452">
      <w:pPr>
        <w:numPr>
          <w:numId w:val="5"/>
        </w:numPr>
        <w:bidi w:val="0"/>
        <w:spacing w:after="120"/>
        <w:ind w:left="142" w:hanging="142"/>
        <w:jc w:val="both"/>
        <w:rPr>
          <w:rFonts w:eastAsia="Times New Roman"/>
          <w:szCs w:val="24"/>
          <w:lang w:eastAsia="sk-SK"/>
        </w:rPr>
      </w:pPr>
      <w:r w:rsidRPr="00956874">
        <w:rPr>
          <w:rFonts w:eastAsia="Times New Roman"/>
          <w:szCs w:val="24"/>
          <w:lang w:eastAsia="sk-SK"/>
        </w:rPr>
        <w:t xml:space="preserve">NTB sú </w:t>
      </w:r>
      <w:r w:rsidRPr="00956874">
        <w:rPr>
          <w:rFonts w:eastAsia="Times New Roman"/>
          <w:b/>
          <w:szCs w:val="24"/>
          <w:lang w:eastAsia="sk-SK"/>
        </w:rPr>
        <w:t>pri skupine mias vyššie pri exporte do EÚ (49 %), ako do Kanady (6 %).</w:t>
      </w:r>
      <w:r w:rsidRPr="00956874">
        <w:rPr>
          <w:rFonts w:eastAsia="Times New Roman"/>
          <w:szCs w:val="24"/>
          <w:lang w:eastAsia="sk-SK"/>
        </w:rPr>
        <w:t xml:space="preserve"> Preto na strane Kanady existuje </w:t>
      </w:r>
      <w:r w:rsidRPr="00956874">
        <w:rPr>
          <w:rFonts w:eastAsia="Times New Roman"/>
          <w:b/>
          <w:szCs w:val="24"/>
          <w:lang w:eastAsia="sk-SK"/>
        </w:rPr>
        <w:t>pravdepodobnosť</w:t>
      </w:r>
      <w:r w:rsidRPr="00956874">
        <w:rPr>
          <w:rFonts w:eastAsia="Times New Roman"/>
          <w:szCs w:val="24"/>
          <w:lang w:eastAsia="sk-SK"/>
        </w:rPr>
        <w:t xml:space="preserve"> (aj z dôvodu jej veľmi vysokého potenciálu výroby), </w:t>
      </w:r>
      <w:r w:rsidRPr="00956874">
        <w:rPr>
          <w:rFonts w:eastAsia="Times New Roman"/>
          <w:b/>
          <w:szCs w:val="24"/>
          <w:lang w:eastAsia="sk-SK"/>
        </w:rPr>
        <w:t>že využije elimináciu výrazne vyššej NTB na trhu EÚ</w:t>
      </w:r>
      <w:r w:rsidRPr="00956874">
        <w:rPr>
          <w:rFonts w:eastAsia="Times New Roman"/>
          <w:szCs w:val="24"/>
          <w:lang w:eastAsia="sk-SK"/>
        </w:rPr>
        <w:t>.</w:t>
      </w:r>
    </w:p>
    <w:p w:rsidR="00956874" w:rsidRPr="00956874" w:rsidP="00673452">
      <w:pPr>
        <w:numPr>
          <w:numId w:val="5"/>
        </w:numPr>
        <w:bidi w:val="0"/>
        <w:spacing w:after="120"/>
        <w:ind w:left="142" w:hanging="142"/>
        <w:jc w:val="both"/>
        <w:rPr>
          <w:rFonts w:eastAsia="Times New Roman"/>
          <w:szCs w:val="24"/>
          <w:lang w:eastAsia="sk-SK"/>
        </w:rPr>
      </w:pPr>
      <w:r w:rsidRPr="00956874">
        <w:rPr>
          <w:rFonts w:eastAsia="Times New Roman"/>
          <w:szCs w:val="24"/>
          <w:lang w:eastAsia="sk-SK"/>
        </w:rPr>
        <w:t xml:space="preserve">V skupine mlieka a mliečnych výrobkov, masla a syrov a cukru a cukroviek v prípade exportu do Kanady NTB oscilujú na úrovni okolo 20 % (t. j. okolo priemeru potravinárskeho priemyslu). </w:t>
      </w:r>
      <w:r w:rsidRPr="00956874">
        <w:rPr>
          <w:rFonts w:eastAsia="Times New Roman"/>
          <w:b/>
          <w:szCs w:val="24"/>
          <w:lang w:eastAsia="sk-SK"/>
        </w:rPr>
        <w:t>Pri skupine cukru a cukroviniek sa potenciálna eliminácia NTB javí výrazne v prospech Kanady (50 %).</w:t>
      </w:r>
    </w:p>
    <w:p w:rsidR="00956874" w:rsidRPr="00956874" w:rsidP="00673452">
      <w:pPr>
        <w:numPr>
          <w:numId w:val="5"/>
        </w:numPr>
        <w:bidi w:val="0"/>
        <w:spacing w:after="120"/>
        <w:ind w:left="142" w:hanging="142"/>
        <w:jc w:val="both"/>
        <w:rPr>
          <w:rFonts w:eastAsia="Times New Roman"/>
          <w:szCs w:val="24"/>
          <w:lang w:eastAsia="sk-SK"/>
        </w:rPr>
      </w:pPr>
      <w:r w:rsidRPr="00956874">
        <w:rPr>
          <w:rFonts w:eastAsia="Times New Roman"/>
          <w:szCs w:val="24"/>
          <w:lang w:eastAsia="sk-SK"/>
        </w:rPr>
        <w:t xml:space="preserve">Skupiny obilnín a olejnín nemôžeme, pre absentujúce preukazné výsledky, porovnávať. </w:t>
      </w:r>
      <w:r w:rsidRPr="00956874">
        <w:rPr>
          <w:rFonts w:eastAsia="Times New Roman"/>
          <w:b/>
          <w:szCs w:val="24"/>
          <w:lang w:eastAsia="sk-SK"/>
        </w:rPr>
        <w:t>Export olejnín a výrobkov z nich zo Slovenska</w:t>
      </w:r>
      <w:r w:rsidRPr="00956874">
        <w:rPr>
          <w:rFonts w:eastAsia="Times New Roman"/>
          <w:szCs w:val="24"/>
          <w:lang w:eastAsia="sk-SK"/>
        </w:rPr>
        <w:t xml:space="preserve"> je pri deficite olejnín na európskom trhu, napriek potenciálne vysokej eliminácii obchodných nákladov (takmer 43</w:t>
      </w:r>
      <w:r w:rsidR="00755D24">
        <w:rPr>
          <w:rFonts w:eastAsia="Times New Roman"/>
          <w:szCs w:val="24"/>
          <w:lang w:eastAsia="sk-SK"/>
        </w:rPr>
        <w:t> </w:t>
      </w:r>
      <w:r w:rsidRPr="00956874">
        <w:rPr>
          <w:rFonts w:eastAsia="Times New Roman"/>
          <w:szCs w:val="24"/>
          <w:lang w:eastAsia="sk-SK"/>
        </w:rPr>
        <w:t>%), skôr hypotetický.</w:t>
      </w:r>
    </w:p>
    <w:p w:rsidR="00956874" w:rsidRPr="00956874" w:rsidP="004F2E0D">
      <w:pPr>
        <w:bidi w:val="0"/>
        <w:spacing w:before="100" w:beforeAutospacing="1" w:after="100" w:afterAutospacing="1"/>
        <w:jc w:val="both"/>
        <w:rPr>
          <w:rFonts w:eastAsia="Times New Roman"/>
          <w:b/>
          <w:szCs w:val="24"/>
          <w:lang w:eastAsia="sk-SK"/>
        </w:rPr>
      </w:pPr>
      <w:r w:rsidRPr="00956874">
        <w:rPr>
          <w:rFonts w:eastAsia="Times New Roman"/>
          <w:b/>
          <w:szCs w:val="24"/>
          <w:lang w:eastAsia="sk-SK"/>
        </w:rPr>
        <w:t>Automobilový, elektrotechnický a strojársky priemysel</w:t>
      </w:r>
      <w:r>
        <w:rPr>
          <w:rStyle w:val="FootnoteReference"/>
          <w:rFonts w:eastAsia="Times New Roman"/>
          <w:b/>
          <w:szCs w:val="24"/>
          <w:rtl w:val="0"/>
          <w:lang w:eastAsia="sk-SK"/>
        </w:rPr>
        <w:footnoteReference w:id="3"/>
      </w:r>
    </w:p>
    <w:p w:rsidR="00956874" w:rsidRPr="00956874" w:rsidP="00673452">
      <w:pPr>
        <w:numPr>
          <w:numId w:val="6"/>
        </w:numPr>
        <w:bidi w:val="0"/>
        <w:spacing w:after="120"/>
        <w:ind w:left="142" w:hanging="142"/>
        <w:jc w:val="both"/>
        <w:rPr>
          <w:rFonts w:eastAsia="Times New Roman"/>
          <w:szCs w:val="24"/>
          <w:lang w:eastAsia="sk-SK"/>
        </w:rPr>
      </w:pPr>
      <w:r w:rsidRPr="00956874">
        <w:rPr>
          <w:rFonts w:eastAsia="Times New Roman"/>
          <w:szCs w:val="24"/>
          <w:lang w:eastAsia="sk-SK"/>
        </w:rPr>
        <w:t xml:space="preserve">Pre Slovenskú republiku je v automobilovom, elektrotechnickom a strojárskom priemysle dôležitý hlavne tzv. vnútroúniový zahraničný obchod (medzi členskými štátmi EÚ). Podiel Kanady na celkovom </w:t>
      </w:r>
      <w:r w:rsidRPr="00956874">
        <w:rPr>
          <w:rFonts w:eastAsia="Times New Roman"/>
          <w:b/>
          <w:szCs w:val="24"/>
          <w:lang w:eastAsia="sk-SK"/>
        </w:rPr>
        <w:t>automobilovom exporte SR</w:t>
      </w:r>
      <w:r w:rsidRPr="00956874">
        <w:rPr>
          <w:rFonts w:eastAsia="Times New Roman"/>
          <w:szCs w:val="24"/>
          <w:lang w:eastAsia="sk-SK"/>
        </w:rPr>
        <w:t xml:space="preserve"> dosahoval v roku 2016 </w:t>
      </w:r>
      <w:r w:rsidRPr="00956874">
        <w:rPr>
          <w:rFonts w:eastAsia="Times New Roman"/>
          <w:b/>
          <w:szCs w:val="24"/>
          <w:lang w:eastAsia="sk-SK"/>
        </w:rPr>
        <w:t>len približne 1</w:t>
      </w:r>
      <w:r w:rsidR="00755D24">
        <w:rPr>
          <w:rFonts w:eastAsia="Times New Roman"/>
          <w:b/>
          <w:szCs w:val="24"/>
          <w:lang w:eastAsia="sk-SK"/>
        </w:rPr>
        <w:t> </w:t>
      </w:r>
      <w:r w:rsidRPr="00956874">
        <w:rPr>
          <w:rFonts w:eastAsia="Times New Roman"/>
          <w:b/>
          <w:szCs w:val="24"/>
          <w:lang w:eastAsia="sk-SK"/>
        </w:rPr>
        <w:t>%</w:t>
      </w:r>
      <w:r w:rsidRPr="00956874">
        <w:rPr>
          <w:rFonts w:eastAsia="Times New Roman"/>
          <w:szCs w:val="24"/>
          <w:lang w:eastAsia="sk-SK"/>
        </w:rPr>
        <w:t xml:space="preserve">, pričom </w:t>
      </w:r>
      <w:r w:rsidRPr="00956874">
        <w:rPr>
          <w:rFonts w:eastAsia="Times New Roman"/>
          <w:b/>
          <w:szCs w:val="24"/>
          <w:lang w:eastAsia="sk-SK"/>
        </w:rPr>
        <w:t>v elektrotechnickom a strojárskom priemysle</w:t>
      </w:r>
      <w:r w:rsidRPr="00956874">
        <w:rPr>
          <w:rFonts w:eastAsia="Times New Roman"/>
          <w:szCs w:val="24"/>
          <w:lang w:eastAsia="sk-SK"/>
        </w:rPr>
        <w:t xml:space="preserve"> tento podiel nebol </w:t>
      </w:r>
      <w:r w:rsidRPr="00956874">
        <w:rPr>
          <w:rFonts w:eastAsia="Times New Roman"/>
          <w:b/>
          <w:szCs w:val="24"/>
          <w:lang w:eastAsia="sk-SK"/>
        </w:rPr>
        <w:t>ani 0,5</w:t>
      </w:r>
      <w:r w:rsidR="00755D24">
        <w:rPr>
          <w:rFonts w:eastAsia="Times New Roman"/>
          <w:b/>
          <w:szCs w:val="24"/>
          <w:lang w:eastAsia="sk-SK"/>
        </w:rPr>
        <w:t> </w:t>
      </w:r>
      <w:r w:rsidRPr="00956874">
        <w:rPr>
          <w:rFonts w:eastAsia="Times New Roman"/>
          <w:b/>
          <w:szCs w:val="24"/>
          <w:lang w:eastAsia="sk-SK"/>
        </w:rPr>
        <w:t>%.</w:t>
      </w:r>
    </w:p>
    <w:p w:rsidR="00956874" w:rsidRPr="00956874" w:rsidP="00673452">
      <w:pPr>
        <w:numPr>
          <w:numId w:val="6"/>
        </w:numPr>
        <w:bidi w:val="0"/>
        <w:spacing w:after="120"/>
        <w:ind w:left="142" w:hanging="142"/>
        <w:jc w:val="both"/>
        <w:rPr>
          <w:rFonts w:eastAsia="Times New Roman"/>
          <w:szCs w:val="24"/>
          <w:lang w:eastAsia="sk-SK"/>
        </w:rPr>
      </w:pPr>
      <w:r w:rsidRPr="00956874">
        <w:rPr>
          <w:rFonts w:eastAsia="Times New Roman"/>
          <w:szCs w:val="24"/>
          <w:lang w:eastAsia="sk-SK"/>
        </w:rPr>
        <w:t xml:space="preserve">Slovenská republika (ale aj celá EÚ) má vo vzájomnom zahraničnom obchode s Kanadou dlhodobo </w:t>
      </w:r>
      <w:r w:rsidRPr="00956874">
        <w:rPr>
          <w:rFonts w:eastAsia="Times New Roman"/>
          <w:b/>
          <w:szCs w:val="24"/>
          <w:lang w:eastAsia="sk-SK"/>
        </w:rPr>
        <w:t>vysoké aktívne saldo obchodnej bilancie práve v automobilovom priemysle</w:t>
      </w:r>
      <w:r w:rsidRPr="00956874">
        <w:rPr>
          <w:rFonts w:eastAsia="Times New Roman"/>
          <w:szCs w:val="24"/>
          <w:lang w:eastAsia="sk-SK"/>
        </w:rPr>
        <w:t>.</w:t>
      </w:r>
    </w:p>
    <w:p w:rsidR="00956874" w:rsidRPr="00956874" w:rsidP="004F2E0D">
      <w:pPr>
        <w:bidi w:val="0"/>
        <w:spacing w:after="120"/>
        <w:ind w:left="142" w:hanging="142"/>
        <w:jc w:val="both"/>
        <w:rPr>
          <w:rFonts w:eastAsia="Times New Roman"/>
          <w:szCs w:val="24"/>
          <w:lang w:eastAsia="sk-SK"/>
        </w:rPr>
      </w:pPr>
      <w:r w:rsidRPr="00956874">
        <w:rPr>
          <w:rFonts w:eastAsia="Times New Roman"/>
          <w:szCs w:val="24"/>
          <w:lang w:eastAsia="sk-SK"/>
        </w:rPr>
        <w:t xml:space="preserve">  K pasívnemu saldu obchodnej bilancie SR s Kanadou v elektrotechnickom a strojárskom priemysle v niektorých rokoch prispievali najmä nasledovné tovarové položky: Lietadlá, kozmické lode, ich časti a súčasti; Lode, člny a plávajúce zariadenia; Nástroje a prístroje optické, fotografické, kinematografické vrátane ich častí, súčastí a príslušenstva.</w:t>
      </w:r>
    </w:p>
    <w:p w:rsidR="00956874" w:rsidRPr="00956874" w:rsidP="00673452">
      <w:pPr>
        <w:numPr>
          <w:numId w:val="7"/>
        </w:numPr>
        <w:bidi w:val="0"/>
        <w:spacing w:after="120"/>
        <w:ind w:left="142" w:hanging="142"/>
        <w:jc w:val="both"/>
        <w:rPr>
          <w:rFonts w:eastAsia="Times New Roman"/>
          <w:szCs w:val="24"/>
          <w:lang w:eastAsia="sk-SK"/>
        </w:rPr>
      </w:pPr>
      <w:r w:rsidRPr="00956874">
        <w:rPr>
          <w:rFonts w:eastAsia="Times New Roman"/>
          <w:b/>
          <w:szCs w:val="24"/>
          <w:lang w:eastAsia="sk-SK"/>
        </w:rPr>
        <w:t>Export zo SR do Kanady</w:t>
      </w:r>
      <w:r w:rsidRPr="00956874">
        <w:rPr>
          <w:rFonts w:eastAsia="Times New Roman"/>
          <w:szCs w:val="24"/>
          <w:lang w:eastAsia="sk-SK"/>
        </w:rPr>
        <w:t xml:space="preserve"> v rámci nami skúmaných troch odvetví je neporovnateľne </w:t>
      </w:r>
      <w:r w:rsidRPr="00956874">
        <w:rPr>
          <w:rFonts w:eastAsia="Times New Roman"/>
          <w:b/>
          <w:szCs w:val="24"/>
          <w:lang w:eastAsia="sk-SK"/>
        </w:rPr>
        <w:t>viac koncentrovaný ako import z Kanady do SR</w:t>
      </w:r>
      <w:r w:rsidRPr="00956874">
        <w:rPr>
          <w:rFonts w:eastAsia="Times New Roman"/>
          <w:szCs w:val="24"/>
          <w:lang w:eastAsia="sk-SK"/>
        </w:rPr>
        <w:t>.</w:t>
      </w:r>
    </w:p>
    <w:p w:rsidR="00956874" w:rsidRPr="00956874" w:rsidP="00673452">
      <w:pPr>
        <w:numPr>
          <w:numId w:val="7"/>
        </w:numPr>
        <w:bidi w:val="0"/>
        <w:spacing w:after="120"/>
        <w:ind w:left="142" w:hanging="142"/>
        <w:jc w:val="both"/>
        <w:rPr>
          <w:rFonts w:eastAsia="Times New Roman"/>
          <w:szCs w:val="24"/>
          <w:lang w:eastAsia="sk-SK"/>
        </w:rPr>
      </w:pPr>
      <w:r w:rsidRPr="00956874">
        <w:rPr>
          <w:rFonts w:eastAsia="Times New Roman"/>
          <w:szCs w:val="24"/>
          <w:lang w:eastAsia="sk-SK"/>
        </w:rPr>
        <w:t xml:space="preserve">V exporte zo SR do Kanady má prevahu </w:t>
      </w:r>
      <w:r w:rsidRPr="00956874">
        <w:rPr>
          <w:rFonts w:eastAsia="Times New Roman"/>
          <w:b/>
          <w:szCs w:val="24"/>
          <w:lang w:eastAsia="sk-SK"/>
        </w:rPr>
        <w:t>automobilový priemysel (73</w:t>
      </w:r>
      <w:r w:rsidR="00755D24">
        <w:rPr>
          <w:rFonts w:eastAsia="Times New Roman"/>
          <w:b/>
          <w:szCs w:val="24"/>
          <w:lang w:eastAsia="sk-SK"/>
        </w:rPr>
        <w:t> </w:t>
      </w:r>
      <w:r w:rsidRPr="00956874">
        <w:rPr>
          <w:rFonts w:eastAsia="Times New Roman"/>
          <w:b/>
          <w:szCs w:val="24"/>
          <w:lang w:eastAsia="sk-SK"/>
        </w:rPr>
        <w:t>% celkového slovenského exportu do Kanady)</w:t>
      </w:r>
      <w:r w:rsidRPr="00956874">
        <w:rPr>
          <w:rFonts w:eastAsia="Times New Roman"/>
          <w:szCs w:val="24"/>
          <w:lang w:eastAsia="sk-SK"/>
        </w:rPr>
        <w:t>, s dominantným zastúpením osobných automobilov na celkovom exporte.</w:t>
      </w:r>
    </w:p>
    <w:p w:rsidR="00956874" w:rsidRPr="00956874" w:rsidP="00673452">
      <w:pPr>
        <w:numPr>
          <w:numId w:val="7"/>
        </w:numPr>
        <w:bidi w:val="0"/>
        <w:spacing w:after="120"/>
        <w:ind w:left="142" w:hanging="142"/>
        <w:jc w:val="both"/>
        <w:rPr>
          <w:rFonts w:eastAsia="Times New Roman"/>
          <w:szCs w:val="24"/>
          <w:lang w:eastAsia="sk-SK"/>
        </w:rPr>
      </w:pPr>
      <w:r w:rsidRPr="00956874">
        <w:rPr>
          <w:rFonts w:eastAsia="Times New Roman"/>
          <w:szCs w:val="24"/>
          <w:lang w:eastAsia="sk-SK"/>
        </w:rPr>
        <w:t xml:space="preserve">Uzavretie dohody o voľnom obchode s Kanadou by tak malo byť </w:t>
      </w:r>
      <w:r w:rsidRPr="00956874">
        <w:rPr>
          <w:rFonts w:eastAsia="Times New Roman"/>
          <w:b/>
          <w:szCs w:val="24"/>
          <w:lang w:eastAsia="sk-SK"/>
        </w:rPr>
        <w:t>príležitosťou najmä pre automobilové spoločnosti pôsobiace na území SR</w:t>
      </w:r>
      <w:r w:rsidRPr="00956874">
        <w:rPr>
          <w:rFonts w:eastAsia="Times New Roman"/>
          <w:szCs w:val="24"/>
          <w:lang w:eastAsia="sk-SK"/>
        </w:rPr>
        <w:t xml:space="preserve"> na zvýšenie exportu do Kanady, čo by prispelo k jeho väčšej diverzifikácii.</w:t>
      </w:r>
    </w:p>
    <w:p w:rsidR="00956874" w:rsidRPr="00956874" w:rsidP="00673452">
      <w:pPr>
        <w:numPr>
          <w:numId w:val="7"/>
        </w:numPr>
        <w:bidi w:val="0"/>
        <w:spacing w:after="120"/>
        <w:ind w:left="142" w:hanging="142"/>
        <w:jc w:val="both"/>
        <w:rPr>
          <w:rFonts w:eastAsia="Times New Roman"/>
          <w:szCs w:val="24"/>
          <w:lang w:eastAsia="sk-SK"/>
        </w:rPr>
      </w:pPr>
      <w:r w:rsidRPr="00956874">
        <w:rPr>
          <w:rFonts w:eastAsia="Times New Roman"/>
          <w:szCs w:val="24"/>
          <w:lang w:eastAsia="sk-SK"/>
        </w:rPr>
        <w:t>V</w:t>
      </w:r>
      <w:r w:rsidR="004C6914">
        <w:rPr>
          <w:rFonts w:eastAsia="Times New Roman"/>
          <w:szCs w:val="24"/>
          <w:lang w:eastAsia="sk-SK"/>
        </w:rPr>
        <w:t> dovoze Slovenska</w:t>
      </w:r>
      <w:r w:rsidRPr="00956874">
        <w:rPr>
          <w:rFonts w:eastAsia="Times New Roman"/>
          <w:szCs w:val="24"/>
          <w:lang w:eastAsia="sk-SK"/>
        </w:rPr>
        <w:t xml:space="preserve"> z Kanady </w:t>
      </w:r>
      <w:r w:rsidRPr="00956874">
        <w:rPr>
          <w:rFonts w:eastAsia="Times New Roman"/>
          <w:b/>
          <w:szCs w:val="24"/>
          <w:lang w:eastAsia="sk-SK"/>
        </w:rPr>
        <w:t>v automobilovom priemysle dominujú medziprodukty</w:t>
      </w:r>
      <w:r w:rsidRPr="00956874">
        <w:rPr>
          <w:rFonts w:eastAsia="Times New Roman"/>
          <w:szCs w:val="24"/>
          <w:lang w:eastAsia="sk-SK"/>
        </w:rPr>
        <w:t xml:space="preserve">, čo súvisí s tým, že </w:t>
      </w:r>
      <w:r w:rsidR="004C6914">
        <w:rPr>
          <w:rFonts w:eastAsia="Times New Roman"/>
          <w:szCs w:val="24"/>
          <w:lang w:eastAsia="sk-SK"/>
        </w:rPr>
        <w:t>výroba</w:t>
      </w:r>
      <w:r w:rsidRPr="00956874" w:rsidR="004C6914">
        <w:rPr>
          <w:rFonts w:eastAsia="Times New Roman"/>
          <w:szCs w:val="24"/>
          <w:lang w:eastAsia="sk-SK"/>
        </w:rPr>
        <w:t xml:space="preserve"> konštrukcií a komponentov </w:t>
      </w:r>
      <w:r w:rsidR="004C6914">
        <w:rPr>
          <w:rFonts w:eastAsia="Times New Roman"/>
          <w:szCs w:val="24"/>
          <w:lang w:eastAsia="sk-SK"/>
        </w:rPr>
        <w:t xml:space="preserve">sa v Kanade podieľala na </w:t>
      </w:r>
      <w:r w:rsidRPr="00956874">
        <w:rPr>
          <w:rFonts w:eastAsia="Times New Roman"/>
          <w:szCs w:val="24"/>
          <w:lang w:eastAsia="sk-SK"/>
        </w:rPr>
        <w:t xml:space="preserve">celkovom objeme výroby v automobilovom priemysle </w:t>
      </w:r>
      <w:r w:rsidR="004C6914">
        <w:rPr>
          <w:rFonts w:eastAsia="Times New Roman"/>
          <w:szCs w:val="24"/>
          <w:lang w:eastAsia="sk-SK"/>
        </w:rPr>
        <w:t>viac ako polovicou</w:t>
      </w:r>
      <w:r w:rsidRPr="00956874">
        <w:rPr>
          <w:rFonts w:eastAsia="Times New Roman"/>
          <w:szCs w:val="24"/>
          <w:lang w:eastAsia="sk-SK"/>
        </w:rPr>
        <w:t>.</w:t>
      </w:r>
    </w:p>
    <w:p w:rsidR="00956874" w:rsidRPr="00956874" w:rsidP="00673452">
      <w:pPr>
        <w:numPr>
          <w:numId w:val="7"/>
        </w:numPr>
        <w:bidi w:val="0"/>
        <w:spacing w:after="120"/>
        <w:ind w:left="142" w:hanging="142"/>
        <w:jc w:val="both"/>
        <w:rPr>
          <w:rFonts w:eastAsia="Times New Roman"/>
          <w:szCs w:val="24"/>
          <w:lang w:eastAsia="sk-SK"/>
        </w:rPr>
      </w:pPr>
      <w:r w:rsidRPr="00956874">
        <w:rPr>
          <w:rFonts w:eastAsia="Times New Roman"/>
          <w:b/>
          <w:szCs w:val="24"/>
          <w:lang w:eastAsia="sk-SK"/>
        </w:rPr>
        <w:t>Veľká časť produkcie</w:t>
      </w:r>
      <w:r w:rsidRPr="00956874">
        <w:rPr>
          <w:rFonts w:eastAsia="Times New Roman"/>
          <w:szCs w:val="24"/>
          <w:lang w:eastAsia="sk-SK"/>
        </w:rPr>
        <w:t xml:space="preserve"> v automobilovom, strojárskom a elektrotechnickom priemysle je </w:t>
      </w:r>
      <w:r w:rsidRPr="00956874">
        <w:rPr>
          <w:rFonts w:eastAsia="Times New Roman"/>
          <w:b/>
          <w:szCs w:val="24"/>
          <w:lang w:eastAsia="sk-SK"/>
        </w:rPr>
        <w:t>koncentrovaná v západoslovenskom regióne</w:t>
      </w:r>
      <w:r w:rsidRPr="00956874">
        <w:rPr>
          <w:rFonts w:eastAsia="Times New Roman"/>
          <w:szCs w:val="24"/>
          <w:lang w:eastAsia="sk-SK"/>
        </w:rPr>
        <w:t>, čo znamená, že prípadné benefity plynúce z uzatvorenia dohody CETA nebudú na Slovensku rozložené rovnomerne.</w:t>
      </w:r>
    </w:p>
    <w:p w:rsidR="00956874" w:rsidRPr="00956874" w:rsidP="00673452">
      <w:pPr>
        <w:numPr>
          <w:numId w:val="7"/>
        </w:numPr>
        <w:bidi w:val="0"/>
        <w:spacing w:after="120"/>
        <w:ind w:left="142" w:hanging="142"/>
        <w:jc w:val="both"/>
        <w:rPr>
          <w:rFonts w:eastAsia="Times New Roman"/>
          <w:szCs w:val="24"/>
          <w:lang w:eastAsia="sk-SK"/>
        </w:rPr>
      </w:pPr>
      <w:r w:rsidRPr="00956874">
        <w:rPr>
          <w:rFonts w:eastAsia="Times New Roman"/>
          <w:b/>
          <w:szCs w:val="24"/>
          <w:lang w:eastAsia="sk-SK"/>
        </w:rPr>
        <w:t>Ťažobný priemysel tvoril 39 % z celkového slovenského importu z Kanady</w:t>
      </w:r>
      <w:r w:rsidRPr="00956874">
        <w:rPr>
          <w:rFonts w:eastAsia="Times New Roman"/>
          <w:szCs w:val="24"/>
          <w:lang w:eastAsia="sk-SK"/>
        </w:rPr>
        <w:t>. Odstránenie tarifných a netarifných bariér pre slovenských importérov by mohlo prispieť k zníženiu ich nákladov na vstupy, ktoré musia vynaložiť pri výrobe konečných produktov.</w:t>
      </w:r>
    </w:p>
    <w:p w:rsidR="00956874" w:rsidRPr="00956874" w:rsidP="00673452">
      <w:pPr>
        <w:numPr>
          <w:numId w:val="7"/>
        </w:numPr>
        <w:bidi w:val="0"/>
        <w:spacing w:after="120"/>
        <w:ind w:left="142" w:hanging="142"/>
        <w:jc w:val="both"/>
        <w:rPr>
          <w:rFonts w:eastAsia="Times New Roman"/>
          <w:szCs w:val="24"/>
          <w:lang w:eastAsia="sk-SK"/>
        </w:rPr>
      </w:pPr>
      <w:r w:rsidRPr="00956874">
        <w:rPr>
          <w:rFonts w:eastAsia="Times New Roman"/>
          <w:b/>
          <w:szCs w:val="24"/>
          <w:lang w:eastAsia="sk-SK"/>
        </w:rPr>
        <w:t>Až približne 80% z celkového počtu importujúcich firiem</w:t>
      </w:r>
      <w:r w:rsidRPr="00956874">
        <w:rPr>
          <w:rFonts w:eastAsia="Times New Roman"/>
          <w:szCs w:val="24"/>
          <w:lang w:eastAsia="sk-SK"/>
        </w:rPr>
        <w:t xml:space="preserve"> v slovenskom automobilovom, elektrotechnickom a strojárskom priemysle </w:t>
      </w:r>
      <w:r w:rsidRPr="00956874">
        <w:rPr>
          <w:rFonts w:eastAsia="Times New Roman"/>
          <w:b/>
          <w:szCs w:val="24"/>
          <w:lang w:eastAsia="sk-SK"/>
        </w:rPr>
        <w:t>tvorili malé a stredné podniky</w:t>
      </w:r>
      <w:r w:rsidRPr="00956874">
        <w:rPr>
          <w:rFonts w:eastAsia="Times New Roman"/>
          <w:szCs w:val="24"/>
          <w:lang w:eastAsia="sk-SK"/>
        </w:rPr>
        <w:t>.</w:t>
      </w:r>
    </w:p>
    <w:p w:rsidR="00956874" w:rsidRPr="00956874" w:rsidP="00673452">
      <w:pPr>
        <w:numPr>
          <w:numId w:val="7"/>
        </w:numPr>
        <w:bidi w:val="0"/>
        <w:spacing w:after="120"/>
        <w:ind w:left="142" w:hanging="142"/>
        <w:jc w:val="both"/>
        <w:rPr>
          <w:rFonts w:eastAsia="Times New Roman"/>
          <w:szCs w:val="24"/>
          <w:lang w:eastAsia="sk-SK"/>
        </w:rPr>
      </w:pPr>
      <w:r w:rsidRPr="00956874">
        <w:rPr>
          <w:rFonts w:eastAsia="Times New Roman"/>
          <w:szCs w:val="24"/>
          <w:lang w:eastAsia="sk-SK"/>
        </w:rPr>
        <w:t xml:space="preserve">Z celkového počtu </w:t>
      </w:r>
      <w:r w:rsidRPr="00956874">
        <w:rPr>
          <w:rFonts w:eastAsia="Times New Roman"/>
          <w:b/>
          <w:szCs w:val="24"/>
          <w:lang w:eastAsia="sk-SK"/>
        </w:rPr>
        <w:t>exportujúcich firiem</w:t>
      </w:r>
      <w:r w:rsidRPr="00956874">
        <w:rPr>
          <w:rFonts w:eastAsia="Times New Roman"/>
          <w:szCs w:val="24"/>
          <w:lang w:eastAsia="sk-SK"/>
        </w:rPr>
        <w:t xml:space="preserve"> pôsobiacich na Slovensku </w:t>
      </w:r>
      <w:r w:rsidRPr="00956874">
        <w:rPr>
          <w:rFonts w:eastAsia="Times New Roman"/>
          <w:b/>
          <w:szCs w:val="24"/>
          <w:lang w:eastAsia="sk-SK"/>
        </w:rPr>
        <w:t>len necelé 1 % exportuje do Kanady</w:t>
      </w:r>
      <w:r w:rsidRPr="00956874">
        <w:rPr>
          <w:rFonts w:eastAsia="Times New Roman"/>
          <w:szCs w:val="24"/>
          <w:lang w:eastAsia="sk-SK"/>
        </w:rPr>
        <w:t xml:space="preserve"> (bez ohľadu na priemyselné odvetvie).</w:t>
      </w:r>
    </w:p>
    <w:p w:rsidR="00956874" w:rsidRPr="00956874" w:rsidP="004F2E0D">
      <w:pPr>
        <w:bidi w:val="0"/>
        <w:spacing w:after="120"/>
        <w:ind w:left="142"/>
        <w:jc w:val="both"/>
        <w:rPr>
          <w:rFonts w:eastAsia="Times New Roman"/>
          <w:szCs w:val="24"/>
          <w:lang w:eastAsia="sk-SK"/>
        </w:rPr>
      </w:pPr>
      <w:r w:rsidRPr="00956874">
        <w:rPr>
          <w:rFonts w:eastAsia="Times New Roman"/>
          <w:szCs w:val="24"/>
          <w:lang w:eastAsia="sk-SK"/>
        </w:rPr>
        <w:t>Na exporte SR do Kanady v rámci automobilového priemyslu sa podieľal približne rovnaký počet malých a stredných podnikov a veľkých firiem.</w:t>
      </w:r>
    </w:p>
    <w:p w:rsidR="00956874" w:rsidRPr="00956874" w:rsidP="00673452">
      <w:pPr>
        <w:numPr>
          <w:numId w:val="8"/>
        </w:numPr>
        <w:bidi w:val="0"/>
        <w:spacing w:after="120"/>
        <w:ind w:left="142" w:hanging="142"/>
        <w:jc w:val="both"/>
        <w:rPr>
          <w:rFonts w:eastAsia="Times New Roman"/>
          <w:szCs w:val="24"/>
          <w:lang w:eastAsia="sk-SK"/>
        </w:rPr>
      </w:pPr>
      <w:r w:rsidRPr="00956874">
        <w:rPr>
          <w:rFonts w:eastAsia="Times New Roman"/>
          <w:szCs w:val="24"/>
          <w:lang w:eastAsia="sk-SK"/>
        </w:rPr>
        <w:t>Priame benefity plynúce z odstránenia tarifných a netarifných bariér po schválení CETA budú  v tomto odvetví rozdelené medzi malý počet firiem (v roku 2016 exportovalo do Kanady  v automobilovom priemysle len 11 podnikov).</w:t>
      </w:r>
    </w:p>
    <w:p w:rsidR="00956874" w:rsidRPr="00956874" w:rsidP="00673452">
      <w:pPr>
        <w:numPr>
          <w:numId w:val="8"/>
        </w:numPr>
        <w:bidi w:val="0"/>
        <w:spacing w:after="120"/>
        <w:ind w:left="142" w:hanging="142"/>
        <w:jc w:val="both"/>
        <w:rPr>
          <w:rFonts w:eastAsia="Times New Roman"/>
          <w:szCs w:val="24"/>
          <w:lang w:eastAsia="sk-SK"/>
        </w:rPr>
      </w:pPr>
      <w:r w:rsidRPr="00956874">
        <w:rPr>
          <w:rFonts w:eastAsia="Times New Roman"/>
          <w:b/>
          <w:szCs w:val="24"/>
          <w:lang w:eastAsia="sk-SK"/>
        </w:rPr>
        <w:t>Prevažujúcu väčšinu z celkového počtu</w:t>
      </w:r>
      <w:r w:rsidRPr="00956874">
        <w:rPr>
          <w:rFonts w:eastAsia="Times New Roman"/>
          <w:szCs w:val="24"/>
          <w:lang w:eastAsia="sk-SK"/>
        </w:rPr>
        <w:t xml:space="preserve"> slovenských firiem v elektrotechnickom </w:t>
      </w:r>
      <w:r w:rsidR="002F0989">
        <w:rPr>
          <w:rFonts w:eastAsia="Times New Roman"/>
          <w:szCs w:val="24"/>
          <w:lang w:eastAsia="sk-SK"/>
        </w:rPr>
        <w:br/>
      </w:r>
      <w:r w:rsidRPr="00956874">
        <w:rPr>
          <w:rFonts w:eastAsia="Times New Roman"/>
          <w:szCs w:val="24"/>
          <w:lang w:eastAsia="sk-SK"/>
        </w:rPr>
        <w:t xml:space="preserve">a strojárskom priemysle exportujúcich do Kanady </w:t>
      </w:r>
      <w:r w:rsidRPr="00956874">
        <w:rPr>
          <w:rFonts w:eastAsia="Times New Roman"/>
          <w:b/>
          <w:szCs w:val="24"/>
          <w:lang w:eastAsia="sk-SK"/>
        </w:rPr>
        <w:t>tvoria práve malé a stredné podniky</w:t>
      </w:r>
      <w:r w:rsidRPr="00956874">
        <w:rPr>
          <w:rFonts w:eastAsia="Times New Roman"/>
          <w:szCs w:val="24"/>
          <w:lang w:eastAsia="sk-SK"/>
        </w:rPr>
        <w:t>, ktoré by z uzatvorenia dohody CETA mali profitovať najviac.</w:t>
      </w:r>
    </w:p>
    <w:p w:rsidR="00956874" w:rsidRPr="00956874" w:rsidP="00673452">
      <w:pPr>
        <w:numPr>
          <w:numId w:val="8"/>
        </w:numPr>
        <w:bidi w:val="0"/>
        <w:spacing w:after="120"/>
        <w:ind w:left="142" w:hanging="142"/>
        <w:jc w:val="both"/>
        <w:rPr>
          <w:rFonts w:eastAsia="Times New Roman"/>
          <w:szCs w:val="24"/>
          <w:lang w:eastAsia="sk-SK"/>
        </w:rPr>
      </w:pPr>
      <w:r w:rsidRPr="00956874">
        <w:rPr>
          <w:rFonts w:eastAsia="Times New Roman"/>
          <w:szCs w:val="24"/>
          <w:lang w:eastAsia="sk-SK"/>
        </w:rPr>
        <w:t xml:space="preserve">Postupné odstraňovanie tarifných aj netarifných prekážok obchodu </w:t>
      </w:r>
      <w:r w:rsidRPr="00956874">
        <w:rPr>
          <w:rFonts w:eastAsia="Times New Roman"/>
          <w:b/>
          <w:szCs w:val="24"/>
          <w:lang w:eastAsia="sk-SK"/>
        </w:rPr>
        <w:t>môže pomôcť čiastočne zvýšiť konkurencieschopnosť slovenských malých a stredných podnikov na kanadskom trhu</w:t>
      </w:r>
      <w:r w:rsidRPr="00956874">
        <w:rPr>
          <w:rFonts w:eastAsia="Times New Roman"/>
          <w:szCs w:val="24"/>
          <w:lang w:eastAsia="sk-SK"/>
        </w:rPr>
        <w:t>, keďže sú pri existencii súčasných bariér zahraničného obchodu len veľmi ťažko schopné konkurovať veľkým etablovaným spoločnostiam, prípadne transnacionálnym korporáciám.</w:t>
      </w:r>
    </w:p>
    <w:p w:rsidR="00956874" w:rsidRPr="00956874" w:rsidP="00673452">
      <w:pPr>
        <w:numPr>
          <w:numId w:val="8"/>
        </w:numPr>
        <w:bidi w:val="0"/>
        <w:spacing w:after="120"/>
        <w:ind w:left="142" w:hanging="142"/>
        <w:jc w:val="both"/>
        <w:rPr>
          <w:rFonts w:eastAsia="Times New Roman"/>
          <w:szCs w:val="24"/>
          <w:lang w:eastAsia="sk-SK"/>
        </w:rPr>
      </w:pPr>
      <w:r w:rsidRPr="00956874">
        <w:rPr>
          <w:rFonts w:eastAsia="Times New Roman"/>
          <w:szCs w:val="24"/>
          <w:lang w:eastAsia="sk-SK"/>
        </w:rPr>
        <w:t xml:space="preserve">Hodnota colných platieb týkajúcich sa importovaného tovaru v automobilovom, elektrotechnickom a strojárskom priemysle s deklarovaným pôvodom z Kanady tvorila </w:t>
      </w:r>
      <w:r w:rsidRPr="00956874">
        <w:rPr>
          <w:rFonts w:eastAsia="Times New Roman"/>
          <w:b/>
          <w:szCs w:val="24"/>
          <w:lang w:eastAsia="sk-SK"/>
        </w:rPr>
        <w:t xml:space="preserve">len </w:t>
        <w:br/>
        <w:t>0,5 % celkových vybraných colných platieb súvisiacich s importom zo všetkých krajín</w:t>
      </w:r>
      <w:r w:rsidRPr="00956874">
        <w:rPr>
          <w:rFonts w:eastAsia="Times New Roman"/>
          <w:szCs w:val="24"/>
          <w:lang w:eastAsia="sk-SK"/>
        </w:rPr>
        <w:t xml:space="preserve"> a  z tohto dôvodu odstránenie tarifných bariér s Kanadou </w:t>
      </w:r>
      <w:r w:rsidRPr="00956874">
        <w:rPr>
          <w:rFonts w:eastAsia="Times New Roman"/>
          <w:b/>
          <w:szCs w:val="24"/>
          <w:lang w:eastAsia="sk-SK"/>
        </w:rPr>
        <w:t>nebude mať významný vplyv na štátny rozpočet SR</w:t>
      </w:r>
      <w:r w:rsidRPr="00956874">
        <w:rPr>
          <w:rFonts w:eastAsia="Times New Roman"/>
          <w:szCs w:val="24"/>
          <w:lang w:eastAsia="sk-SK"/>
        </w:rPr>
        <w:t>.</w:t>
      </w:r>
    </w:p>
    <w:p w:rsidR="00956874" w:rsidRPr="00956874" w:rsidP="004F2E0D">
      <w:pPr>
        <w:bidi w:val="0"/>
        <w:spacing w:after="120"/>
        <w:ind w:left="142"/>
        <w:jc w:val="both"/>
        <w:rPr>
          <w:rFonts w:eastAsia="Times New Roman"/>
          <w:szCs w:val="24"/>
          <w:lang w:eastAsia="sk-SK"/>
        </w:rPr>
      </w:pPr>
      <w:r w:rsidRPr="00956874">
        <w:rPr>
          <w:rFonts w:eastAsia="Times New Roman"/>
          <w:szCs w:val="24"/>
          <w:lang w:eastAsia="sk-SK"/>
        </w:rPr>
        <w:t>Eliminácia netarifných obmedzení obchodu by európskym firmám mohla priniesť v</w:t>
      </w:r>
      <w:r w:rsidR="00755D24">
        <w:rPr>
          <w:rFonts w:eastAsia="Times New Roman"/>
          <w:szCs w:val="24"/>
          <w:lang w:eastAsia="sk-SK"/>
        </w:rPr>
        <w:t> </w:t>
      </w:r>
      <w:r w:rsidRPr="00956874">
        <w:rPr>
          <w:rFonts w:eastAsia="Times New Roman"/>
          <w:szCs w:val="24"/>
          <w:lang w:eastAsia="sk-SK"/>
        </w:rPr>
        <w:t>porovnaní s tarifnými prekážkami na strane Kanady väčšie pozitívne efekty. Na strane Kanady je totiž účinných viac netarifných obmedzení ako na strane EÚ a po ich odbúraní by sme mohli očakávať pozitívnejšie efekty pre európske a slovenské firmy.</w:t>
      </w:r>
    </w:p>
    <w:p w:rsidR="00956874" w:rsidRPr="00956874" w:rsidP="00956874">
      <w:pPr>
        <w:bidi w:val="0"/>
        <w:spacing w:before="100" w:beforeAutospacing="1" w:after="100" w:afterAutospacing="1"/>
        <w:jc w:val="both"/>
        <w:rPr>
          <w:rFonts w:eastAsia="Times New Roman"/>
          <w:szCs w:val="24"/>
          <w:lang w:eastAsia="sk-SK"/>
        </w:rPr>
      </w:pPr>
    </w:p>
    <w:p w:rsidR="003C7656" w:rsidP="00C6449B">
      <w:pPr>
        <w:bidi w:val="0"/>
        <w:spacing w:before="240" w:after="240"/>
        <w:jc w:val="center"/>
        <w:rPr>
          <w:rFonts w:eastAsia="Times New Roman"/>
          <w:b/>
          <w:sz w:val="36"/>
          <w:szCs w:val="36"/>
          <w:lang w:eastAsia="de-DE"/>
        </w:rPr>
        <w:sectPr w:rsidSect="003C7656">
          <w:footerReference w:type="default" r:id="rId7"/>
          <w:pgSz w:w="11906" w:h="16838"/>
          <w:pgMar w:top="1417" w:right="1417" w:bottom="1417" w:left="1417" w:header="737" w:footer="737" w:gutter="0"/>
          <w:lnNumType w:distance="0"/>
          <w:pgNumType w:start="1"/>
          <w:cols w:space="708"/>
          <w:noEndnote w:val="0"/>
          <w:bidi w:val="0"/>
          <w:docGrid w:linePitch="326"/>
        </w:sectPr>
      </w:pPr>
    </w:p>
    <w:p w:rsidR="00C6449B" w:rsidP="00C6449B">
      <w:pPr>
        <w:bidi w:val="0"/>
        <w:spacing w:before="240" w:after="240"/>
        <w:jc w:val="center"/>
        <w:rPr>
          <w:rFonts w:eastAsia="Times New Roman"/>
          <w:b/>
          <w:sz w:val="36"/>
          <w:szCs w:val="36"/>
          <w:lang w:eastAsia="de-DE"/>
        </w:rPr>
      </w:pPr>
    </w:p>
    <w:p w:rsidR="00C6449B" w:rsidP="00C6449B">
      <w:pPr>
        <w:bidi w:val="0"/>
        <w:spacing w:before="240" w:after="240"/>
        <w:jc w:val="center"/>
        <w:rPr>
          <w:rFonts w:eastAsia="Times New Roman"/>
          <w:b/>
          <w:sz w:val="36"/>
          <w:szCs w:val="36"/>
          <w:lang w:eastAsia="de-DE"/>
        </w:rPr>
      </w:pPr>
    </w:p>
    <w:p w:rsidR="00755D24" w:rsidP="00C6449B">
      <w:pPr>
        <w:bidi w:val="0"/>
        <w:spacing w:before="240" w:after="240"/>
        <w:jc w:val="center"/>
        <w:rPr>
          <w:rFonts w:eastAsia="Times New Roman"/>
          <w:b/>
          <w:sz w:val="36"/>
          <w:szCs w:val="36"/>
          <w:lang w:eastAsia="de-DE"/>
        </w:rPr>
      </w:pPr>
    </w:p>
    <w:p w:rsidR="00C6449B" w:rsidP="00C6449B">
      <w:pPr>
        <w:bidi w:val="0"/>
        <w:spacing w:before="240" w:after="240"/>
        <w:jc w:val="center"/>
        <w:rPr>
          <w:rFonts w:eastAsia="Times New Roman"/>
          <w:b/>
          <w:sz w:val="36"/>
          <w:szCs w:val="36"/>
          <w:lang w:eastAsia="de-DE"/>
        </w:rPr>
      </w:pPr>
    </w:p>
    <w:p w:rsidR="00C6449B" w:rsidP="00C6449B">
      <w:pPr>
        <w:bidi w:val="0"/>
        <w:spacing w:before="240" w:after="240"/>
        <w:jc w:val="center"/>
        <w:rPr>
          <w:rFonts w:eastAsia="Times New Roman"/>
          <w:b/>
          <w:sz w:val="36"/>
          <w:szCs w:val="36"/>
          <w:lang w:eastAsia="de-DE"/>
        </w:rPr>
      </w:pPr>
    </w:p>
    <w:p w:rsidR="00273142" w:rsidP="00C6449B">
      <w:pPr>
        <w:bidi w:val="0"/>
        <w:spacing w:before="240" w:after="240"/>
        <w:jc w:val="center"/>
        <w:rPr>
          <w:rFonts w:eastAsia="Times New Roman"/>
          <w:b/>
          <w:sz w:val="36"/>
          <w:szCs w:val="36"/>
          <w:lang w:eastAsia="de-DE"/>
        </w:rPr>
      </w:pPr>
    </w:p>
    <w:p w:rsidR="00273142" w:rsidP="00C6449B">
      <w:pPr>
        <w:bidi w:val="0"/>
        <w:spacing w:before="240" w:after="240"/>
        <w:jc w:val="center"/>
        <w:rPr>
          <w:rFonts w:eastAsia="Times New Roman"/>
          <w:b/>
          <w:sz w:val="36"/>
          <w:szCs w:val="36"/>
          <w:lang w:eastAsia="de-DE"/>
        </w:rPr>
      </w:pPr>
    </w:p>
    <w:p w:rsidR="00C6449B" w:rsidRPr="00C6449B" w:rsidP="00C6449B">
      <w:pPr>
        <w:bidi w:val="0"/>
        <w:jc w:val="center"/>
        <w:rPr>
          <w:rFonts w:eastAsia="Times New Roman"/>
          <w:b/>
          <w:sz w:val="36"/>
          <w:szCs w:val="36"/>
          <w:lang w:eastAsia="de-DE"/>
        </w:rPr>
      </w:pPr>
      <w:r w:rsidRPr="00C6449B">
        <w:rPr>
          <w:rFonts w:eastAsia="Times New Roman"/>
          <w:b/>
          <w:sz w:val="36"/>
          <w:szCs w:val="36"/>
          <w:lang w:eastAsia="de-DE"/>
        </w:rPr>
        <w:t>Komplexn</w:t>
      </w:r>
      <w:r>
        <w:rPr>
          <w:rFonts w:eastAsia="Times New Roman"/>
          <w:b/>
          <w:sz w:val="36"/>
          <w:szCs w:val="36"/>
          <w:lang w:eastAsia="de-DE"/>
        </w:rPr>
        <w:t>á</w:t>
      </w:r>
      <w:r w:rsidRPr="00C6449B">
        <w:rPr>
          <w:rFonts w:eastAsia="Times New Roman"/>
          <w:b/>
          <w:sz w:val="36"/>
          <w:szCs w:val="36"/>
          <w:lang w:eastAsia="de-DE"/>
        </w:rPr>
        <w:t xml:space="preserve"> hospodársk</w:t>
      </w:r>
      <w:r>
        <w:rPr>
          <w:rFonts w:eastAsia="Times New Roman"/>
          <w:b/>
          <w:sz w:val="36"/>
          <w:szCs w:val="36"/>
          <w:lang w:eastAsia="de-DE"/>
        </w:rPr>
        <w:t>a</w:t>
      </w:r>
      <w:r w:rsidRPr="00C6449B">
        <w:rPr>
          <w:rFonts w:eastAsia="Times New Roman"/>
          <w:b/>
          <w:sz w:val="36"/>
          <w:szCs w:val="36"/>
          <w:lang w:eastAsia="de-DE"/>
        </w:rPr>
        <w:t xml:space="preserve"> a obchodn</w:t>
      </w:r>
      <w:r>
        <w:rPr>
          <w:rFonts w:eastAsia="Times New Roman"/>
          <w:b/>
          <w:sz w:val="36"/>
          <w:szCs w:val="36"/>
          <w:lang w:eastAsia="de-DE"/>
        </w:rPr>
        <w:t>á</w:t>
      </w:r>
      <w:r w:rsidRPr="00C6449B">
        <w:rPr>
          <w:rFonts w:eastAsia="Times New Roman"/>
          <w:b/>
          <w:sz w:val="36"/>
          <w:szCs w:val="36"/>
          <w:lang w:eastAsia="de-DE"/>
        </w:rPr>
        <w:t xml:space="preserve"> dohod</w:t>
      </w:r>
      <w:r>
        <w:rPr>
          <w:rFonts w:eastAsia="Times New Roman"/>
          <w:b/>
          <w:sz w:val="36"/>
          <w:szCs w:val="36"/>
          <w:lang w:eastAsia="de-DE"/>
        </w:rPr>
        <w:t>a</w:t>
      </w:r>
      <w:r w:rsidRPr="00C6449B">
        <w:rPr>
          <w:rFonts w:eastAsia="Times New Roman"/>
          <w:b/>
          <w:sz w:val="36"/>
          <w:szCs w:val="36"/>
          <w:lang w:eastAsia="de-DE"/>
        </w:rPr>
        <w:t xml:space="preserve"> (CETA) medzi Kanadou na jednej strane a Európskou úniou a jej členskými štátmi na strane druhej </w:t>
      </w:r>
    </w:p>
    <w:p w:rsidR="00C6449B" w:rsidRPr="00C6449B" w:rsidP="00C6449B">
      <w:pPr>
        <w:bidi w:val="0"/>
        <w:jc w:val="center"/>
        <w:rPr>
          <w:rFonts w:eastAsia="Times New Roman"/>
          <w:b/>
          <w:sz w:val="26"/>
          <w:szCs w:val="26"/>
          <w:lang w:eastAsia="sk-SK"/>
        </w:rPr>
      </w:pPr>
    </w:p>
    <w:p w:rsidR="00C6449B" w:rsidRPr="00C6449B" w:rsidP="00C6449B">
      <w:pPr>
        <w:bidi w:val="0"/>
        <w:jc w:val="center"/>
        <w:rPr>
          <w:rFonts w:eastAsia="Times New Roman"/>
          <w:b/>
          <w:sz w:val="26"/>
          <w:szCs w:val="26"/>
          <w:lang w:eastAsia="sk-SK"/>
        </w:rPr>
      </w:pPr>
    </w:p>
    <w:p w:rsidR="00C6449B" w:rsidRPr="00C6449B" w:rsidP="00C6449B">
      <w:pPr>
        <w:bidi w:val="0"/>
        <w:jc w:val="center"/>
        <w:rPr>
          <w:rFonts w:eastAsia="Times New Roman"/>
          <w:b/>
          <w:sz w:val="26"/>
          <w:szCs w:val="26"/>
          <w:lang w:eastAsia="sk-SK"/>
        </w:rPr>
      </w:pPr>
    </w:p>
    <w:p w:rsidR="00C6449B" w:rsidRPr="00C6449B" w:rsidP="00C6449B">
      <w:pPr>
        <w:bidi w:val="0"/>
        <w:jc w:val="center"/>
        <w:rPr>
          <w:rFonts w:eastAsia="Times New Roman"/>
          <w:b/>
          <w:sz w:val="26"/>
          <w:szCs w:val="26"/>
          <w:lang w:eastAsia="sk-SK"/>
        </w:rPr>
      </w:pPr>
    </w:p>
    <w:p w:rsidR="00C6449B" w:rsidRPr="00C6449B" w:rsidP="00C6449B">
      <w:pPr>
        <w:bidi w:val="0"/>
        <w:jc w:val="center"/>
        <w:rPr>
          <w:rFonts w:eastAsia="Times New Roman"/>
          <w:b/>
          <w:sz w:val="26"/>
          <w:szCs w:val="26"/>
          <w:lang w:eastAsia="sk-SK"/>
        </w:rPr>
      </w:pPr>
    </w:p>
    <w:p w:rsidR="00C6449B" w:rsidRPr="00C6449B" w:rsidP="00C6449B">
      <w:pPr>
        <w:bidi w:val="0"/>
        <w:jc w:val="center"/>
        <w:rPr>
          <w:rFonts w:eastAsia="Times New Roman"/>
          <w:b/>
          <w:sz w:val="26"/>
          <w:szCs w:val="26"/>
          <w:lang w:eastAsia="sk-SK"/>
        </w:rPr>
      </w:pPr>
    </w:p>
    <w:p w:rsidR="00C6449B" w:rsidRPr="00C6449B" w:rsidP="00C6449B">
      <w:pPr>
        <w:bidi w:val="0"/>
        <w:jc w:val="center"/>
        <w:rPr>
          <w:rFonts w:eastAsia="Times New Roman"/>
          <w:b/>
          <w:sz w:val="26"/>
          <w:szCs w:val="26"/>
          <w:lang w:eastAsia="sk-SK"/>
        </w:rPr>
      </w:pPr>
    </w:p>
    <w:p w:rsidR="00C6449B" w:rsidRPr="00C6449B" w:rsidP="00C6449B">
      <w:pPr>
        <w:bidi w:val="0"/>
        <w:jc w:val="center"/>
        <w:rPr>
          <w:rFonts w:eastAsia="Times New Roman"/>
          <w:b/>
          <w:sz w:val="26"/>
          <w:szCs w:val="26"/>
          <w:lang w:eastAsia="sk-SK"/>
        </w:rPr>
      </w:pPr>
    </w:p>
    <w:p w:rsidR="00C6449B" w:rsidRPr="00C6449B" w:rsidP="00C6449B">
      <w:pPr>
        <w:bidi w:val="0"/>
        <w:jc w:val="center"/>
        <w:rPr>
          <w:rFonts w:eastAsia="Times New Roman"/>
          <w:b/>
          <w:sz w:val="26"/>
          <w:szCs w:val="26"/>
          <w:lang w:eastAsia="sk-SK"/>
        </w:rPr>
      </w:pPr>
    </w:p>
    <w:p w:rsidR="00C6449B" w:rsidRPr="00C6449B" w:rsidP="00C6449B">
      <w:pPr>
        <w:bidi w:val="0"/>
        <w:jc w:val="center"/>
        <w:rPr>
          <w:rFonts w:eastAsia="Times New Roman"/>
          <w:b/>
          <w:sz w:val="26"/>
          <w:szCs w:val="26"/>
          <w:lang w:eastAsia="sk-SK"/>
        </w:rPr>
      </w:pPr>
    </w:p>
    <w:p w:rsidR="00C6449B" w:rsidRPr="00C6449B" w:rsidP="00C6449B">
      <w:pPr>
        <w:bidi w:val="0"/>
        <w:jc w:val="center"/>
        <w:rPr>
          <w:rFonts w:eastAsia="Times New Roman"/>
          <w:b/>
          <w:sz w:val="26"/>
          <w:szCs w:val="26"/>
          <w:lang w:eastAsia="sk-SK"/>
        </w:rPr>
      </w:pPr>
    </w:p>
    <w:p w:rsidR="00C6449B" w:rsidRPr="00C6449B" w:rsidP="00C6449B">
      <w:pPr>
        <w:bidi w:val="0"/>
        <w:jc w:val="center"/>
        <w:rPr>
          <w:rFonts w:eastAsia="Times New Roman"/>
          <w:b/>
          <w:sz w:val="26"/>
          <w:szCs w:val="26"/>
          <w:lang w:eastAsia="sk-SK"/>
        </w:rPr>
      </w:pPr>
    </w:p>
    <w:p w:rsidR="00C6449B" w:rsidRPr="00C6449B" w:rsidP="00C6449B">
      <w:pPr>
        <w:bidi w:val="0"/>
        <w:jc w:val="center"/>
        <w:rPr>
          <w:rFonts w:eastAsia="Times New Roman"/>
          <w:b/>
          <w:sz w:val="26"/>
          <w:szCs w:val="26"/>
          <w:lang w:eastAsia="sk-SK"/>
        </w:rPr>
      </w:pPr>
    </w:p>
    <w:p w:rsidR="00C6449B" w:rsidRPr="00C6449B" w:rsidP="00C6449B">
      <w:pPr>
        <w:bidi w:val="0"/>
        <w:jc w:val="center"/>
        <w:rPr>
          <w:rFonts w:eastAsia="Times New Roman"/>
          <w:b/>
          <w:sz w:val="26"/>
          <w:szCs w:val="26"/>
          <w:lang w:eastAsia="sk-SK"/>
        </w:rPr>
      </w:pPr>
    </w:p>
    <w:p w:rsidR="00C6449B" w:rsidRPr="00C6449B" w:rsidP="00C6449B">
      <w:pPr>
        <w:bidi w:val="0"/>
        <w:jc w:val="center"/>
        <w:rPr>
          <w:rFonts w:eastAsia="Times New Roman"/>
          <w:b/>
          <w:sz w:val="26"/>
          <w:szCs w:val="26"/>
          <w:lang w:eastAsia="sk-SK"/>
        </w:rPr>
      </w:pPr>
    </w:p>
    <w:p w:rsidR="00C6449B" w:rsidRPr="00C6449B" w:rsidP="00C6449B">
      <w:pPr>
        <w:bidi w:val="0"/>
        <w:jc w:val="center"/>
        <w:rPr>
          <w:rFonts w:eastAsia="Times New Roman"/>
          <w:b/>
          <w:sz w:val="26"/>
          <w:szCs w:val="26"/>
          <w:lang w:eastAsia="sk-SK"/>
        </w:rPr>
      </w:pPr>
    </w:p>
    <w:p w:rsidR="00C6449B" w:rsidRPr="00C6449B" w:rsidP="00C6449B">
      <w:pPr>
        <w:bidi w:val="0"/>
        <w:jc w:val="center"/>
        <w:rPr>
          <w:rFonts w:eastAsia="Times New Roman"/>
          <w:b/>
          <w:sz w:val="26"/>
          <w:szCs w:val="26"/>
          <w:lang w:eastAsia="sk-SK"/>
        </w:rPr>
      </w:pPr>
    </w:p>
    <w:p w:rsidR="00C6449B" w:rsidRPr="00C6449B" w:rsidP="00C6449B">
      <w:pPr>
        <w:bidi w:val="0"/>
        <w:jc w:val="center"/>
        <w:rPr>
          <w:rFonts w:eastAsia="Times New Roman"/>
          <w:b/>
          <w:sz w:val="26"/>
          <w:szCs w:val="26"/>
          <w:lang w:eastAsia="sk-SK"/>
        </w:rPr>
      </w:pPr>
    </w:p>
    <w:p w:rsidR="00C6449B" w:rsidRPr="00C6449B" w:rsidP="00C6449B">
      <w:pPr>
        <w:bidi w:val="0"/>
        <w:jc w:val="center"/>
        <w:rPr>
          <w:rFonts w:eastAsia="Times New Roman"/>
          <w:b/>
          <w:sz w:val="26"/>
          <w:szCs w:val="26"/>
          <w:lang w:eastAsia="sk-SK"/>
        </w:rPr>
      </w:pPr>
    </w:p>
    <w:p w:rsidR="00C6449B" w:rsidRPr="00C6449B" w:rsidP="00C6449B">
      <w:pPr>
        <w:bidi w:val="0"/>
        <w:jc w:val="center"/>
        <w:rPr>
          <w:rFonts w:eastAsia="Times New Roman"/>
          <w:b/>
          <w:sz w:val="26"/>
          <w:szCs w:val="26"/>
          <w:lang w:eastAsia="sk-SK"/>
        </w:rPr>
      </w:pPr>
      <w:r w:rsidRPr="00C6449B">
        <w:rPr>
          <w:rFonts w:eastAsia="Times New Roman"/>
          <w:b/>
          <w:sz w:val="26"/>
          <w:szCs w:val="26"/>
          <w:lang w:eastAsia="sk-SK"/>
        </w:rPr>
        <w:t>Text dohody je rozsiahly (</w:t>
      </w:r>
      <w:r>
        <w:rPr>
          <w:rFonts w:eastAsia="Times New Roman"/>
          <w:b/>
          <w:sz w:val="26"/>
          <w:szCs w:val="26"/>
          <w:lang w:eastAsia="sk-SK"/>
        </w:rPr>
        <w:t>vyše 10</w:t>
      </w:r>
      <w:r w:rsidRPr="00C6449B">
        <w:rPr>
          <w:rFonts w:eastAsia="Times New Roman"/>
          <w:b/>
          <w:sz w:val="26"/>
          <w:szCs w:val="26"/>
          <w:lang w:eastAsia="sk-SK"/>
        </w:rPr>
        <w:t xml:space="preserve">00 strán), preto je k dispozícii </w:t>
      </w:r>
      <w:r w:rsidR="00EF42BB">
        <w:rPr>
          <w:rFonts w:eastAsia="Times New Roman"/>
          <w:b/>
          <w:sz w:val="26"/>
          <w:szCs w:val="26"/>
          <w:lang w:eastAsia="sk-SK"/>
        </w:rPr>
        <w:t xml:space="preserve">len </w:t>
      </w:r>
      <w:r w:rsidRPr="00C6449B">
        <w:rPr>
          <w:rFonts w:eastAsia="Times New Roman"/>
          <w:b/>
          <w:sz w:val="26"/>
          <w:szCs w:val="26"/>
          <w:lang w:eastAsia="sk-SK"/>
        </w:rPr>
        <w:t>v elektronickej forme</w:t>
      </w:r>
      <w:r w:rsidR="00A13BCF">
        <w:rPr>
          <w:rFonts w:eastAsia="Times New Roman"/>
          <w:b/>
          <w:sz w:val="26"/>
          <w:szCs w:val="26"/>
          <w:lang w:eastAsia="sk-SK"/>
        </w:rPr>
        <w:t xml:space="preserve"> </w:t>
      </w:r>
    </w:p>
    <w:p w:rsidR="00C6449B" w:rsidRPr="00C6449B" w:rsidP="00C6449B">
      <w:pPr>
        <w:bidi w:val="0"/>
        <w:jc w:val="center"/>
        <w:rPr>
          <w:rFonts w:eastAsia="Times New Roman"/>
          <w:sz w:val="20"/>
          <w:szCs w:val="20"/>
          <w:lang w:eastAsia="sk-SK" w:bidi="lo-LA"/>
        </w:rPr>
      </w:pPr>
    </w:p>
    <w:p w:rsidR="007D0347" w:rsidP="007D0347">
      <w:pPr>
        <w:tabs>
          <w:tab w:val="left" w:pos="3807"/>
        </w:tabs>
        <w:bidi w:val="0"/>
        <w:rPr>
          <w:szCs w:val="24"/>
        </w:rPr>
      </w:pPr>
    </w:p>
    <w:p w:rsidR="003401A9" w:rsidRPr="003401A9" w:rsidP="00164944">
      <w:pPr>
        <w:bidi w:val="0"/>
        <w:spacing w:after="200" w:line="276" w:lineRule="auto"/>
        <w:rPr>
          <w:rFonts w:eastAsia="Times New Roman"/>
          <w:szCs w:val="20"/>
        </w:rPr>
      </w:pPr>
      <w:r w:rsidRPr="003401A9" w:rsidR="00164944">
        <w:rPr>
          <w:rFonts w:eastAsia="Times New Roman"/>
          <w:szCs w:val="20"/>
        </w:rPr>
        <w:t xml:space="preserve"> </w:t>
      </w:r>
    </w:p>
    <w:sectPr w:rsidSect="00164944">
      <w:footerReference w:type="default" r:id="rId8"/>
      <w:pgSz w:w="11906" w:h="16838"/>
      <w:pgMar w:top="1417" w:right="1417" w:bottom="1417" w:left="1417" w:header="737" w:footer="737" w:gutter="0"/>
      <w:lnNumType w:distance="0"/>
      <w:pgNumType w:start="1"/>
      <w:cols w:space="708"/>
      <w:noEndnote w:val="0"/>
      <w:bidi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angal">
    <w:panose1 w:val="02040503050203030202"/>
    <w:charset w:val="00"/>
    <w:family w:val="roman"/>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20B060602020203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Lucida Sans Unicode">
    <w:panose1 w:val="020B0602030504020204"/>
    <w:charset w:val="EE"/>
    <w:family w:val="swiss"/>
    <w:pitch w:val="variable"/>
    <w:sig w:usb0="00000000" w:usb1="00000000" w:usb2="00000000" w:usb3="00000000" w:csb0="000000BF" w:csb1="00000000"/>
  </w:font>
  <w:font w:name="Times">
    <w:panose1 w:val="02020603050405020304"/>
    <w:charset w:val="EE"/>
    <w:family w:val="roman"/>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31">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F032B">
      <w:rPr>
        <w:rFonts w:ascii="Times New Roman" w:hAnsi="Times New Roman"/>
        <w:noProof/>
      </w:rPr>
      <w:t>2</w:t>
    </w:r>
    <w:r>
      <w:rPr>
        <w:rFonts w:ascii="Times New Roman" w:hAnsi="Times New Roman"/>
      </w:rPr>
      <w:fldChar w:fldCharType="end"/>
    </w:r>
  </w:p>
  <w:p w:rsidR="00C3510A">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6CC">
    <w:pPr>
      <w:pStyle w:val="Footer"/>
      <w:bidi w:val="0"/>
      <w:jc w:val="center"/>
      <w:rPr>
        <w:rFonts w:ascii="Times New Roman" w:hAnsi="Times New Roman"/>
      </w:rPr>
    </w:pPr>
  </w:p>
  <w:p w:rsidR="002B66CC">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AFC" w:rsidP="007B7DB5">
      <w:pPr>
        <w:bidi w:val="0"/>
      </w:pPr>
      <w:r>
        <w:separator/>
      </w:r>
    </w:p>
  </w:footnote>
  <w:footnote w:type="continuationSeparator" w:id="1">
    <w:p w:rsidR="00D86AFC" w:rsidP="007B7DB5">
      <w:pPr>
        <w:bidi w:val="0"/>
      </w:pPr>
      <w:r>
        <w:continuationSeparator/>
      </w:r>
    </w:p>
  </w:footnote>
  <w:footnote w:id="2">
    <w:p w:rsidP="00956874">
      <w:pPr>
        <w:pStyle w:val="FootnoteText"/>
        <w:bidi w:val="0"/>
        <w:rPr>
          <w:rFonts w:ascii="Times New Roman" w:hAnsi="Times New Roman"/>
        </w:rPr>
      </w:pPr>
      <w:r w:rsidRPr="002F14C0" w:rsidR="002B66CC">
        <w:rPr>
          <w:rStyle w:val="FootnoteReference"/>
          <w:rFonts w:ascii="Times New Roman" w:hAnsi="Times New Roman"/>
        </w:rPr>
        <w:footnoteRef/>
      </w:r>
      <w:r w:rsidRPr="002F14C0" w:rsidR="002B66CC">
        <w:rPr>
          <w:rFonts w:ascii="Times New Roman" w:hAnsi="Times New Roman"/>
        </w:rPr>
        <w:t xml:space="preserve"> </w:t>
      </w:r>
      <w:r w:rsidRPr="004F2E0D" w:rsidR="002B66CC">
        <w:rPr>
          <w:rFonts w:ascii="Times New Roman" w:hAnsi="Times New Roman"/>
          <w:sz w:val="20"/>
        </w:rPr>
        <w:t>Prepočty menovým výmenným kurzom Národnej banky Slovenska zo dňa 1. 9. 2017 – 1 EUR = 1,192 USD</w:t>
      </w:r>
    </w:p>
  </w:footnote>
  <w:footnote w:id="3">
    <w:p w:rsidP="003C59C2">
      <w:pPr>
        <w:pStyle w:val="FootnoteText"/>
        <w:bidi w:val="0"/>
        <w:jc w:val="both"/>
        <w:rPr>
          <w:rFonts w:ascii="Times New Roman" w:hAnsi="Times New Roman"/>
        </w:rPr>
      </w:pPr>
      <w:r w:rsidR="003C59C2">
        <w:rPr>
          <w:rStyle w:val="FootnoteReference"/>
          <w:rFonts w:ascii="Times New Roman" w:hAnsi="Times New Roman"/>
        </w:rPr>
        <w:footnoteRef/>
      </w:r>
      <w:r w:rsidR="003C59C2">
        <w:rPr>
          <w:rFonts w:ascii="Times New Roman" w:hAnsi="Times New Roman"/>
        </w:rPr>
        <w:t xml:space="preserve"> </w:t>
      </w:r>
      <w:r w:rsidRPr="003C59C2" w:rsidR="003C59C2">
        <w:rPr>
          <w:rFonts w:ascii="Times New Roman" w:hAnsi="Times New Roman"/>
          <w:sz w:val="20"/>
        </w:rPr>
        <w:t xml:space="preserve">Pre účely výskumu boli jednotlivé kapitoly roztriedené podľa automobilového, elektrotechnického </w:t>
      </w:r>
      <w:r w:rsidR="003C59C2">
        <w:rPr>
          <w:rFonts w:ascii="Times New Roman" w:hAnsi="Times New Roman"/>
          <w:sz w:val="20"/>
        </w:rPr>
        <w:br/>
      </w:r>
      <w:r w:rsidRPr="003C59C2" w:rsidR="003C59C2">
        <w:rPr>
          <w:rFonts w:ascii="Times New Roman" w:hAnsi="Times New Roman"/>
          <w:sz w:val="20"/>
        </w:rPr>
        <w:t>a strojár</w:t>
      </w:r>
      <w:r w:rsidR="003C59C2">
        <w:rPr>
          <w:rFonts w:ascii="Times New Roman" w:hAnsi="Times New Roman"/>
          <w:sz w:val="20"/>
        </w:rPr>
        <w:t xml:space="preserve">skeho priemyslu nasledovne: </w:t>
      </w:r>
      <w:r w:rsidRPr="003C59C2" w:rsidR="003C59C2">
        <w:rPr>
          <w:rFonts w:ascii="Times New Roman" w:hAnsi="Times New Roman"/>
          <w:sz w:val="20"/>
        </w:rPr>
        <w:t>automobilo</w:t>
      </w:r>
      <w:r w:rsidR="003C59C2">
        <w:rPr>
          <w:rFonts w:ascii="Times New Roman" w:hAnsi="Times New Roman"/>
          <w:sz w:val="20"/>
        </w:rPr>
        <w:t xml:space="preserve">vý priemysel – kapitola 87; </w:t>
      </w:r>
      <w:r w:rsidRPr="003C59C2" w:rsidR="003C59C2">
        <w:rPr>
          <w:rFonts w:ascii="Times New Roman" w:hAnsi="Times New Roman"/>
          <w:sz w:val="20"/>
        </w:rPr>
        <w:t>elektrotechnický pr</w:t>
      </w:r>
      <w:r w:rsidR="003C59C2">
        <w:rPr>
          <w:rFonts w:ascii="Times New Roman" w:hAnsi="Times New Roman"/>
          <w:sz w:val="20"/>
        </w:rPr>
        <w:t xml:space="preserve">iemysel – kapitoly 85 a 90; </w:t>
      </w:r>
      <w:r w:rsidRPr="003C59C2" w:rsidR="003C59C2">
        <w:rPr>
          <w:rFonts w:ascii="Times New Roman" w:hAnsi="Times New Roman"/>
          <w:sz w:val="20"/>
        </w:rPr>
        <w:t>strojársky priemysel – kapitoly 84, 86, 88, 89, 91 a 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06EC"/>
    <w:multiLevelType w:val="hybridMultilevel"/>
    <w:tmpl w:val="7B5E2D44"/>
    <w:lvl w:ilvl="0">
      <w:start w:val="8"/>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BDD3CED"/>
    <w:multiLevelType w:val="hybridMultilevel"/>
    <w:tmpl w:val="00B8F80C"/>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02E5E06"/>
    <w:multiLevelType w:val="hybridMultilevel"/>
    <w:tmpl w:val="CB947484"/>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A766822"/>
    <w:multiLevelType w:val="hybridMultilevel"/>
    <w:tmpl w:val="53320AB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D8944A5"/>
    <w:multiLevelType w:val="hybridMultilevel"/>
    <w:tmpl w:val="BF56CD8E"/>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A926CE3"/>
    <w:multiLevelType w:val="hybridMultilevel"/>
    <w:tmpl w:val="ED7A2134"/>
    <w:lvl w:ilvl="0">
      <w:start w:val="10"/>
      <w:numFmt w:val="bullet"/>
      <w:lvlText w:val="-"/>
      <w:lvlJc w:val="left"/>
      <w:pPr>
        <w:ind w:left="720" w:hanging="360"/>
      </w:pPr>
      <w:rPr>
        <w:rFonts w:ascii="Times" w:eastAsia="Times New Roman" w:hAnsi="Time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954064C"/>
    <w:multiLevelType w:val="hybridMultilevel"/>
    <w:tmpl w:val="4104A7A8"/>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BFB517F"/>
    <w:multiLevelType w:val="singleLevel"/>
    <w:tmpl w:val="5142BF20"/>
    <w:lvl w:ilvl="0">
      <w:start w:val="1"/>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tl w:val="0"/>
        <w:cs w:val="0"/>
      </w:rPr>
    </w:lvl>
  </w:abstractNum>
  <w:abstractNum w:abstractNumId="8">
    <w:nsid w:val="6DCA20B4"/>
    <w:multiLevelType w:val="singleLevel"/>
    <w:tmpl w:val="A4AA8DB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tl w:val="0"/>
        <w:cs w:val="0"/>
      </w:rPr>
    </w:lvl>
  </w:abstractNum>
  <w:abstractNum w:abstractNumId="9">
    <w:nsid w:val="70733672"/>
    <w:multiLevelType w:val="hybridMultilevel"/>
    <w:tmpl w:val="8662078E"/>
    <w:lvl w:ilvl="0">
      <w:start w:val="1"/>
      <w:numFmt w:val="upp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0">
    <w:nsid w:val="72FA2E08"/>
    <w:multiLevelType w:val="singleLevel"/>
    <w:tmpl w:val="6F441290"/>
    <w:lvl w:ilvl="0">
      <w:start w:val="4"/>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tl w:val="0"/>
        <w:cs w:val="0"/>
      </w:rPr>
    </w:lvl>
  </w:abstractNum>
  <w:abstractNum w:abstractNumId="11">
    <w:nsid w:val="77432A25"/>
    <w:multiLevelType w:val="hybridMultilevel"/>
    <w:tmpl w:val="753ACA10"/>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A7B0969"/>
    <w:multiLevelType w:val="hybridMultilevel"/>
    <w:tmpl w:val="05864366"/>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4"/>
  </w:num>
  <w:num w:numId="5">
    <w:abstractNumId w:val="2"/>
  </w:num>
  <w:num w:numId="6">
    <w:abstractNumId w:val="1"/>
  </w:num>
  <w:num w:numId="7">
    <w:abstractNumId w:val="6"/>
  </w:num>
  <w:num w:numId="8">
    <w:abstractNumId w:val="11"/>
  </w:num>
  <w:num w:numId="9">
    <w:abstractNumId w:val="7"/>
  </w:num>
  <w:num w:numId="10">
    <w:abstractNumId w:val="8"/>
  </w:num>
  <w:num w:numId="11">
    <w:abstractNumId w:val="10"/>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541B27"/>
    <w:rsid w:val="00000122"/>
    <w:rsid w:val="0000032B"/>
    <w:rsid w:val="000006D2"/>
    <w:rsid w:val="00001B9C"/>
    <w:rsid w:val="00001DAC"/>
    <w:rsid w:val="000026ED"/>
    <w:rsid w:val="00003645"/>
    <w:rsid w:val="00003EDD"/>
    <w:rsid w:val="00005507"/>
    <w:rsid w:val="00005C6A"/>
    <w:rsid w:val="00006AA9"/>
    <w:rsid w:val="00007084"/>
    <w:rsid w:val="00007B26"/>
    <w:rsid w:val="00010175"/>
    <w:rsid w:val="000106D9"/>
    <w:rsid w:val="00011AFD"/>
    <w:rsid w:val="00011E3A"/>
    <w:rsid w:val="00013D6D"/>
    <w:rsid w:val="000148FB"/>
    <w:rsid w:val="00014DA7"/>
    <w:rsid w:val="000154FA"/>
    <w:rsid w:val="00017CDC"/>
    <w:rsid w:val="00020E33"/>
    <w:rsid w:val="0002239E"/>
    <w:rsid w:val="0002256D"/>
    <w:rsid w:val="000232A3"/>
    <w:rsid w:val="0002487A"/>
    <w:rsid w:val="00026100"/>
    <w:rsid w:val="00026400"/>
    <w:rsid w:val="00026C21"/>
    <w:rsid w:val="00031291"/>
    <w:rsid w:val="000316EC"/>
    <w:rsid w:val="00032440"/>
    <w:rsid w:val="00033724"/>
    <w:rsid w:val="0003394C"/>
    <w:rsid w:val="000346B3"/>
    <w:rsid w:val="000403CF"/>
    <w:rsid w:val="00044E5D"/>
    <w:rsid w:val="000454EF"/>
    <w:rsid w:val="00045655"/>
    <w:rsid w:val="00045822"/>
    <w:rsid w:val="00046EDC"/>
    <w:rsid w:val="000515B4"/>
    <w:rsid w:val="00051AFF"/>
    <w:rsid w:val="00052100"/>
    <w:rsid w:val="00052E1D"/>
    <w:rsid w:val="00052EE7"/>
    <w:rsid w:val="00054C8D"/>
    <w:rsid w:val="00055CB7"/>
    <w:rsid w:val="0005668A"/>
    <w:rsid w:val="000569F0"/>
    <w:rsid w:val="000574F1"/>
    <w:rsid w:val="00062005"/>
    <w:rsid w:val="000634D6"/>
    <w:rsid w:val="00063D3F"/>
    <w:rsid w:val="00063EED"/>
    <w:rsid w:val="0006451D"/>
    <w:rsid w:val="00064936"/>
    <w:rsid w:val="00067A93"/>
    <w:rsid w:val="00067BAE"/>
    <w:rsid w:val="000703F2"/>
    <w:rsid w:val="0007111B"/>
    <w:rsid w:val="00071F54"/>
    <w:rsid w:val="00072FD7"/>
    <w:rsid w:val="00074E52"/>
    <w:rsid w:val="00075DCD"/>
    <w:rsid w:val="000763B1"/>
    <w:rsid w:val="0007682D"/>
    <w:rsid w:val="00076D2A"/>
    <w:rsid w:val="000771B2"/>
    <w:rsid w:val="00077291"/>
    <w:rsid w:val="00077784"/>
    <w:rsid w:val="0008259B"/>
    <w:rsid w:val="000835B8"/>
    <w:rsid w:val="00083B74"/>
    <w:rsid w:val="00085AB5"/>
    <w:rsid w:val="000863EB"/>
    <w:rsid w:val="0008739A"/>
    <w:rsid w:val="00087760"/>
    <w:rsid w:val="000879F5"/>
    <w:rsid w:val="0009137A"/>
    <w:rsid w:val="00091E6D"/>
    <w:rsid w:val="0009327A"/>
    <w:rsid w:val="00093A2E"/>
    <w:rsid w:val="00093B4C"/>
    <w:rsid w:val="00095EDB"/>
    <w:rsid w:val="00096D0E"/>
    <w:rsid w:val="00097293"/>
    <w:rsid w:val="000A0ED7"/>
    <w:rsid w:val="000A31CA"/>
    <w:rsid w:val="000A33EA"/>
    <w:rsid w:val="000A37BD"/>
    <w:rsid w:val="000A44F1"/>
    <w:rsid w:val="000A49B3"/>
    <w:rsid w:val="000A7F5D"/>
    <w:rsid w:val="000B0C85"/>
    <w:rsid w:val="000B1232"/>
    <w:rsid w:val="000B259E"/>
    <w:rsid w:val="000B33BC"/>
    <w:rsid w:val="000B3E09"/>
    <w:rsid w:val="000B5613"/>
    <w:rsid w:val="000B62D1"/>
    <w:rsid w:val="000B7F4B"/>
    <w:rsid w:val="000C1F03"/>
    <w:rsid w:val="000C1FDF"/>
    <w:rsid w:val="000C238C"/>
    <w:rsid w:val="000C5A19"/>
    <w:rsid w:val="000C6C70"/>
    <w:rsid w:val="000D0EDC"/>
    <w:rsid w:val="000D2A2E"/>
    <w:rsid w:val="000D521D"/>
    <w:rsid w:val="000D6EDA"/>
    <w:rsid w:val="000E0373"/>
    <w:rsid w:val="000E14A0"/>
    <w:rsid w:val="000E196E"/>
    <w:rsid w:val="000E1CAA"/>
    <w:rsid w:val="000E2210"/>
    <w:rsid w:val="000E4636"/>
    <w:rsid w:val="000E46C3"/>
    <w:rsid w:val="000E4F1E"/>
    <w:rsid w:val="000E5864"/>
    <w:rsid w:val="000E61F7"/>
    <w:rsid w:val="000E7515"/>
    <w:rsid w:val="000E770C"/>
    <w:rsid w:val="000E7B7D"/>
    <w:rsid w:val="000F066F"/>
    <w:rsid w:val="000F0F28"/>
    <w:rsid w:val="000F215C"/>
    <w:rsid w:val="000F2219"/>
    <w:rsid w:val="000F23AB"/>
    <w:rsid w:val="000F248E"/>
    <w:rsid w:val="000F2E1D"/>
    <w:rsid w:val="000F30F1"/>
    <w:rsid w:val="000F3540"/>
    <w:rsid w:val="000F4E4D"/>
    <w:rsid w:val="000F5572"/>
    <w:rsid w:val="000F58F6"/>
    <w:rsid w:val="000F7702"/>
    <w:rsid w:val="00101B59"/>
    <w:rsid w:val="001031F0"/>
    <w:rsid w:val="0010370B"/>
    <w:rsid w:val="001040B2"/>
    <w:rsid w:val="00106251"/>
    <w:rsid w:val="00106E93"/>
    <w:rsid w:val="00111297"/>
    <w:rsid w:val="001129CC"/>
    <w:rsid w:val="00113558"/>
    <w:rsid w:val="0011542D"/>
    <w:rsid w:val="0011625D"/>
    <w:rsid w:val="00116791"/>
    <w:rsid w:val="00117198"/>
    <w:rsid w:val="00117473"/>
    <w:rsid w:val="00117C34"/>
    <w:rsid w:val="0012079D"/>
    <w:rsid w:val="00120A22"/>
    <w:rsid w:val="00120C21"/>
    <w:rsid w:val="001218AA"/>
    <w:rsid w:val="00121DCD"/>
    <w:rsid w:val="00122128"/>
    <w:rsid w:val="00122FA4"/>
    <w:rsid w:val="001236EE"/>
    <w:rsid w:val="00124CB0"/>
    <w:rsid w:val="00124EBC"/>
    <w:rsid w:val="0012566F"/>
    <w:rsid w:val="00125B7B"/>
    <w:rsid w:val="00126270"/>
    <w:rsid w:val="00127025"/>
    <w:rsid w:val="0013056B"/>
    <w:rsid w:val="001323DE"/>
    <w:rsid w:val="00132A96"/>
    <w:rsid w:val="001330E5"/>
    <w:rsid w:val="001334F6"/>
    <w:rsid w:val="00133E6B"/>
    <w:rsid w:val="001363A9"/>
    <w:rsid w:val="0014071A"/>
    <w:rsid w:val="001424C9"/>
    <w:rsid w:val="001439EB"/>
    <w:rsid w:val="0014491F"/>
    <w:rsid w:val="001456C5"/>
    <w:rsid w:val="00145EE3"/>
    <w:rsid w:val="001464E7"/>
    <w:rsid w:val="00146E30"/>
    <w:rsid w:val="001477B7"/>
    <w:rsid w:val="001477F5"/>
    <w:rsid w:val="0015395F"/>
    <w:rsid w:val="00153E1D"/>
    <w:rsid w:val="00154065"/>
    <w:rsid w:val="001545C4"/>
    <w:rsid w:val="00154E8F"/>
    <w:rsid w:val="00155D3A"/>
    <w:rsid w:val="0015706C"/>
    <w:rsid w:val="00160001"/>
    <w:rsid w:val="001621FD"/>
    <w:rsid w:val="00162C50"/>
    <w:rsid w:val="00163694"/>
    <w:rsid w:val="00163AD8"/>
    <w:rsid w:val="00163CA0"/>
    <w:rsid w:val="00163E6F"/>
    <w:rsid w:val="00164944"/>
    <w:rsid w:val="00165106"/>
    <w:rsid w:val="00165DF1"/>
    <w:rsid w:val="00166556"/>
    <w:rsid w:val="00167B1A"/>
    <w:rsid w:val="001700F2"/>
    <w:rsid w:val="00171ED3"/>
    <w:rsid w:val="00171EF9"/>
    <w:rsid w:val="00173624"/>
    <w:rsid w:val="00173E8D"/>
    <w:rsid w:val="00174AD2"/>
    <w:rsid w:val="00174CA2"/>
    <w:rsid w:val="001751E4"/>
    <w:rsid w:val="00176C68"/>
    <w:rsid w:val="001770BB"/>
    <w:rsid w:val="001779ED"/>
    <w:rsid w:val="0018172C"/>
    <w:rsid w:val="001819B3"/>
    <w:rsid w:val="00181AE9"/>
    <w:rsid w:val="001832EB"/>
    <w:rsid w:val="00183E17"/>
    <w:rsid w:val="00185C46"/>
    <w:rsid w:val="00185DE0"/>
    <w:rsid w:val="00186D66"/>
    <w:rsid w:val="00187593"/>
    <w:rsid w:val="001877A6"/>
    <w:rsid w:val="00187A51"/>
    <w:rsid w:val="00190353"/>
    <w:rsid w:val="00190F0B"/>
    <w:rsid w:val="00191A11"/>
    <w:rsid w:val="0019202D"/>
    <w:rsid w:val="001922AD"/>
    <w:rsid w:val="00192732"/>
    <w:rsid w:val="00195376"/>
    <w:rsid w:val="001958C0"/>
    <w:rsid w:val="00195B3C"/>
    <w:rsid w:val="00195D96"/>
    <w:rsid w:val="001968E4"/>
    <w:rsid w:val="001975D0"/>
    <w:rsid w:val="001A2480"/>
    <w:rsid w:val="001A340E"/>
    <w:rsid w:val="001A3496"/>
    <w:rsid w:val="001A41F6"/>
    <w:rsid w:val="001A4221"/>
    <w:rsid w:val="001A62B6"/>
    <w:rsid w:val="001A705D"/>
    <w:rsid w:val="001A78B7"/>
    <w:rsid w:val="001B00A8"/>
    <w:rsid w:val="001B0273"/>
    <w:rsid w:val="001B4429"/>
    <w:rsid w:val="001B44B8"/>
    <w:rsid w:val="001B4F33"/>
    <w:rsid w:val="001B55A3"/>
    <w:rsid w:val="001B5A52"/>
    <w:rsid w:val="001B73C7"/>
    <w:rsid w:val="001C0187"/>
    <w:rsid w:val="001C0331"/>
    <w:rsid w:val="001C0D7C"/>
    <w:rsid w:val="001C1462"/>
    <w:rsid w:val="001C1877"/>
    <w:rsid w:val="001C1DE0"/>
    <w:rsid w:val="001C20A6"/>
    <w:rsid w:val="001C24DE"/>
    <w:rsid w:val="001C28FD"/>
    <w:rsid w:val="001C2E6E"/>
    <w:rsid w:val="001C4EF5"/>
    <w:rsid w:val="001C4FF6"/>
    <w:rsid w:val="001C52B9"/>
    <w:rsid w:val="001C576C"/>
    <w:rsid w:val="001C661D"/>
    <w:rsid w:val="001C680F"/>
    <w:rsid w:val="001C75B0"/>
    <w:rsid w:val="001C7796"/>
    <w:rsid w:val="001D19E4"/>
    <w:rsid w:val="001D2463"/>
    <w:rsid w:val="001D37B1"/>
    <w:rsid w:val="001D3F0D"/>
    <w:rsid w:val="001D47E3"/>
    <w:rsid w:val="001D4B3B"/>
    <w:rsid w:val="001D4D96"/>
    <w:rsid w:val="001D6A5D"/>
    <w:rsid w:val="001D768A"/>
    <w:rsid w:val="001E02DF"/>
    <w:rsid w:val="001E06B8"/>
    <w:rsid w:val="001E159B"/>
    <w:rsid w:val="001E2AD8"/>
    <w:rsid w:val="001E2D64"/>
    <w:rsid w:val="001E2F95"/>
    <w:rsid w:val="001E3BBE"/>
    <w:rsid w:val="001E4EC9"/>
    <w:rsid w:val="001E60C6"/>
    <w:rsid w:val="001E662D"/>
    <w:rsid w:val="001E7141"/>
    <w:rsid w:val="001F15CF"/>
    <w:rsid w:val="001F4AAE"/>
    <w:rsid w:val="001F4F05"/>
    <w:rsid w:val="001F4F52"/>
    <w:rsid w:val="001F4FE7"/>
    <w:rsid w:val="001F52FC"/>
    <w:rsid w:val="001F61E3"/>
    <w:rsid w:val="001F6637"/>
    <w:rsid w:val="001F7019"/>
    <w:rsid w:val="001F7249"/>
    <w:rsid w:val="001F77D7"/>
    <w:rsid w:val="001F792B"/>
    <w:rsid w:val="001F7D4D"/>
    <w:rsid w:val="002012A8"/>
    <w:rsid w:val="00201EF3"/>
    <w:rsid w:val="0020228F"/>
    <w:rsid w:val="0020385B"/>
    <w:rsid w:val="00204126"/>
    <w:rsid w:val="00205AF0"/>
    <w:rsid w:val="00207320"/>
    <w:rsid w:val="00207C40"/>
    <w:rsid w:val="00210D9F"/>
    <w:rsid w:val="00211281"/>
    <w:rsid w:val="00211791"/>
    <w:rsid w:val="00211C96"/>
    <w:rsid w:val="00212378"/>
    <w:rsid w:val="002126A1"/>
    <w:rsid w:val="0021688C"/>
    <w:rsid w:val="00216C00"/>
    <w:rsid w:val="00217111"/>
    <w:rsid w:val="002206EB"/>
    <w:rsid w:val="00220B9A"/>
    <w:rsid w:val="00221332"/>
    <w:rsid w:val="00221421"/>
    <w:rsid w:val="00221451"/>
    <w:rsid w:val="0022338F"/>
    <w:rsid w:val="0022398C"/>
    <w:rsid w:val="00224D7F"/>
    <w:rsid w:val="00225639"/>
    <w:rsid w:val="00225BD8"/>
    <w:rsid w:val="00226D98"/>
    <w:rsid w:val="00227570"/>
    <w:rsid w:val="002301AD"/>
    <w:rsid w:val="00230D84"/>
    <w:rsid w:val="00230F3F"/>
    <w:rsid w:val="0023145D"/>
    <w:rsid w:val="00232D43"/>
    <w:rsid w:val="002343F0"/>
    <w:rsid w:val="00234903"/>
    <w:rsid w:val="0023539F"/>
    <w:rsid w:val="002353EA"/>
    <w:rsid w:val="0023795D"/>
    <w:rsid w:val="002412B9"/>
    <w:rsid w:val="00243B59"/>
    <w:rsid w:val="00243D8E"/>
    <w:rsid w:val="00244640"/>
    <w:rsid w:val="0024522B"/>
    <w:rsid w:val="00245756"/>
    <w:rsid w:val="002465B7"/>
    <w:rsid w:val="00247276"/>
    <w:rsid w:val="00247E64"/>
    <w:rsid w:val="0025011D"/>
    <w:rsid w:val="00250687"/>
    <w:rsid w:val="00252432"/>
    <w:rsid w:val="00252EB6"/>
    <w:rsid w:val="00253AF4"/>
    <w:rsid w:val="00253E61"/>
    <w:rsid w:val="00256A21"/>
    <w:rsid w:val="002607DB"/>
    <w:rsid w:val="00261BC6"/>
    <w:rsid w:val="0026371C"/>
    <w:rsid w:val="00264007"/>
    <w:rsid w:val="0026550B"/>
    <w:rsid w:val="0026740C"/>
    <w:rsid w:val="00267D24"/>
    <w:rsid w:val="00270325"/>
    <w:rsid w:val="00270357"/>
    <w:rsid w:val="00270958"/>
    <w:rsid w:val="00270A99"/>
    <w:rsid w:val="002712F9"/>
    <w:rsid w:val="00271B52"/>
    <w:rsid w:val="00272A16"/>
    <w:rsid w:val="00273142"/>
    <w:rsid w:val="00273BBF"/>
    <w:rsid w:val="00273F4A"/>
    <w:rsid w:val="00274440"/>
    <w:rsid w:val="002744EC"/>
    <w:rsid w:val="0027760E"/>
    <w:rsid w:val="00277778"/>
    <w:rsid w:val="00280429"/>
    <w:rsid w:val="00280DAE"/>
    <w:rsid w:val="00281B1E"/>
    <w:rsid w:val="0028258D"/>
    <w:rsid w:val="00282D29"/>
    <w:rsid w:val="00282D8A"/>
    <w:rsid w:val="0028303A"/>
    <w:rsid w:val="002861D1"/>
    <w:rsid w:val="002916AD"/>
    <w:rsid w:val="002924AA"/>
    <w:rsid w:val="00292845"/>
    <w:rsid w:val="00292FCA"/>
    <w:rsid w:val="00293B1A"/>
    <w:rsid w:val="002948F6"/>
    <w:rsid w:val="00294CA4"/>
    <w:rsid w:val="00295762"/>
    <w:rsid w:val="00297A3D"/>
    <w:rsid w:val="00297F86"/>
    <w:rsid w:val="002A05CF"/>
    <w:rsid w:val="002A141E"/>
    <w:rsid w:val="002A2350"/>
    <w:rsid w:val="002A31A6"/>
    <w:rsid w:val="002A35E2"/>
    <w:rsid w:val="002A4326"/>
    <w:rsid w:val="002A4B50"/>
    <w:rsid w:val="002A6564"/>
    <w:rsid w:val="002A77BC"/>
    <w:rsid w:val="002B08EB"/>
    <w:rsid w:val="002B0935"/>
    <w:rsid w:val="002B0BDA"/>
    <w:rsid w:val="002B2914"/>
    <w:rsid w:val="002B3C88"/>
    <w:rsid w:val="002B66CC"/>
    <w:rsid w:val="002B6BE9"/>
    <w:rsid w:val="002B7C30"/>
    <w:rsid w:val="002B7F94"/>
    <w:rsid w:val="002C0AE2"/>
    <w:rsid w:val="002C1945"/>
    <w:rsid w:val="002C2117"/>
    <w:rsid w:val="002C4702"/>
    <w:rsid w:val="002C541B"/>
    <w:rsid w:val="002C67A5"/>
    <w:rsid w:val="002C7A99"/>
    <w:rsid w:val="002C7BA0"/>
    <w:rsid w:val="002D0D47"/>
    <w:rsid w:val="002D197C"/>
    <w:rsid w:val="002D1A67"/>
    <w:rsid w:val="002D56A1"/>
    <w:rsid w:val="002D6492"/>
    <w:rsid w:val="002D6B88"/>
    <w:rsid w:val="002D70A3"/>
    <w:rsid w:val="002E0260"/>
    <w:rsid w:val="002E1915"/>
    <w:rsid w:val="002E21F9"/>
    <w:rsid w:val="002E2DAD"/>
    <w:rsid w:val="002E32D4"/>
    <w:rsid w:val="002E4744"/>
    <w:rsid w:val="002E51C6"/>
    <w:rsid w:val="002E5307"/>
    <w:rsid w:val="002E5F90"/>
    <w:rsid w:val="002F0989"/>
    <w:rsid w:val="002F14C0"/>
    <w:rsid w:val="002F265E"/>
    <w:rsid w:val="002F2F5A"/>
    <w:rsid w:val="002F42DC"/>
    <w:rsid w:val="002F508A"/>
    <w:rsid w:val="002F54AA"/>
    <w:rsid w:val="002F5803"/>
    <w:rsid w:val="002F60D8"/>
    <w:rsid w:val="002F6A3E"/>
    <w:rsid w:val="002F78FC"/>
    <w:rsid w:val="00300A35"/>
    <w:rsid w:val="00300B02"/>
    <w:rsid w:val="00300F34"/>
    <w:rsid w:val="0030178B"/>
    <w:rsid w:val="00301CD5"/>
    <w:rsid w:val="00302212"/>
    <w:rsid w:val="0030227A"/>
    <w:rsid w:val="0030313F"/>
    <w:rsid w:val="00304C83"/>
    <w:rsid w:val="00305723"/>
    <w:rsid w:val="00307370"/>
    <w:rsid w:val="00307ED4"/>
    <w:rsid w:val="00310714"/>
    <w:rsid w:val="0031147A"/>
    <w:rsid w:val="0031501A"/>
    <w:rsid w:val="0031561C"/>
    <w:rsid w:val="003165A0"/>
    <w:rsid w:val="00316A71"/>
    <w:rsid w:val="0031756A"/>
    <w:rsid w:val="00320599"/>
    <w:rsid w:val="00322690"/>
    <w:rsid w:val="003251FF"/>
    <w:rsid w:val="00325910"/>
    <w:rsid w:val="00327DEF"/>
    <w:rsid w:val="003304D9"/>
    <w:rsid w:val="003310F9"/>
    <w:rsid w:val="0033144C"/>
    <w:rsid w:val="0033270C"/>
    <w:rsid w:val="00334888"/>
    <w:rsid w:val="00336063"/>
    <w:rsid w:val="0033653D"/>
    <w:rsid w:val="00336BEE"/>
    <w:rsid w:val="00336E0A"/>
    <w:rsid w:val="00336F42"/>
    <w:rsid w:val="0033750A"/>
    <w:rsid w:val="00337CBD"/>
    <w:rsid w:val="0034002B"/>
    <w:rsid w:val="003401A9"/>
    <w:rsid w:val="0034120C"/>
    <w:rsid w:val="00341B58"/>
    <w:rsid w:val="00342252"/>
    <w:rsid w:val="00343571"/>
    <w:rsid w:val="00343870"/>
    <w:rsid w:val="00344DCE"/>
    <w:rsid w:val="00344E4B"/>
    <w:rsid w:val="003454EC"/>
    <w:rsid w:val="00345E7E"/>
    <w:rsid w:val="003463E8"/>
    <w:rsid w:val="003470FD"/>
    <w:rsid w:val="003474EC"/>
    <w:rsid w:val="0034795C"/>
    <w:rsid w:val="003511DA"/>
    <w:rsid w:val="003515F7"/>
    <w:rsid w:val="003519F5"/>
    <w:rsid w:val="003523DE"/>
    <w:rsid w:val="0035345B"/>
    <w:rsid w:val="0035397A"/>
    <w:rsid w:val="00356BF1"/>
    <w:rsid w:val="003604C1"/>
    <w:rsid w:val="00360906"/>
    <w:rsid w:val="0036099C"/>
    <w:rsid w:val="00361176"/>
    <w:rsid w:val="0036333B"/>
    <w:rsid w:val="0036420A"/>
    <w:rsid w:val="00366376"/>
    <w:rsid w:val="00366C20"/>
    <w:rsid w:val="003703AA"/>
    <w:rsid w:val="00370C1B"/>
    <w:rsid w:val="00372885"/>
    <w:rsid w:val="0037368F"/>
    <w:rsid w:val="003739F2"/>
    <w:rsid w:val="00373B12"/>
    <w:rsid w:val="00374741"/>
    <w:rsid w:val="00376F1A"/>
    <w:rsid w:val="00377041"/>
    <w:rsid w:val="00377C23"/>
    <w:rsid w:val="003800C2"/>
    <w:rsid w:val="003804F0"/>
    <w:rsid w:val="00380F6C"/>
    <w:rsid w:val="00381056"/>
    <w:rsid w:val="00381643"/>
    <w:rsid w:val="0038171D"/>
    <w:rsid w:val="0038313A"/>
    <w:rsid w:val="00383580"/>
    <w:rsid w:val="00386D05"/>
    <w:rsid w:val="00386F67"/>
    <w:rsid w:val="003876A7"/>
    <w:rsid w:val="003912F7"/>
    <w:rsid w:val="003913A1"/>
    <w:rsid w:val="0039147F"/>
    <w:rsid w:val="00391CDB"/>
    <w:rsid w:val="00391D5D"/>
    <w:rsid w:val="00392D45"/>
    <w:rsid w:val="00392DEC"/>
    <w:rsid w:val="0039390B"/>
    <w:rsid w:val="00393DE5"/>
    <w:rsid w:val="00393EEE"/>
    <w:rsid w:val="00394F27"/>
    <w:rsid w:val="00394FAB"/>
    <w:rsid w:val="003952A7"/>
    <w:rsid w:val="003962B9"/>
    <w:rsid w:val="00396342"/>
    <w:rsid w:val="003964E0"/>
    <w:rsid w:val="0039667F"/>
    <w:rsid w:val="003971AE"/>
    <w:rsid w:val="0039740A"/>
    <w:rsid w:val="003A0549"/>
    <w:rsid w:val="003A0E1D"/>
    <w:rsid w:val="003A156E"/>
    <w:rsid w:val="003A15FA"/>
    <w:rsid w:val="003A3B90"/>
    <w:rsid w:val="003A3FE2"/>
    <w:rsid w:val="003A4F53"/>
    <w:rsid w:val="003A5215"/>
    <w:rsid w:val="003B0A01"/>
    <w:rsid w:val="003B0D85"/>
    <w:rsid w:val="003B136E"/>
    <w:rsid w:val="003B260D"/>
    <w:rsid w:val="003B383B"/>
    <w:rsid w:val="003B3A4F"/>
    <w:rsid w:val="003B47CF"/>
    <w:rsid w:val="003B594B"/>
    <w:rsid w:val="003B5C0C"/>
    <w:rsid w:val="003B64BC"/>
    <w:rsid w:val="003B6ECC"/>
    <w:rsid w:val="003B7651"/>
    <w:rsid w:val="003B7680"/>
    <w:rsid w:val="003C097C"/>
    <w:rsid w:val="003C11E5"/>
    <w:rsid w:val="003C14BF"/>
    <w:rsid w:val="003C16A2"/>
    <w:rsid w:val="003C2074"/>
    <w:rsid w:val="003C31EC"/>
    <w:rsid w:val="003C5152"/>
    <w:rsid w:val="003C59C2"/>
    <w:rsid w:val="003C74D7"/>
    <w:rsid w:val="003C7656"/>
    <w:rsid w:val="003C7DC5"/>
    <w:rsid w:val="003D150E"/>
    <w:rsid w:val="003D1688"/>
    <w:rsid w:val="003D1CFD"/>
    <w:rsid w:val="003D29F0"/>
    <w:rsid w:val="003D326B"/>
    <w:rsid w:val="003D329B"/>
    <w:rsid w:val="003D37B3"/>
    <w:rsid w:val="003D390E"/>
    <w:rsid w:val="003D5411"/>
    <w:rsid w:val="003D6A27"/>
    <w:rsid w:val="003D6C64"/>
    <w:rsid w:val="003E012F"/>
    <w:rsid w:val="003E2BFF"/>
    <w:rsid w:val="003E35A4"/>
    <w:rsid w:val="003E5B19"/>
    <w:rsid w:val="003F06F6"/>
    <w:rsid w:val="003F146D"/>
    <w:rsid w:val="003F14A6"/>
    <w:rsid w:val="003F1ACF"/>
    <w:rsid w:val="003F21C3"/>
    <w:rsid w:val="003F23B0"/>
    <w:rsid w:val="003F2AB1"/>
    <w:rsid w:val="003F3AB0"/>
    <w:rsid w:val="003F463F"/>
    <w:rsid w:val="003F6629"/>
    <w:rsid w:val="003F6E2C"/>
    <w:rsid w:val="003F7556"/>
    <w:rsid w:val="004003C8"/>
    <w:rsid w:val="00401398"/>
    <w:rsid w:val="004015F3"/>
    <w:rsid w:val="004022C9"/>
    <w:rsid w:val="00402565"/>
    <w:rsid w:val="004026DA"/>
    <w:rsid w:val="00402BBA"/>
    <w:rsid w:val="00403BD9"/>
    <w:rsid w:val="004048A7"/>
    <w:rsid w:val="004070B4"/>
    <w:rsid w:val="00410FFB"/>
    <w:rsid w:val="00411855"/>
    <w:rsid w:val="00411B20"/>
    <w:rsid w:val="00413816"/>
    <w:rsid w:val="00414026"/>
    <w:rsid w:val="0041441B"/>
    <w:rsid w:val="004144E6"/>
    <w:rsid w:val="00414B9D"/>
    <w:rsid w:val="004152F9"/>
    <w:rsid w:val="00416464"/>
    <w:rsid w:val="00416560"/>
    <w:rsid w:val="00416687"/>
    <w:rsid w:val="00417174"/>
    <w:rsid w:val="004175E6"/>
    <w:rsid w:val="00417C19"/>
    <w:rsid w:val="00420624"/>
    <w:rsid w:val="00424504"/>
    <w:rsid w:val="00424891"/>
    <w:rsid w:val="004257E3"/>
    <w:rsid w:val="00426EB0"/>
    <w:rsid w:val="00427AED"/>
    <w:rsid w:val="00427C6A"/>
    <w:rsid w:val="0043068D"/>
    <w:rsid w:val="004306FF"/>
    <w:rsid w:val="00430CB3"/>
    <w:rsid w:val="00432292"/>
    <w:rsid w:val="004324FA"/>
    <w:rsid w:val="00432501"/>
    <w:rsid w:val="00432876"/>
    <w:rsid w:val="004328D7"/>
    <w:rsid w:val="00433336"/>
    <w:rsid w:val="004342FA"/>
    <w:rsid w:val="0043469E"/>
    <w:rsid w:val="00434726"/>
    <w:rsid w:val="0043488C"/>
    <w:rsid w:val="004370E9"/>
    <w:rsid w:val="00440562"/>
    <w:rsid w:val="004435CC"/>
    <w:rsid w:val="00444BDA"/>
    <w:rsid w:val="004476DC"/>
    <w:rsid w:val="0045323C"/>
    <w:rsid w:val="0045514A"/>
    <w:rsid w:val="00455175"/>
    <w:rsid w:val="00455EFB"/>
    <w:rsid w:val="004560F6"/>
    <w:rsid w:val="00456494"/>
    <w:rsid w:val="0045660F"/>
    <w:rsid w:val="00457AE0"/>
    <w:rsid w:val="0046105B"/>
    <w:rsid w:val="004621A4"/>
    <w:rsid w:val="004628D9"/>
    <w:rsid w:val="00463424"/>
    <w:rsid w:val="00463F09"/>
    <w:rsid w:val="00465043"/>
    <w:rsid w:val="00470AE5"/>
    <w:rsid w:val="00471535"/>
    <w:rsid w:val="00471807"/>
    <w:rsid w:val="00471D71"/>
    <w:rsid w:val="004728F3"/>
    <w:rsid w:val="00473A9E"/>
    <w:rsid w:val="00474878"/>
    <w:rsid w:val="004766C9"/>
    <w:rsid w:val="0047729D"/>
    <w:rsid w:val="00477DA6"/>
    <w:rsid w:val="00477E60"/>
    <w:rsid w:val="00481517"/>
    <w:rsid w:val="0048172D"/>
    <w:rsid w:val="004822EF"/>
    <w:rsid w:val="00483862"/>
    <w:rsid w:val="00485118"/>
    <w:rsid w:val="0048676C"/>
    <w:rsid w:val="00486F6B"/>
    <w:rsid w:val="0049037E"/>
    <w:rsid w:val="00494BA3"/>
    <w:rsid w:val="00495ECE"/>
    <w:rsid w:val="00496C5B"/>
    <w:rsid w:val="00497297"/>
    <w:rsid w:val="004A05D4"/>
    <w:rsid w:val="004A16DE"/>
    <w:rsid w:val="004A2241"/>
    <w:rsid w:val="004A2545"/>
    <w:rsid w:val="004A2917"/>
    <w:rsid w:val="004A2A44"/>
    <w:rsid w:val="004A3603"/>
    <w:rsid w:val="004A5C62"/>
    <w:rsid w:val="004A7893"/>
    <w:rsid w:val="004A7C87"/>
    <w:rsid w:val="004B12A2"/>
    <w:rsid w:val="004B1309"/>
    <w:rsid w:val="004B1612"/>
    <w:rsid w:val="004B370F"/>
    <w:rsid w:val="004B3FE1"/>
    <w:rsid w:val="004B4D0C"/>
    <w:rsid w:val="004B4F98"/>
    <w:rsid w:val="004B51EA"/>
    <w:rsid w:val="004C071D"/>
    <w:rsid w:val="004C1554"/>
    <w:rsid w:val="004C2234"/>
    <w:rsid w:val="004C2BD1"/>
    <w:rsid w:val="004C2FD6"/>
    <w:rsid w:val="004C6914"/>
    <w:rsid w:val="004C6FA1"/>
    <w:rsid w:val="004D02A1"/>
    <w:rsid w:val="004D0534"/>
    <w:rsid w:val="004D0622"/>
    <w:rsid w:val="004D15BE"/>
    <w:rsid w:val="004D1F7A"/>
    <w:rsid w:val="004D27EE"/>
    <w:rsid w:val="004D28E4"/>
    <w:rsid w:val="004D5AB5"/>
    <w:rsid w:val="004D6AAA"/>
    <w:rsid w:val="004D7130"/>
    <w:rsid w:val="004E0BA4"/>
    <w:rsid w:val="004E0DF4"/>
    <w:rsid w:val="004E1DDA"/>
    <w:rsid w:val="004E28B6"/>
    <w:rsid w:val="004E374C"/>
    <w:rsid w:val="004E4B3E"/>
    <w:rsid w:val="004E4D3B"/>
    <w:rsid w:val="004E53E1"/>
    <w:rsid w:val="004E5E99"/>
    <w:rsid w:val="004E665B"/>
    <w:rsid w:val="004E689A"/>
    <w:rsid w:val="004E7219"/>
    <w:rsid w:val="004F0364"/>
    <w:rsid w:val="004F2E0D"/>
    <w:rsid w:val="004F403E"/>
    <w:rsid w:val="004F4F51"/>
    <w:rsid w:val="004F5733"/>
    <w:rsid w:val="004F6735"/>
    <w:rsid w:val="004F700B"/>
    <w:rsid w:val="00500080"/>
    <w:rsid w:val="00500E04"/>
    <w:rsid w:val="00502E43"/>
    <w:rsid w:val="00503A8F"/>
    <w:rsid w:val="005040D6"/>
    <w:rsid w:val="00507D41"/>
    <w:rsid w:val="00510C68"/>
    <w:rsid w:val="00513364"/>
    <w:rsid w:val="00514B90"/>
    <w:rsid w:val="0051609E"/>
    <w:rsid w:val="005164CC"/>
    <w:rsid w:val="00517A57"/>
    <w:rsid w:val="00517CC7"/>
    <w:rsid w:val="00520705"/>
    <w:rsid w:val="0052094A"/>
    <w:rsid w:val="005218A1"/>
    <w:rsid w:val="00521DF6"/>
    <w:rsid w:val="00523EEE"/>
    <w:rsid w:val="005255E9"/>
    <w:rsid w:val="0052641D"/>
    <w:rsid w:val="00533D54"/>
    <w:rsid w:val="00534DAB"/>
    <w:rsid w:val="005358F6"/>
    <w:rsid w:val="0054067F"/>
    <w:rsid w:val="00541B27"/>
    <w:rsid w:val="00541DF6"/>
    <w:rsid w:val="00541E48"/>
    <w:rsid w:val="005426DD"/>
    <w:rsid w:val="005428A8"/>
    <w:rsid w:val="005435A1"/>
    <w:rsid w:val="00544029"/>
    <w:rsid w:val="005450AA"/>
    <w:rsid w:val="005460F8"/>
    <w:rsid w:val="0054676E"/>
    <w:rsid w:val="0054760F"/>
    <w:rsid w:val="00552CA4"/>
    <w:rsid w:val="00554668"/>
    <w:rsid w:val="00555056"/>
    <w:rsid w:val="00556889"/>
    <w:rsid w:val="005572EA"/>
    <w:rsid w:val="005574EF"/>
    <w:rsid w:val="00557FB4"/>
    <w:rsid w:val="0056462A"/>
    <w:rsid w:val="00567B7F"/>
    <w:rsid w:val="00570295"/>
    <w:rsid w:val="005732F7"/>
    <w:rsid w:val="005736EF"/>
    <w:rsid w:val="00574593"/>
    <w:rsid w:val="00574A18"/>
    <w:rsid w:val="005759DE"/>
    <w:rsid w:val="00576762"/>
    <w:rsid w:val="0057695E"/>
    <w:rsid w:val="00577B45"/>
    <w:rsid w:val="00577C55"/>
    <w:rsid w:val="00580921"/>
    <w:rsid w:val="00580F67"/>
    <w:rsid w:val="005815D0"/>
    <w:rsid w:val="005818A7"/>
    <w:rsid w:val="00581947"/>
    <w:rsid w:val="00583C95"/>
    <w:rsid w:val="005840D4"/>
    <w:rsid w:val="00584D88"/>
    <w:rsid w:val="00585EF6"/>
    <w:rsid w:val="00586EE6"/>
    <w:rsid w:val="00587EC5"/>
    <w:rsid w:val="00591536"/>
    <w:rsid w:val="00591C6C"/>
    <w:rsid w:val="00591E25"/>
    <w:rsid w:val="00594759"/>
    <w:rsid w:val="005957A4"/>
    <w:rsid w:val="00595E42"/>
    <w:rsid w:val="00596318"/>
    <w:rsid w:val="00596821"/>
    <w:rsid w:val="00596E52"/>
    <w:rsid w:val="00597E62"/>
    <w:rsid w:val="005A0629"/>
    <w:rsid w:val="005A1327"/>
    <w:rsid w:val="005A1C88"/>
    <w:rsid w:val="005A1CDC"/>
    <w:rsid w:val="005A25ED"/>
    <w:rsid w:val="005A35E8"/>
    <w:rsid w:val="005A4317"/>
    <w:rsid w:val="005B0635"/>
    <w:rsid w:val="005B0B30"/>
    <w:rsid w:val="005B10ED"/>
    <w:rsid w:val="005B2D4D"/>
    <w:rsid w:val="005B396F"/>
    <w:rsid w:val="005B48CF"/>
    <w:rsid w:val="005B49D9"/>
    <w:rsid w:val="005B6167"/>
    <w:rsid w:val="005B6283"/>
    <w:rsid w:val="005B668D"/>
    <w:rsid w:val="005B6B82"/>
    <w:rsid w:val="005B7103"/>
    <w:rsid w:val="005C39D0"/>
    <w:rsid w:val="005C4256"/>
    <w:rsid w:val="005C47D5"/>
    <w:rsid w:val="005C4D9B"/>
    <w:rsid w:val="005C4EDD"/>
    <w:rsid w:val="005C58AB"/>
    <w:rsid w:val="005C7396"/>
    <w:rsid w:val="005C7E98"/>
    <w:rsid w:val="005D0ECB"/>
    <w:rsid w:val="005D1A97"/>
    <w:rsid w:val="005D418F"/>
    <w:rsid w:val="005D428A"/>
    <w:rsid w:val="005D5351"/>
    <w:rsid w:val="005D5EB7"/>
    <w:rsid w:val="005D7499"/>
    <w:rsid w:val="005D754E"/>
    <w:rsid w:val="005D7A62"/>
    <w:rsid w:val="005E122D"/>
    <w:rsid w:val="005E493B"/>
    <w:rsid w:val="005E5A2E"/>
    <w:rsid w:val="005E6648"/>
    <w:rsid w:val="005E7230"/>
    <w:rsid w:val="005F03F6"/>
    <w:rsid w:val="005F0687"/>
    <w:rsid w:val="005F0A0D"/>
    <w:rsid w:val="005F1CF8"/>
    <w:rsid w:val="005F31FC"/>
    <w:rsid w:val="005F739E"/>
    <w:rsid w:val="0060054E"/>
    <w:rsid w:val="00603070"/>
    <w:rsid w:val="00603769"/>
    <w:rsid w:val="00605463"/>
    <w:rsid w:val="00605E83"/>
    <w:rsid w:val="00606139"/>
    <w:rsid w:val="0060728B"/>
    <w:rsid w:val="0061006A"/>
    <w:rsid w:val="0061121E"/>
    <w:rsid w:val="00611485"/>
    <w:rsid w:val="00612C63"/>
    <w:rsid w:val="00612CE3"/>
    <w:rsid w:val="00614943"/>
    <w:rsid w:val="00616F52"/>
    <w:rsid w:val="00616F63"/>
    <w:rsid w:val="0061770C"/>
    <w:rsid w:val="00621B57"/>
    <w:rsid w:val="00621C1E"/>
    <w:rsid w:val="006225A2"/>
    <w:rsid w:val="006237F5"/>
    <w:rsid w:val="00624C05"/>
    <w:rsid w:val="00624E52"/>
    <w:rsid w:val="0062524A"/>
    <w:rsid w:val="00625EC0"/>
    <w:rsid w:val="006267E2"/>
    <w:rsid w:val="0063047C"/>
    <w:rsid w:val="00630FEC"/>
    <w:rsid w:val="00631622"/>
    <w:rsid w:val="00632EE6"/>
    <w:rsid w:val="006332AA"/>
    <w:rsid w:val="006345D6"/>
    <w:rsid w:val="00634DDD"/>
    <w:rsid w:val="00635DC6"/>
    <w:rsid w:val="00635DE3"/>
    <w:rsid w:val="0063649A"/>
    <w:rsid w:val="00636773"/>
    <w:rsid w:val="006367D7"/>
    <w:rsid w:val="006375B9"/>
    <w:rsid w:val="006376CE"/>
    <w:rsid w:val="00637A7D"/>
    <w:rsid w:val="00640816"/>
    <w:rsid w:val="006410B6"/>
    <w:rsid w:val="00641B7B"/>
    <w:rsid w:val="00641B91"/>
    <w:rsid w:val="006430DA"/>
    <w:rsid w:val="00643B60"/>
    <w:rsid w:val="006446C8"/>
    <w:rsid w:val="00644770"/>
    <w:rsid w:val="00645758"/>
    <w:rsid w:val="0064673B"/>
    <w:rsid w:val="00646AD4"/>
    <w:rsid w:val="00647BEC"/>
    <w:rsid w:val="0065044E"/>
    <w:rsid w:val="00652FA2"/>
    <w:rsid w:val="00653975"/>
    <w:rsid w:val="0065408D"/>
    <w:rsid w:val="00655048"/>
    <w:rsid w:val="0065557B"/>
    <w:rsid w:val="006560C0"/>
    <w:rsid w:val="006560E7"/>
    <w:rsid w:val="006573D9"/>
    <w:rsid w:val="00660890"/>
    <w:rsid w:val="00661AF6"/>
    <w:rsid w:val="0066204E"/>
    <w:rsid w:val="0066274F"/>
    <w:rsid w:val="00663895"/>
    <w:rsid w:val="00664E9B"/>
    <w:rsid w:val="006674D0"/>
    <w:rsid w:val="00667933"/>
    <w:rsid w:val="006707AE"/>
    <w:rsid w:val="006711C7"/>
    <w:rsid w:val="006722AF"/>
    <w:rsid w:val="006722EC"/>
    <w:rsid w:val="00673175"/>
    <w:rsid w:val="00673452"/>
    <w:rsid w:val="0067381E"/>
    <w:rsid w:val="00673D91"/>
    <w:rsid w:val="006747BC"/>
    <w:rsid w:val="00676745"/>
    <w:rsid w:val="00676CDC"/>
    <w:rsid w:val="00681B8F"/>
    <w:rsid w:val="00683A4D"/>
    <w:rsid w:val="00684478"/>
    <w:rsid w:val="0068490F"/>
    <w:rsid w:val="00684BA6"/>
    <w:rsid w:val="006858E4"/>
    <w:rsid w:val="006870D4"/>
    <w:rsid w:val="006871ED"/>
    <w:rsid w:val="0069026B"/>
    <w:rsid w:val="00693494"/>
    <w:rsid w:val="00695A62"/>
    <w:rsid w:val="006975A5"/>
    <w:rsid w:val="006A071C"/>
    <w:rsid w:val="006A0892"/>
    <w:rsid w:val="006A1FCD"/>
    <w:rsid w:val="006A27CE"/>
    <w:rsid w:val="006A2EBB"/>
    <w:rsid w:val="006A3536"/>
    <w:rsid w:val="006A6D3B"/>
    <w:rsid w:val="006A768C"/>
    <w:rsid w:val="006B0031"/>
    <w:rsid w:val="006B075D"/>
    <w:rsid w:val="006B09F0"/>
    <w:rsid w:val="006B1149"/>
    <w:rsid w:val="006B18F7"/>
    <w:rsid w:val="006B1A26"/>
    <w:rsid w:val="006B46F9"/>
    <w:rsid w:val="006B4DBC"/>
    <w:rsid w:val="006B5172"/>
    <w:rsid w:val="006B53D0"/>
    <w:rsid w:val="006B595C"/>
    <w:rsid w:val="006B59B2"/>
    <w:rsid w:val="006B6DDB"/>
    <w:rsid w:val="006C128C"/>
    <w:rsid w:val="006C2690"/>
    <w:rsid w:val="006C360B"/>
    <w:rsid w:val="006C59BB"/>
    <w:rsid w:val="006C7479"/>
    <w:rsid w:val="006C7B68"/>
    <w:rsid w:val="006C7F38"/>
    <w:rsid w:val="006C7F7B"/>
    <w:rsid w:val="006D077D"/>
    <w:rsid w:val="006D0E58"/>
    <w:rsid w:val="006D17EF"/>
    <w:rsid w:val="006D1A04"/>
    <w:rsid w:val="006D2425"/>
    <w:rsid w:val="006D2FB2"/>
    <w:rsid w:val="006D5478"/>
    <w:rsid w:val="006D6AF6"/>
    <w:rsid w:val="006D7F4B"/>
    <w:rsid w:val="006E1408"/>
    <w:rsid w:val="006E1682"/>
    <w:rsid w:val="006E1A11"/>
    <w:rsid w:val="006E2456"/>
    <w:rsid w:val="006E656B"/>
    <w:rsid w:val="006E6879"/>
    <w:rsid w:val="006E7411"/>
    <w:rsid w:val="006F0EBD"/>
    <w:rsid w:val="006F10BC"/>
    <w:rsid w:val="006F6E04"/>
    <w:rsid w:val="006F725E"/>
    <w:rsid w:val="0070108B"/>
    <w:rsid w:val="00701689"/>
    <w:rsid w:val="00702754"/>
    <w:rsid w:val="00702DAB"/>
    <w:rsid w:val="00703468"/>
    <w:rsid w:val="00705787"/>
    <w:rsid w:val="007068CF"/>
    <w:rsid w:val="00706AD4"/>
    <w:rsid w:val="00706AEF"/>
    <w:rsid w:val="00707351"/>
    <w:rsid w:val="00707EA3"/>
    <w:rsid w:val="007102F3"/>
    <w:rsid w:val="0071050D"/>
    <w:rsid w:val="00710BC1"/>
    <w:rsid w:val="00711219"/>
    <w:rsid w:val="0071539F"/>
    <w:rsid w:val="00716371"/>
    <w:rsid w:val="007163D1"/>
    <w:rsid w:val="00717A1A"/>
    <w:rsid w:val="007202A0"/>
    <w:rsid w:val="007209A9"/>
    <w:rsid w:val="00721A6C"/>
    <w:rsid w:val="00721E87"/>
    <w:rsid w:val="007220A0"/>
    <w:rsid w:val="00722294"/>
    <w:rsid w:val="007233EC"/>
    <w:rsid w:val="00723C2E"/>
    <w:rsid w:val="00723EDC"/>
    <w:rsid w:val="00724A55"/>
    <w:rsid w:val="00724C80"/>
    <w:rsid w:val="00724E02"/>
    <w:rsid w:val="007271BA"/>
    <w:rsid w:val="00727306"/>
    <w:rsid w:val="00727D5F"/>
    <w:rsid w:val="00730E74"/>
    <w:rsid w:val="00730E90"/>
    <w:rsid w:val="00731E41"/>
    <w:rsid w:val="00732EF8"/>
    <w:rsid w:val="00736A58"/>
    <w:rsid w:val="00737126"/>
    <w:rsid w:val="00737D24"/>
    <w:rsid w:val="00740EDE"/>
    <w:rsid w:val="007415B1"/>
    <w:rsid w:val="00741E46"/>
    <w:rsid w:val="00742E7A"/>
    <w:rsid w:val="00743E82"/>
    <w:rsid w:val="00744C82"/>
    <w:rsid w:val="00744F73"/>
    <w:rsid w:val="00747090"/>
    <w:rsid w:val="00747CB7"/>
    <w:rsid w:val="00751F0E"/>
    <w:rsid w:val="007524EE"/>
    <w:rsid w:val="00752D14"/>
    <w:rsid w:val="00753B7A"/>
    <w:rsid w:val="00753EBE"/>
    <w:rsid w:val="007548FD"/>
    <w:rsid w:val="007552AC"/>
    <w:rsid w:val="0075548F"/>
    <w:rsid w:val="00755D24"/>
    <w:rsid w:val="00756799"/>
    <w:rsid w:val="00756AEE"/>
    <w:rsid w:val="00757196"/>
    <w:rsid w:val="0076031D"/>
    <w:rsid w:val="007643D0"/>
    <w:rsid w:val="00764BCE"/>
    <w:rsid w:val="00764C8C"/>
    <w:rsid w:val="00765AC1"/>
    <w:rsid w:val="0076751E"/>
    <w:rsid w:val="007705DA"/>
    <w:rsid w:val="007714D0"/>
    <w:rsid w:val="007714E4"/>
    <w:rsid w:val="007733E6"/>
    <w:rsid w:val="00773C1D"/>
    <w:rsid w:val="007778DF"/>
    <w:rsid w:val="0078308C"/>
    <w:rsid w:val="007844A0"/>
    <w:rsid w:val="007849DD"/>
    <w:rsid w:val="00787149"/>
    <w:rsid w:val="0079036F"/>
    <w:rsid w:val="0079089E"/>
    <w:rsid w:val="00791618"/>
    <w:rsid w:val="00791D99"/>
    <w:rsid w:val="00791F4A"/>
    <w:rsid w:val="0079212B"/>
    <w:rsid w:val="00792167"/>
    <w:rsid w:val="007921D3"/>
    <w:rsid w:val="0079262A"/>
    <w:rsid w:val="00794B89"/>
    <w:rsid w:val="00795D3A"/>
    <w:rsid w:val="00795FF9"/>
    <w:rsid w:val="0079605D"/>
    <w:rsid w:val="00796EED"/>
    <w:rsid w:val="00797BF6"/>
    <w:rsid w:val="00797F3A"/>
    <w:rsid w:val="007A1885"/>
    <w:rsid w:val="007A1BF3"/>
    <w:rsid w:val="007A2885"/>
    <w:rsid w:val="007A288D"/>
    <w:rsid w:val="007A305A"/>
    <w:rsid w:val="007A327B"/>
    <w:rsid w:val="007A3447"/>
    <w:rsid w:val="007A38BC"/>
    <w:rsid w:val="007A5CFD"/>
    <w:rsid w:val="007A64FA"/>
    <w:rsid w:val="007A6EF1"/>
    <w:rsid w:val="007A7F1D"/>
    <w:rsid w:val="007B164A"/>
    <w:rsid w:val="007B2ADF"/>
    <w:rsid w:val="007B2E3C"/>
    <w:rsid w:val="007B2FE3"/>
    <w:rsid w:val="007B3433"/>
    <w:rsid w:val="007B3723"/>
    <w:rsid w:val="007B428B"/>
    <w:rsid w:val="007B5D10"/>
    <w:rsid w:val="007B629F"/>
    <w:rsid w:val="007B63D5"/>
    <w:rsid w:val="007B6D53"/>
    <w:rsid w:val="007B7DB5"/>
    <w:rsid w:val="007C0489"/>
    <w:rsid w:val="007C292E"/>
    <w:rsid w:val="007C2E5E"/>
    <w:rsid w:val="007C2FF2"/>
    <w:rsid w:val="007C3586"/>
    <w:rsid w:val="007C38FB"/>
    <w:rsid w:val="007C464C"/>
    <w:rsid w:val="007C65FB"/>
    <w:rsid w:val="007C6D73"/>
    <w:rsid w:val="007C7223"/>
    <w:rsid w:val="007C7A26"/>
    <w:rsid w:val="007D0219"/>
    <w:rsid w:val="007D0347"/>
    <w:rsid w:val="007D0660"/>
    <w:rsid w:val="007D0E41"/>
    <w:rsid w:val="007D1298"/>
    <w:rsid w:val="007D15DE"/>
    <w:rsid w:val="007D1983"/>
    <w:rsid w:val="007D20CF"/>
    <w:rsid w:val="007D2947"/>
    <w:rsid w:val="007D358D"/>
    <w:rsid w:val="007D3AAF"/>
    <w:rsid w:val="007D3E5B"/>
    <w:rsid w:val="007D4CB5"/>
    <w:rsid w:val="007D5960"/>
    <w:rsid w:val="007D6D04"/>
    <w:rsid w:val="007D6D86"/>
    <w:rsid w:val="007E02D4"/>
    <w:rsid w:val="007E071F"/>
    <w:rsid w:val="007E09A5"/>
    <w:rsid w:val="007E1C29"/>
    <w:rsid w:val="007E2449"/>
    <w:rsid w:val="007E2A78"/>
    <w:rsid w:val="007E5767"/>
    <w:rsid w:val="007E5AA4"/>
    <w:rsid w:val="007E5E6C"/>
    <w:rsid w:val="007E6038"/>
    <w:rsid w:val="007E772B"/>
    <w:rsid w:val="007F0838"/>
    <w:rsid w:val="007F0AA2"/>
    <w:rsid w:val="007F1A05"/>
    <w:rsid w:val="007F3492"/>
    <w:rsid w:val="007F39AF"/>
    <w:rsid w:val="007F3A14"/>
    <w:rsid w:val="007F6B3A"/>
    <w:rsid w:val="007F71F4"/>
    <w:rsid w:val="00801031"/>
    <w:rsid w:val="008011C5"/>
    <w:rsid w:val="008012D3"/>
    <w:rsid w:val="00801B35"/>
    <w:rsid w:val="00802A08"/>
    <w:rsid w:val="00803BD1"/>
    <w:rsid w:val="00804B52"/>
    <w:rsid w:val="0080776A"/>
    <w:rsid w:val="0080779E"/>
    <w:rsid w:val="00811BC8"/>
    <w:rsid w:val="00813291"/>
    <w:rsid w:val="00814A9D"/>
    <w:rsid w:val="00815661"/>
    <w:rsid w:val="00816532"/>
    <w:rsid w:val="00817201"/>
    <w:rsid w:val="008204DF"/>
    <w:rsid w:val="00820CD2"/>
    <w:rsid w:val="00820F97"/>
    <w:rsid w:val="008211D6"/>
    <w:rsid w:val="00824346"/>
    <w:rsid w:val="00824D92"/>
    <w:rsid w:val="008267AE"/>
    <w:rsid w:val="00826D43"/>
    <w:rsid w:val="00826FF7"/>
    <w:rsid w:val="008274B8"/>
    <w:rsid w:val="008278CD"/>
    <w:rsid w:val="00827963"/>
    <w:rsid w:val="00827A26"/>
    <w:rsid w:val="00830B58"/>
    <w:rsid w:val="00831A80"/>
    <w:rsid w:val="00831C41"/>
    <w:rsid w:val="00832546"/>
    <w:rsid w:val="00832C06"/>
    <w:rsid w:val="00832C69"/>
    <w:rsid w:val="0083348D"/>
    <w:rsid w:val="0083377B"/>
    <w:rsid w:val="00833FEE"/>
    <w:rsid w:val="00834238"/>
    <w:rsid w:val="008355B1"/>
    <w:rsid w:val="00836D0D"/>
    <w:rsid w:val="00837511"/>
    <w:rsid w:val="008409D2"/>
    <w:rsid w:val="00840C97"/>
    <w:rsid w:val="00841992"/>
    <w:rsid w:val="008428B6"/>
    <w:rsid w:val="00842C09"/>
    <w:rsid w:val="00842F83"/>
    <w:rsid w:val="00843EA8"/>
    <w:rsid w:val="00844208"/>
    <w:rsid w:val="00844BBC"/>
    <w:rsid w:val="0084646A"/>
    <w:rsid w:val="00846A2A"/>
    <w:rsid w:val="00847896"/>
    <w:rsid w:val="00851764"/>
    <w:rsid w:val="00852CAB"/>
    <w:rsid w:val="00853624"/>
    <w:rsid w:val="008545E7"/>
    <w:rsid w:val="00854D8D"/>
    <w:rsid w:val="00854FD7"/>
    <w:rsid w:val="00855F75"/>
    <w:rsid w:val="00856A52"/>
    <w:rsid w:val="00857F59"/>
    <w:rsid w:val="008614DB"/>
    <w:rsid w:val="008641B8"/>
    <w:rsid w:val="00865BDC"/>
    <w:rsid w:val="00867782"/>
    <w:rsid w:val="00867AF0"/>
    <w:rsid w:val="00867E95"/>
    <w:rsid w:val="00870C41"/>
    <w:rsid w:val="0087150E"/>
    <w:rsid w:val="00871739"/>
    <w:rsid w:val="008723DF"/>
    <w:rsid w:val="008725D7"/>
    <w:rsid w:val="008733DF"/>
    <w:rsid w:val="008744D1"/>
    <w:rsid w:val="00874592"/>
    <w:rsid w:val="00874774"/>
    <w:rsid w:val="00876E2B"/>
    <w:rsid w:val="00876E3F"/>
    <w:rsid w:val="0087738D"/>
    <w:rsid w:val="0088294B"/>
    <w:rsid w:val="00882B93"/>
    <w:rsid w:val="00883CAE"/>
    <w:rsid w:val="008864C6"/>
    <w:rsid w:val="00887FE7"/>
    <w:rsid w:val="008922DC"/>
    <w:rsid w:val="00892687"/>
    <w:rsid w:val="00893584"/>
    <w:rsid w:val="00893A7E"/>
    <w:rsid w:val="008946F6"/>
    <w:rsid w:val="00894A0D"/>
    <w:rsid w:val="00894E32"/>
    <w:rsid w:val="0089504F"/>
    <w:rsid w:val="00896353"/>
    <w:rsid w:val="008968AA"/>
    <w:rsid w:val="008A01DB"/>
    <w:rsid w:val="008A062F"/>
    <w:rsid w:val="008A1C40"/>
    <w:rsid w:val="008A2F10"/>
    <w:rsid w:val="008A2FD2"/>
    <w:rsid w:val="008A3C5C"/>
    <w:rsid w:val="008A4582"/>
    <w:rsid w:val="008A4C89"/>
    <w:rsid w:val="008A680D"/>
    <w:rsid w:val="008A6E13"/>
    <w:rsid w:val="008A74D5"/>
    <w:rsid w:val="008A7747"/>
    <w:rsid w:val="008B0173"/>
    <w:rsid w:val="008B0921"/>
    <w:rsid w:val="008B0A6C"/>
    <w:rsid w:val="008B16FE"/>
    <w:rsid w:val="008B1874"/>
    <w:rsid w:val="008B361C"/>
    <w:rsid w:val="008B3D94"/>
    <w:rsid w:val="008B4366"/>
    <w:rsid w:val="008B4630"/>
    <w:rsid w:val="008B5121"/>
    <w:rsid w:val="008C0DED"/>
    <w:rsid w:val="008C0E37"/>
    <w:rsid w:val="008C0FDA"/>
    <w:rsid w:val="008C1050"/>
    <w:rsid w:val="008C15A9"/>
    <w:rsid w:val="008C358D"/>
    <w:rsid w:val="008C3A8A"/>
    <w:rsid w:val="008C3FD0"/>
    <w:rsid w:val="008C46EA"/>
    <w:rsid w:val="008C5248"/>
    <w:rsid w:val="008C638F"/>
    <w:rsid w:val="008C6CF4"/>
    <w:rsid w:val="008D0886"/>
    <w:rsid w:val="008D210D"/>
    <w:rsid w:val="008D32CC"/>
    <w:rsid w:val="008D5A00"/>
    <w:rsid w:val="008D6446"/>
    <w:rsid w:val="008D64E0"/>
    <w:rsid w:val="008D6743"/>
    <w:rsid w:val="008E0590"/>
    <w:rsid w:val="008E1DE7"/>
    <w:rsid w:val="008E27AB"/>
    <w:rsid w:val="008E290A"/>
    <w:rsid w:val="008E3216"/>
    <w:rsid w:val="008E7A54"/>
    <w:rsid w:val="008E7FF8"/>
    <w:rsid w:val="008F032B"/>
    <w:rsid w:val="008F0594"/>
    <w:rsid w:val="008F0FAA"/>
    <w:rsid w:val="008F1544"/>
    <w:rsid w:val="008F2B0B"/>
    <w:rsid w:val="008F381D"/>
    <w:rsid w:val="008F3E73"/>
    <w:rsid w:val="008F4D6D"/>
    <w:rsid w:val="008F6877"/>
    <w:rsid w:val="008F76D9"/>
    <w:rsid w:val="008F7C76"/>
    <w:rsid w:val="008F7F67"/>
    <w:rsid w:val="008F7FA7"/>
    <w:rsid w:val="00901013"/>
    <w:rsid w:val="00902105"/>
    <w:rsid w:val="009026AA"/>
    <w:rsid w:val="00902711"/>
    <w:rsid w:val="009041BD"/>
    <w:rsid w:val="009059D7"/>
    <w:rsid w:val="00905C85"/>
    <w:rsid w:val="00906D05"/>
    <w:rsid w:val="00907598"/>
    <w:rsid w:val="00910719"/>
    <w:rsid w:val="00912806"/>
    <w:rsid w:val="00912A60"/>
    <w:rsid w:val="0091452C"/>
    <w:rsid w:val="00915461"/>
    <w:rsid w:val="00917C18"/>
    <w:rsid w:val="0092073B"/>
    <w:rsid w:val="0092106B"/>
    <w:rsid w:val="00921895"/>
    <w:rsid w:val="00922CC1"/>
    <w:rsid w:val="0092311D"/>
    <w:rsid w:val="009240BC"/>
    <w:rsid w:val="009312E0"/>
    <w:rsid w:val="009318D0"/>
    <w:rsid w:val="0093228D"/>
    <w:rsid w:val="00933F7D"/>
    <w:rsid w:val="009346A6"/>
    <w:rsid w:val="00937A39"/>
    <w:rsid w:val="00937AB6"/>
    <w:rsid w:val="0094005B"/>
    <w:rsid w:val="00940350"/>
    <w:rsid w:val="00941F9F"/>
    <w:rsid w:val="00942D30"/>
    <w:rsid w:val="0094355C"/>
    <w:rsid w:val="00943791"/>
    <w:rsid w:val="00945820"/>
    <w:rsid w:val="009466D9"/>
    <w:rsid w:val="00947D2F"/>
    <w:rsid w:val="00947E7E"/>
    <w:rsid w:val="0095065D"/>
    <w:rsid w:val="0095081C"/>
    <w:rsid w:val="00951F92"/>
    <w:rsid w:val="00952001"/>
    <w:rsid w:val="00952A8A"/>
    <w:rsid w:val="00953343"/>
    <w:rsid w:val="00955136"/>
    <w:rsid w:val="00955C74"/>
    <w:rsid w:val="00956258"/>
    <w:rsid w:val="00956874"/>
    <w:rsid w:val="00957914"/>
    <w:rsid w:val="0096019E"/>
    <w:rsid w:val="00960A06"/>
    <w:rsid w:val="00961759"/>
    <w:rsid w:val="00961DB1"/>
    <w:rsid w:val="00964A11"/>
    <w:rsid w:val="00965179"/>
    <w:rsid w:val="0096681A"/>
    <w:rsid w:val="00967FD6"/>
    <w:rsid w:val="009708BB"/>
    <w:rsid w:val="0097091A"/>
    <w:rsid w:val="00970FF7"/>
    <w:rsid w:val="009714F5"/>
    <w:rsid w:val="009738C9"/>
    <w:rsid w:val="00973F6F"/>
    <w:rsid w:val="00976374"/>
    <w:rsid w:val="00981767"/>
    <w:rsid w:val="00981A49"/>
    <w:rsid w:val="0098509B"/>
    <w:rsid w:val="00985379"/>
    <w:rsid w:val="00986E30"/>
    <w:rsid w:val="00987A88"/>
    <w:rsid w:val="0099218A"/>
    <w:rsid w:val="00992804"/>
    <w:rsid w:val="00993E26"/>
    <w:rsid w:val="00994A12"/>
    <w:rsid w:val="0099534E"/>
    <w:rsid w:val="0099550F"/>
    <w:rsid w:val="00995574"/>
    <w:rsid w:val="00995640"/>
    <w:rsid w:val="009961C1"/>
    <w:rsid w:val="00997022"/>
    <w:rsid w:val="009A1471"/>
    <w:rsid w:val="009A224D"/>
    <w:rsid w:val="009A4178"/>
    <w:rsid w:val="009A5420"/>
    <w:rsid w:val="009A6249"/>
    <w:rsid w:val="009A743C"/>
    <w:rsid w:val="009A7CD3"/>
    <w:rsid w:val="009B2096"/>
    <w:rsid w:val="009B244A"/>
    <w:rsid w:val="009B3784"/>
    <w:rsid w:val="009B48E7"/>
    <w:rsid w:val="009B6320"/>
    <w:rsid w:val="009C0167"/>
    <w:rsid w:val="009C066B"/>
    <w:rsid w:val="009C1333"/>
    <w:rsid w:val="009C1432"/>
    <w:rsid w:val="009C2739"/>
    <w:rsid w:val="009C3D5B"/>
    <w:rsid w:val="009C480F"/>
    <w:rsid w:val="009C48F0"/>
    <w:rsid w:val="009C5D3F"/>
    <w:rsid w:val="009C6244"/>
    <w:rsid w:val="009C6EC9"/>
    <w:rsid w:val="009C6ECE"/>
    <w:rsid w:val="009D0FC0"/>
    <w:rsid w:val="009D1C7F"/>
    <w:rsid w:val="009D3B9E"/>
    <w:rsid w:val="009D41F7"/>
    <w:rsid w:val="009D658C"/>
    <w:rsid w:val="009E0B69"/>
    <w:rsid w:val="009E196F"/>
    <w:rsid w:val="009E1CE3"/>
    <w:rsid w:val="009E2120"/>
    <w:rsid w:val="009E46A2"/>
    <w:rsid w:val="009E62B1"/>
    <w:rsid w:val="009E746A"/>
    <w:rsid w:val="009F01C9"/>
    <w:rsid w:val="009F03FE"/>
    <w:rsid w:val="009F1BBD"/>
    <w:rsid w:val="009F2A38"/>
    <w:rsid w:val="009F3DA4"/>
    <w:rsid w:val="009F5641"/>
    <w:rsid w:val="009F5F06"/>
    <w:rsid w:val="009F714D"/>
    <w:rsid w:val="009F72A7"/>
    <w:rsid w:val="009F781A"/>
    <w:rsid w:val="00A0310E"/>
    <w:rsid w:val="00A04A30"/>
    <w:rsid w:val="00A04C7B"/>
    <w:rsid w:val="00A04D46"/>
    <w:rsid w:val="00A0547A"/>
    <w:rsid w:val="00A05BEB"/>
    <w:rsid w:val="00A063E1"/>
    <w:rsid w:val="00A06EEC"/>
    <w:rsid w:val="00A1220A"/>
    <w:rsid w:val="00A1251F"/>
    <w:rsid w:val="00A12B0F"/>
    <w:rsid w:val="00A13BCF"/>
    <w:rsid w:val="00A14132"/>
    <w:rsid w:val="00A15E74"/>
    <w:rsid w:val="00A17CDD"/>
    <w:rsid w:val="00A223F4"/>
    <w:rsid w:val="00A23E09"/>
    <w:rsid w:val="00A242FC"/>
    <w:rsid w:val="00A2465D"/>
    <w:rsid w:val="00A25B1E"/>
    <w:rsid w:val="00A267E0"/>
    <w:rsid w:val="00A274BB"/>
    <w:rsid w:val="00A27EB7"/>
    <w:rsid w:val="00A27F89"/>
    <w:rsid w:val="00A30918"/>
    <w:rsid w:val="00A30DC2"/>
    <w:rsid w:val="00A3212B"/>
    <w:rsid w:val="00A3219C"/>
    <w:rsid w:val="00A33424"/>
    <w:rsid w:val="00A33B3C"/>
    <w:rsid w:val="00A33DD9"/>
    <w:rsid w:val="00A348BF"/>
    <w:rsid w:val="00A34EE2"/>
    <w:rsid w:val="00A353C3"/>
    <w:rsid w:val="00A3681E"/>
    <w:rsid w:val="00A37F77"/>
    <w:rsid w:val="00A40BA5"/>
    <w:rsid w:val="00A43322"/>
    <w:rsid w:val="00A43D8E"/>
    <w:rsid w:val="00A440A9"/>
    <w:rsid w:val="00A44C20"/>
    <w:rsid w:val="00A44E52"/>
    <w:rsid w:val="00A463C3"/>
    <w:rsid w:val="00A46676"/>
    <w:rsid w:val="00A47A80"/>
    <w:rsid w:val="00A47F4C"/>
    <w:rsid w:val="00A50105"/>
    <w:rsid w:val="00A507B9"/>
    <w:rsid w:val="00A50AB4"/>
    <w:rsid w:val="00A50E7B"/>
    <w:rsid w:val="00A512C4"/>
    <w:rsid w:val="00A518A3"/>
    <w:rsid w:val="00A520FC"/>
    <w:rsid w:val="00A542C3"/>
    <w:rsid w:val="00A54CDA"/>
    <w:rsid w:val="00A54DC8"/>
    <w:rsid w:val="00A54EF8"/>
    <w:rsid w:val="00A54F03"/>
    <w:rsid w:val="00A55120"/>
    <w:rsid w:val="00A558BE"/>
    <w:rsid w:val="00A55A57"/>
    <w:rsid w:val="00A56839"/>
    <w:rsid w:val="00A56E7A"/>
    <w:rsid w:val="00A57574"/>
    <w:rsid w:val="00A61894"/>
    <w:rsid w:val="00A62C92"/>
    <w:rsid w:val="00A674E6"/>
    <w:rsid w:val="00A71626"/>
    <w:rsid w:val="00A7196C"/>
    <w:rsid w:val="00A71C3A"/>
    <w:rsid w:val="00A71C4E"/>
    <w:rsid w:val="00A71EA6"/>
    <w:rsid w:val="00A725E8"/>
    <w:rsid w:val="00A7292C"/>
    <w:rsid w:val="00A7309A"/>
    <w:rsid w:val="00A73180"/>
    <w:rsid w:val="00A73CFD"/>
    <w:rsid w:val="00A77333"/>
    <w:rsid w:val="00A804E4"/>
    <w:rsid w:val="00A82517"/>
    <w:rsid w:val="00A827B7"/>
    <w:rsid w:val="00A828F6"/>
    <w:rsid w:val="00A83054"/>
    <w:rsid w:val="00A83DC9"/>
    <w:rsid w:val="00A84495"/>
    <w:rsid w:val="00A85D7A"/>
    <w:rsid w:val="00A86D76"/>
    <w:rsid w:val="00A872D8"/>
    <w:rsid w:val="00A87F59"/>
    <w:rsid w:val="00A90B39"/>
    <w:rsid w:val="00A92CE2"/>
    <w:rsid w:val="00A93209"/>
    <w:rsid w:val="00A9358A"/>
    <w:rsid w:val="00A9425C"/>
    <w:rsid w:val="00A95034"/>
    <w:rsid w:val="00A96101"/>
    <w:rsid w:val="00A96D33"/>
    <w:rsid w:val="00A970A9"/>
    <w:rsid w:val="00AA0341"/>
    <w:rsid w:val="00AA04B4"/>
    <w:rsid w:val="00AA05D1"/>
    <w:rsid w:val="00AA0A9F"/>
    <w:rsid w:val="00AA1546"/>
    <w:rsid w:val="00AA22E6"/>
    <w:rsid w:val="00AA2374"/>
    <w:rsid w:val="00AA305C"/>
    <w:rsid w:val="00AB10D5"/>
    <w:rsid w:val="00AB1F4D"/>
    <w:rsid w:val="00AB1F5B"/>
    <w:rsid w:val="00AB313E"/>
    <w:rsid w:val="00AB4692"/>
    <w:rsid w:val="00AB4790"/>
    <w:rsid w:val="00AB524D"/>
    <w:rsid w:val="00AB5A52"/>
    <w:rsid w:val="00AB6E1D"/>
    <w:rsid w:val="00AC01C6"/>
    <w:rsid w:val="00AC0C58"/>
    <w:rsid w:val="00AC1203"/>
    <w:rsid w:val="00AC1C8E"/>
    <w:rsid w:val="00AC1E5B"/>
    <w:rsid w:val="00AC2012"/>
    <w:rsid w:val="00AC3A79"/>
    <w:rsid w:val="00AC3FC0"/>
    <w:rsid w:val="00AC4048"/>
    <w:rsid w:val="00AC45E0"/>
    <w:rsid w:val="00AC6210"/>
    <w:rsid w:val="00AC7357"/>
    <w:rsid w:val="00AD2CE9"/>
    <w:rsid w:val="00AD370F"/>
    <w:rsid w:val="00AD4126"/>
    <w:rsid w:val="00AD4F86"/>
    <w:rsid w:val="00AD5C9C"/>
    <w:rsid w:val="00AD66E6"/>
    <w:rsid w:val="00AD6793"/>
    <w:rsid w:val="00AD6ADC"/>
    <w:rsid w:val="00AD7158"/>
    <w:rsid w:val="00AE0E91"/>
    <w:rsid w:val="00AE123C"/>
    <w:rsid w:val="00AE2917"/>
    <w:rsid w:val="00AE2E73"/>
    <w:rsid w:val="00AE2EE0"/>
    <w:rsid w:val="00AE5759"/>
    <w:rsid w:val="00AE5FCB"/>
    <w:rsid w:val="00AE6729"/>
    <w:rsid w:val="00AE6CFB"/>
    <w:rsid w:val="00AE6EBB"/>
    <w:rsid w:val="00AE78D0"/>
    <w:rsid w:val="00AE7BDF"/>
    <w:rsid w:val="00AE7F2E"/>
    <w:rsid w:val="00AF0716"/>
    <w:rsid w:val="00AF3586"/>
    <w:rsid w:val="00AF5895"/>
    <w:rsid w:val="00AF5FA6"/>
    <w:rsid w:val="00AF64E6"/>
    <w:rsid w:val="00AF6C7A"/>
    <w:rsid w:val="00AF6FA0"/>
    <w:rsid w:val="00B00EBB"/>
    <w:rsid w:val="00B01ED2"/>
    <w:rsid w:val="00B023AE"/>
    <w:rsid w:val="00B02C93"/>
    <w:rsid w:val="00B10440"/>
    <w:rsid w:val="00B10D75"/>
    <w:rsid w:val="00B10F1A"/>
    <w:rsid w:val="00B131E3"/>
    <w:rsid w:val="00B13DC7"/>
    <w:rsid w:val="00B146C6"/>
    <w:rsid w:val="00B14D01"/>
    <w:rsid w:val="00B14FE1"/>
    <w:rsid w:val="00B15E00"/>
    <w:rsid w:val="00B16B54"/>
    <w:rsid w:val="00B206EC"/>
    <w:rsid w:val="00B21F55"/>
    <w:rsid w:val="00B23CCF"/>
    <w:rsid w:val="00B23D23"/>
    <w:rsid w:val="00B25DA9"/>
    <w:rsid w:val="00B26B8F"/>
    <w:rsid w:val="00B26CF2"/>
    <w:rsid w:val="00B30025"/>
    <w:rsid w:val="00B30416"/>
    <w:rsid w:val="00B31DA3"/>
    <w:rsid w:val="00B3265F"/>
    <w:rsid w:val="00B32FDB"/>
    <w:rsid w:val="00B3330F"/>
    <w:rsid w:val="00B3457B"/>
    <w:rsid w:val="00B34AFD"/>
    <w:rsid w:val="00B35319"/>
    <w:rsid w:val="00B35783"/>
    <w:rsid w:val="00B35DC0"/>
    <w:rsid w:val="00B37514"/>
    <w:rsid w:val="00B4007B"/>
    <w:rsid w:val="00B40191"/>
    <w:rsid w:val="00B4054F"/>
    <w:rsid w:val="00B40584"/>
    <w:rsid w:val="00B40A85"/>
    <w:rsid w:val="00B40ECE"/>
    <w:rsid w:val="00B43E9E"/>
    <w:rsid w:val="00B43F92"/>
    <w:rsid w:val="00B4547F"/>
    <w:rsid w:val="00B514A3"/>
    <w:rsid w:val="00B51F02"/>
    <w:rsid w:val="00B5246B"/>
    <w:rsid w:val="00B534E1"/>
    <w:rsid w:val="00B54CD8"/>
    <w:rsid w:val="00B54E78"/>
    <w:rsid w:val="00B54FFB"/>
    <w:rsid w:val="00B55210"/>
    <w:rsid w:val="00B5579C"/>
    <w:rsid w:val="00B55C31"/>
    <w:rsid w:val="00B55D3D"/>
    <w:rsid w:val="00B56FD4"/>
    <w:rsid w:val="00B60765"/>
    <w:rsid w:val="00B61359"/>
    <w:rsid w:val="00B614F9"/>
    <w:rsid w:val="00B61D2E"/>
    <w:rsid w:val="00B6210D"/>
    <w:rsid w:val="00B637D2"/>
    <w:rsid w:val="00B65953"/>
    <w:rsid w:val="00B664F7"/>
    <w:rsid w:val="00B66601"/>
    <w:rsid w:val="00B722A4"/>
    <w:rsid w:val="00B726B8"/>
    <w:rsid w:val="00B741F2"/>
    <w:rsid w:val="00B7608C"/>
    <w:rsid w:val="00B762E7"/>
    <w:rsid w:val="00B7673A"/>
    <w:rsid w:val="00B80FDD"/>
    <w:rsid w:val="00B81D45"/>
    <w:rsid w:val="00B85C4D"/>
    <w:rsid w:val="00B87214"/>
    <w:rsid w:val="00B875FA"/>
    <w:rsid w:val="00B90E68"/>
    <w:rsid w:val="00B92765"/>
    <w:rsid w:val="00B9283D"/>
    <w:rsid w:val="00B9289E"/>
    <w:rsid w:val="00B92C7B"/>
    <w:rsid w:val="00B9509E"/>
    <w:rsid w:val="00B954D5"/>
    <w:rsid w:val="00B95DF1"/>
    <w:rsid w:val="00B967F8"/>
    <w:rsid w:val="00BA029A"/>
    <w:rsid w:val="00BA1C4A"/>
    <w:rsid w:val="00BA227E"/>
    <w:rsid w:val="00BA25A7"/>
    <w:rsid w:val="00BA265D"/>
    <w:rsid w:val="00BA292E"/>
    <w:rsid w:val="00BA2BAA"/>
    <w:rsid w:val="00BA2BDC"/>
    <w:rsid w:val="00BA41C6"/>
    <w:rsid w:val="00BA785A"/>
    <w:rsid w:val="00BB1083"/>
    <w:rsid w:val="00BB3186"/>
    <w:rsid w:val="00BB3D67"/>
    <w:rsid w:val="00BB4B34"/>
    <w:rsid w:val="00BB4B3C"/>
    <w:rsid w:val="00BB53C9"/>
    <w:rsid w:val="00BB6557"/>
    <w:rsid w:val="00BB672B"/>
    <w:rsid w:val="00BB6A61"/>
    <w:rsid w:val="00BB7F06"/>
    <w:rsid w:val="00BC0863"/>
    <w:rsid w:val="00BC12FA"/>
    <w:rsid w:val="00BC143D"/>
    <w:rsid w:val="00BC1B23"/>
    <w:rsid w:val="00BC2137"/>
    <w:rsid w:val="00BC2CAD"/>
    <w:rsid w:val="00BC4DFE"/>
    <w:rsid w:val="00BC7281"/>
    <w:rsid w:val="00BD04C2"/>
    <w:rsid w:val="00BD29E8"/>
    <w:rsid w:val="00BD2BDB"/>
    <w:rsid w:val="00BD37DD"/>
    <w:rsid w:val="00BD4C7B"/>
    <w:rsid w:val="00BD5B5F"/>
    <w:rsid w:val="00BD77B5"/>
    <w:rsid w:val="00BE0BBC"/>
    <w:rsid w:val="00BE16AE"/>
    <w:rsid w:val="00BE358A"/>
    <w:rsid w:val="00BE35CD"/>
    <w:rsid w:val="00BE63B8"/>
    <w:rsid w:val="00BE6777"/>
    <w:rsid w:val="00BE7F94"/>
    <w:rsid w:val="00BF0A57"/>
    <w:rsid w:val="00BF299A"/>
    <w:rsid w:val="00BF5CDE"/>
    <w:rsid w:val="00BF5F94"/>
    <w:rsid w:val="00BF6800"/>
    <w:rsid w:val="00BF766D"/>
    <w:rsid w:val="00BF780D"/>
    <w:rsid w:val="00C0168E"/>
    <w:rsid w:val="00C0279D"/>
    <w:rsid w:val="00C03630"/>
    <w:rsid w:val="00C038CA"/>
    <w:rsid w:val="00C042D7"/>
    <w:rsid w:val="00C05813"/>
    <w:rsid w:val="00C05874"/>
    <w:rsid w:val="00C05E8C"/>
    <w:rsid w:val="00C07AAB"/>
    <w:rsid w:val="00C103FF"/>
    <w:rsid w:val="00C1066C"/>
    <w:rsid w:val="00C1099A"/>
    <w:rsid w:val="00C109E6"/>
    <w:rsid w:val="00C11743"/>
    <w:rsid w:val="00C11B30"/>
    <w:rsid w:val="00C12898"/>
    <w:rsid w:val="00C12A1B"/>
    <w:rsid w:val="00C156B7"/>
    <w:rsid w:val="00C158A5"/>
    <w:rsid w:val="00C15A10"/>
    <w:rsid w:val="00C1750E"/>
    <w:rsid w:val="00C17DEE"/>
    <w:rsid w:val="00C20821"/>
    <w:rsid w:val="00C21E79"/>
    <w:rsid w:val="00C21EA0"/>
    <w:rsid w:val="00C226CD"/>
    <w:rsid w:val="00C22F34"/>
    <w:rsid w:val="00C234A9"/>
    <w:rsid w:val="00C23503"/>
    <w:rsid w:val="00C2539B"/>
    <w:rsid w:val="00C2632F"/>
    <w:rsid w:val="00C271CB"/>
    <w:rsid w:val="00C27FD0"/>
    <w:rsid w:val="00C30A46"/>
    <w:rsid w:val="00C31318"/>
    <w:rsid w:val="00C324FA"/>
    <w:rsid w:val="00C337E2"/>
    <w:rsid w:val="00C34368"/>
    <w:rsid w:val="00C3500E"/>
    <w:rsid w:val="00C3510A"/>
    <w:rsid w:val="00C360FB"/>
    <w:rsid w:val="00C36846"/>
    <w:rsid w:val="00C40D7E"/>
    <w:rsid w:val="00C42453"/>
    <w:rsid w:val="00C43446"/>
    <w:rsid w:val="00C44184"/>
    <w:rsid w:val="00C45ECE"/>
    <w:rsid w:val="00C46E29"/>
    <w:rsid w:val="00C473C6"/>
    <w:rsid w:val="00C50421"/>
    <w:rsid w:val="00C51E80"/>
    <w:rsid w:val="00C51F67"/>
    <w:rsid w:val="00C52F75"/>
    <w:rsid w:val="00C53CE4"/>
    <w:rsid w:val="00C53DE1"/>
    <w:rsid w:val="00C547A1"/>
    <w:rsid w:val="00C57007"/>
    <w:rsid w:val="00C62544"/>
    <w:rsid w:val="00C634BC"/>
    <w:rsid w:val="00C6363D"/>
    <w:rsid w:val="00C6449B"/>
    <w:rsid w:val="00C66F10"/>
    <w:rsid w:val="00C66F3A"/>
    <w:rsid w:val="00C709FE"/>
    <w:rsid w:val="00C7116B"/>
    <w:rsid w:val="00C71BB9"/>
    <w:rsid w:val="00C74577"/>
    <w:rsid w:val="00C745F5"/>
    <w:rsid w:val="00C74C60"/>
    <w:rsid w:val="00C74E3B"/>
    <w:rsid w:val="00C754D8"/>
    <w:rsid w:val="00C757A6"/>
    <w:rsid w:val="00C76601"/>
    <w:rsid w:val="00C76C10"/>
    <w:rsid w:val="00C76F14"/>
    <w:rsid w:val="00C8031A"/>
    <w:rsid w:val="00C80C33"/>
    <w:rsid w:val="00C81FAF"/>
    <w:rsid w:val="00C82505"/>
    <w:rsid w:val="00C832C1"/>
    <w:rsid w:val="00C83597"/>
    <w:rsid w:val="00C85F92"/>
    <w:rsid w:val="00C86211"/>
    <w:rsid w:val="00C864BA"/>
    <w:rsid w:val="00C866BC"/>
    <w:rsid w:val="00C8709D"/>
    <w:rsid w:val="00C953B5"/>
    <w:rsid w:val="00C96972"/>
    <w:rsid w:val="00C96CD8"/>
    <w:rsid w:val="00C9795F"/>
    <w:rsid w:val="00C97F3C"/>
    <w:rsid w:val="00CA04A4"/>
    <w:rsid w:val="00CA067B"/>
    <w:rsid w:val="00CA1199"/>
    <w:rsid w:val="00CA3A27"/>
    <w:rsid w:val="00CA5443"/>
    <w:rsid w:val="00CA54BF"/>
    <w:rsid w:val="00CA682A"/>
    <w:rsid w:val="00CA7518"/>
    <w:rsid w:val="00CA7C65"/>
    <w:rsid w:val="00CA7D4A"/>
    <w:rsid w:val="00CB2486"/>
    <w:rsid w:val="00CB335D"/>
    <w:rsid w:val="00CB37C5"/>
    <w:rsid w:val="00CB3C00"/>
    <w:rsid w:val="00CB5991"/>
    <w:rsid w:val="00CB5D39"/>
    <w:rsid w:val="00CC0D54"/>
    <w:rsid w:val="00CC15D2"/>
    <w:rsid w:val="00CC1F02"/>
    <w:rsid w:val="00CC21CB"/>
    <w:rsid w:val="00CC2349"/>
    <w:rsid w:val="00CC4E85"/>
    <w:rsid w:val="00CC4EBF"/>
    <w:rsid w:val="00CC50E0"/>
    <w:rsid w:val="00CD01BC"/>
    <w:rsid w:val="00CD11F3"/>
    <w:rsid w:val="00CD1870"/>
    <w:rsid w:val="00CD35CD"/>
    <w:rsid w:val="00CD6D81"/>
    <w:rsid w:val="00CD6E64"/>
    <w:rsid w:val="00CD78A1"/>
    <w:rsid w:val="00CD7B94"/>
    <w:rsid w:val="00CE3820"/>
    <w:rsid w:val="00CE44DE"/>
    <w:rsid w:val="00CE4A6F"/>
    <w:rsid w:val="00CE5D48"/>
    <w:rsid w:val="00CE7836"/>
    <w:rsid w:val="00CE78A5"/>
    <w:rsid w:val="00CE7C35"/>
    <w:rsid w:val="00CE7EEC"/>
    <w:rsid w:val="00CE7F12"/>
    <w:rsid w:val="00CF1D9B"/>
    <w:rsid w:val="00CF3A21"/>
    <w:rsid w:val="00CF51A0"/>
    <w:rsid w:val="00CF5240"/>
    <w:rsid w:val="00CF5AAD"/>
    <w:rsid w:val="00CF684B"/>
    <w:rsid w:val="00CF7603"/>
    <w:rsid w:val="00D016D9"/>
    <w:rsid w:val="00D03415"/>
    <w:rsid w:val="00D0415D"/>
    <w:rsid w:val="00D05D45"/>
    <w:rsid w:val="00D061D5"/>
    <w:rsid w:val="00D064A9"/>
    <w:rsid w:val="00D1055B"/>
    <w:rsid w:val="00D1332B"/>
    <w:rsid w:val="00D13786"/>
    <w:rsid w:val="00D13D12"/>
    <w:rsid w:val="00D15C55"/>
    <w:rsid w:val="00D16221"/>
    <w:rsid w:val="00D16BA6"/>
    <w:rsid w:val="00D16E14"/>
    <w:rsid w:val="00D20E56"/>
    <w:rsid w:val="00D22F5A"/>
    <w:rsid w:val="00D22FDB"/>
    <w:rsid w:val="00D25BFC"/>
    <w:rsid w:val="00D27DA7"/>
    <w:rsid w:val="00D3018E"/>
    <w:rsid w:val="00D34C2F"/>
    <w:rsid w:val="00D36407"/>
    <w:rsid w:val="00D36613"/>
    <w:rsid w:val="00D409FD"/>
    <w:rsid w:val="00D40E4D"/>
    <w:rsid w:val="00D429BF"/>
    <w:rsid w:val="00D42F2C"/>
    <w:rsid w:val="00D4399C"/>
    <w:rsid w:val="00D439C3"/>
    <w:rsid w:val="00D43FA2"/>
    <w:rsid w:val="00D4720E"/>
    <w:rsid w:val="00D47BFF"/>
    <w:rsid w:val="00D50997"/>
    <w:rsid w:val="00D51015"/>
    <w:rsid w:val="00D517F6"/>
    <w:rsid w:val="00D52908"/>
    <w:rsid w:val="00D53CFD"/>
    <w:rsid w:val="00D548AD"/>
    <w:rsid w:val="00D551F8"/>
    <w:rsid w:val="00D61D21"/>
    <w:rsid w:val="00D6331F"/>
    <w:rsid w:val="00D64DF3"/>
    <w:rsid w:val="00D662B9"/>
    <w:rsid w:val="00D707A3"/>
    <w:rsid w:val="00D707FC"/>
    <w:rsid w:val="00D723F4"/>
    <w:rsid w:val="00D7312D"/>
    <w:rsid w:val="00D735B1"/>
    <w:rsid w:val="00D73EA0"/>
    <w:rsid w:val="00D74B15"/>
    <w:rsid w:val="00D7602C"/>
    <w:rsid w:val="00D76B23"/>
    <w:rsid w:val="00D774A0"/>
    <w:rsid w:val="00D823EB"/>
    <w:rsid w:val="00D837DF"/>
    <w:rsid w:val="00D83AD3"/>
    <w:rsid w:val="00D84E14"/>
    <w:rsid w:val="00D86AFC"/>
    <w:rsid w:val="00D87271"/>
    <w:rsid w:val="00D87D08"/>
    <w:rsid w:val="00D900A1"/>
    <w:rsid w:val="00D90BD0"/>
    <w:rsid w:val="00D91DB3"/>
    <w:rsid w:val="00D95A38"/>
    <w:rsid w:val="00D965A7"/>
    <w:rsid w:val="00D977C7"/>
    <w:rsid w:val="00D97D02"/>
    <w:rsid w:val="00DA003E"/>
    <w:rsid w:val="00DA031D"/>
    <w:rsid w:val="00DA1C72"/>
    <w:rsid w:val="00DA2DE3"/>
    <w:rsid w:val="00DA38EC"/>
    <w:rsid w:val="00DA47DC"/>
    <w:rsid w:val="00DA4B59"/>
    <w:rsid w:val="00DA5B82"/>
    <w:rsid w:val="00DA5E25"/>
    <w:rsid w:val="00DA7490"/>
    <w:rsid w:val="00DB238D"/>
    <w:rsid w:val="00DB376A"/>
    <w:rsid w:val="00DB47C5"/>
    <w:rsid w:val="00DB6749"/>
    <w:rsid w:val="00DB6AD1"/>
    <w:rsid w:val="00DB73DD"/>
    <w:rsid w:val="00DC1F5B"/>
    <w:rsid w:val="00DC2DAF"/>
    <w:rsid w:val="00DC2F02"/>
    <w:rsid w:val="00DC5663"/>
    <w:rsid w:val="00DC56D4"/>
    <w:rsid w:val="00DC60F7"/>
    <w:rsid w:val="00DD36B3"/>
    <w:rsid w:val="00DD3927"/>
    <w:rsid w:val="00DD4814"/>
    <w:rsid w:val="00DD4CCF"/>
    <w:rsid w:val="00DD70D6"/>
    <w:rsid w:val="00DD7D7E"/>
    <w:rsid w:val="00DD7F3D"/>
    <w:rsid w:val="00DE0BAB"/>
    <w:rsid w:val="00DE1225"/>
    <w:rsid w:val="00DE13E4"/>
    <w:rsid w:val="00DE1565"/>
    <w:rsid w:val="00DE244F"/>
    <w:rsid w:val="00DE324C"/>
    <w:rsid w:val="00DE3E50"/>
    <w:rsid w:val="00DE4610"/>
    <w:rsid w:val="00DE6E64"/>
    <w:rsid w:val="00DE7BAC"/>
    <w:rsid w:val="00DE7F9C"/>
    <w:rsid w:val="00DF0803"/>
    <w:rsid w:val="00DF09B8"/>
    <w:rsid w:val="00DF15FF"/>
    <w:rsid w:val="00DF2933"/>
    <w:rsid w:val="00DF429D"/>
    <w:rsid w:val="00DF62C2"/>
    <w:rsid w:val="00DF6B9D"/>
    <w:rsid w:val="00DF7CBD"/>
    <w:rsid w:val="00E00C99"/>
    <w:rsid w:val="00E028CF"/>
    <w:rsid w:val="00E046BF"/>
    <w:rsid w:val="00E06C3E"/>
    <w:rsid w:val="00E06E54"/>
    <w:rsid w:val="00E079FA"/>
    <w:rsid w:val="00E07F59"/>
    <w:rsid w:val="00E108B4"/>
    <w:rsid w:val="00E10F39"/>
    <w:rsid w:val="00E118D9"/>
    <w:rsid w:val="00E12F97"/>
    <w:rsid w:val="00E130A4"/>
    <w:rsid w:val="00E131C2"/>
    <w:rsid w:val="00E13510"/>
    <w:rsid w:val="00E13C4A"/>
    <w:rsid w:val="00E157A0"/>
    <w:rsid w:val="00E15ED0"/>
    <w:rsid w:val="00E16297"/>
    <w:rsid w:val="00E17962"/>
    <w:rsid w:val="00E206C7"/>
    <w:rsid w:val="00E209AE"/>
    <w:rsid w:val="00E20D39"/>
    <w:rsid w:val="00E22334"/>
    <w:rsid w:val="00E22E30"/>
    <w:rsid w:val="00E258B7"/>
    <w:rsid w:val="00E269E8"/>
    <w:rsid w:val="00E2755B"/>
    <w:rsid w:val="00E27B5E"/>
    <w:rsid w:val="00E306A6"/>
    <w:rsid w:val="00E30958"/>
    <w:rsid w:val="00E30BED"/>
    <w:rsid w:val="00E3292B"/>
    <w:rsid w:val="00E344CD"/>
    <w:rsid w:val="00E35B04"/>
    <w:rsid w:val="00E401F0"/>
    <w:rsid w:val="00E41452"/>
    <w:rsid w:val="00E424FC"/>
    <w:rsid w:val="00E429DA"/>
    <w:rsid w:val="00E43802"/>
    <w:rsid w:val="00E43F34"/>
    <w:rsid w:val="00E457A1"/>
    <w:rsid w:val="00E45DBA"/>
    <w:rsid w:val="00E47827"/>
    <w:rsid w:val="00E47B49"/>
    <w:rsid w:val="00E5127B"/>
    <w:rsid w:val="00E54131"/>
    <w:rsid w:val="00E55E53"/>
    <w:rsid w:val="00E5609F"/>
    <w:rsid w:val="00E56ECD"/>
    <w:rsid w:val="00E576DB"/>
    <w:rsid w:val="00E60220"/>
    <w:rsid w:val="00E645CE"/>
    <w:rsid w:val="00E64885"/>
    <w:rsid w:val="00E64CF2"/>
    <w:rsid w:val="00E64EC5"/>
    <w:rsid w:val="00E66075"/>
    <w:rsid w:val="00E6621B"/>
    <w:rsid w:val="00E70240"/>
    <w:rsid w:val="00E71325"/>
    <w:rsid w:val="00E71809"/>
    <w:rsid w:val="00E71EB4"/>
    <w:rsid w:val="00E72019"/>
    <w:rsid w:val="00E72DC2"/>
    <w:rsid w:val="00E74156"/>
    <w:rsid w:val="00E744B8"/>
    <w:rsid w:val="00E76C8E"/>
    <w:rsid w:val="00E7752D"/>
    <w:rsid w:val="00E81B4D"/>
    <w:rsid w:val="00E82127"/>
    <w:rsid w:val="00E82734"/>
    <w:rsid w:val="00E83F44"/>
    <w:rsid w:val="00E85CF4"/>
    <w:rsid w:val="00E87E47"/>
    <w:rsid w:val="00E91F30"/>
    <w:rsid w:val="00E91F8F"/>
    <w:rsid w:val="00E91FF4"/>
    <w:rsid w:val="00E927EC"/>
    <w:rsid w:val="00E937FC"/>
    <w:rsid w:val="00E95418"/>
    <w:rsid w:val="00E96585"/>
    <w:rsid w:val="00E96FC7"/>
    <w:rsid w:val="00EA0579"/>
    <w:rsid w:val="00EA1ECE"/>
    <w:rsid w:val="00EA1FBE"/>
    <w:rsid w:val="00EA2310"/>
    <w:rsid w:val="00EA29D3"/>
    <w:rsid w:val="00EA2EAB"/>
    <w:rsid w:val="00EA4CAF"/>
    <w:rsid w:val="00EA4CE7"/>
    <w:rsid w:val="00EA6D0F"/>
    <w:rsid w:val="00EB01BE"/>
    <w:rsid w:val="00EB0734"/>
    <w:rsid w:val="00EB1DFA"/>
    <w:rsid w:val="00EB4242"/>
    <w:rsid w:val="00EB58FC"/>
    <w:rsid w:val="00EB7639"/>
    <w:rsid w:val="00EB769A"/>
    <w:rsid w:val="00EC01E9"/>
    <w:rsid w:val="00EC044C"/>
    <w:rsid w:val="00EC11F8"/>
    <w:rsid w:val="00EC3FE7"/>
    <w:rsid w:val="00EC4879"/>
    <w:rsid w:val="00EC5ED3"/>
    <w:rsid w:val="00ED09C1"/>
    <w:rsid w:val="00ED1460"/>
    <w:rsid w:val="00ED3747"/>
    <w:rsid w:val="00ED3C9E"/>
    <w:rsid w:val="00ED5201"/>
    <w:rsid w:val="00ED52E8"/>
    <w:rsid w:val="00ED5B4F"/>
    <w:rsid w:val="00ED618B"/>
    <w:rsid w:val="00EE05C2"/>
    <w:rsid w:val="00EE1040"/>
    <w:rsid w:val="00EE1A7A"/>
    <w:rsid w:val="00EE1E31"/>
    <w:rsid w:val="00EE1E45"/>
    <w:rsid w:val="00EE24EE"/>
    <w:rsid w:val="00EE2754"/>
    <w:rsid w:val="00EE3724"/>
    <w:rsid w:val="00EE4CF6"/>
    <w:rsid w:val="00EE741A"/>
    <w:rsid w:val="00EF158D"/>
    <w:rsid w:val="00EF17D3"/>
    <w:rsid w:val="00EF1E08"/>
    <w:rsid w:val="00EF3256"/>
    <w:rsid w:val="00EF38EC"/>
    <w:rsid w:val="00EF41DC"/>
    <w:rsid w:val="00EF42BB"/>
    <w:rsid w:val="00EF4D6A"/>
    <w:rsid w:val="00F00911"/>
    <w:rsid w:val="00F012B0"/>
    <w:rsid w:val="00F01A05"/>
    <w:rsid w:val="00F077A9"/>
    <w:rsid w:val="00F07940"/>
    <w:rsid w:val="00F12EF1"/>
    <w:rsid w:val="00F14C38"/>
    <w:rsid w:val="00F156B8"/>
    <w:rsid w:val="00F159D9"/>
    <w:rsid w:val="00F20CD8"/>
    <w:rsid w:val="00F20E38"/>
    <w:rsid w:val="00F22785"/>
    <w:rsid w:val="00F23B67"/>
    <w:rsid w:val="00F24397"/>
    <w:rsid w:val="00F24F14"/>
    <w:rsid w:val="00F26228"/>
    <w:rsid w:val="00F316A3"/>
    <w:rsid w:val="00F32356"/>
    <w:rsid w:val="00F32C8F"/>
    <w:rsid w:val="00F346B8"/>
    <w:rsid w:val="00F35D99"/>
    <w:rsid w:val="00F35F01"/>
    <w:rsid w:val="00F367EC"/>
    <w:rsid w:val="00F368E3"/>
    <w:rsid w:val="00F36C70"/>
    <w:rsid w:val="00F37335"/>
    <w:rsid w:val="00F37464"/>
    <w:rsid w:val="00F37EA2"/>
    <w:rsid w:val="00F40F0C"/>
    <w:rsid w:val="00F41A3A"/>
    <w:rsid w:val="00F42318"/>
    <w:rsid w:val="00F42C34"/>
    <w:rsid w:val="00F4669D"/>
    <w:rsid w:val="00F47C0D"/>
    <w:rsid w:val="00F5092E"/>
    <w:rsid w:val="00F50EF9"/>
    <w:rsid w:val="00F514DA"/>
    <w:rsid w:val="00F51AC3"/>
    <w:rsid w:val="00F5279B"/>
    <w:rsid w:val="00F53FA0"/>
    <w:rsid w:val="00F5413A"/>
    <w:rsid w:val="00F55515"/>
    <w:rsid w:val="00F570C9"/>
    <w:rsid w:val="00F57538"/>
    <w:rsid w:val="00F62243"/>
    <w:rsid w:val="00F626E4"/>
    <w:rsid w:val="00F62B58"/>
    <w:rsid w:val="00F63FDB"/>
    <w:rsid w:val="00F65E36"/>
    <w:rsid w:val="00F66561"/>
    <w:rsid w:val="00F6783D"/>
    <w:rsid w:val="00F67B80"/>
    <w:rsid w:val="00F7062F"/>
    <w:rsid w:val="00F70681"/>
    <w:rsid w:val="00F708EF"/>
    <w:rsid w:val="00F7392A"/>
    <w:rsid w:val="00F74B9C"/>
    <w:rsid w:val="00F757BB"/>
    <w:rsid w:val="00F76DF9"/>
    <w:rsid w:val="00F772E3"/>
    <w:rsid w:val="00F7754F"/>
    <w:rsid w:val="00F77B7A"/>
    <w:rsid w:val="00F801FD"/>
    <w:rsid w:val="00F80723"/>
    <w:rsid w:val="00F80EAE"/>
    <w:rsid w:val="00F81592"/>
    <w:rsid w:val="00F81E78"/>
    <w:rsid w:val="00F8212E"/>
    <w:rsid w:val="00F836CF"/>
    <w:rsid w:val="00F84090"/>
    <w:rsid w:val="00F8443A"/>
    <w:rsid w:val="00F84CC9"/>
    <w:rsid w:val="00F84F84"/>
    <w:rsid w:val="00F85507"/>
    <w:rsid w:val="00F8584D"/>
    <w:rsid w:val="00F86E79"/>
    <w:rsid w:val="00F87546"/>
    <w:rsid w:val="00F90402"/>
    <w:rsid w:val="00F908F9"/>
    <w:rsid w:val="00F9163D"/>
    <w:rsid w:val="00F9389B"/>
    <w:rsid w:val="00F94E15"/>
    <w:rsid w:val="00F94E2B"/>
    <w:rsid w:val="00F953B7"/>
    <w:rsid w:val="00F95C2E"/>
    <w:rsid w:val="00FA0BFB"/>
    <w:rsid w:val="00FA2ADF"/>
    <w:rsid w:val="00FA34F5"/>
    <w:rsid w:val="00FA355C"/>
    <w:rsid w:val="00FA420C"/>
    <w:rsid w:val="00FA6989"/>
    <w:rsid w:val="00FA704C"/>
    <w:rsid w:val="00FA792F"/>
    <w:rsid w:val="00FB027E"/>
    <w:rsid w:val="00FB2630"/>
    <w:rsid w:val="00FB2745"/>
    <w:rsid w:val="00FB2D02"/>
    <w:rsid w:val="00FB34FF"/>
    <w:rsid w:val="00FB42D3"/>
    <w:rsid w:val="00FB5156"/>
    <w:rsid w:val="00FB5ADE"/>
    <w:rsid w:val="00FB6190"/>
    <w:rsid w:val="00FB6890"/>
    <w:rsid w:val="00FC0671"/>
    <w:rsid w:val="00FC08F7"/>
    <w:rsid w:val="00FC330B"/>
    <w:rsid w:val="00FC5E32"/>
    <w:rsid w:val="00FC60D2"/>
    <w:rsid w:val="00FC6B37"/>
    <w:rsid w:val="00FD04ED"/>
    <w:rsid w:val="00FD08BB"/>
    <w:rsid w:val="00FD0A7D"/>
    <w:rsid w:val="00FD26B4"/>
    <w:rsid w:val="00FD2E03"/>
    <w:rsid w:val="00FD3204"/>
    <w:rsid w:val="00FD42A2"/>
    <w:rsid w:val="00FD45CB"/>
    <w:rsid w:val="00FD664E"/>
    <w:rsid w:val="00FD6B3C"/>
    <w:rsid w:val="00FE055E"/>
    <w:rsid w:val="00FE129F"/>
    <w:rsid w:val="00FE1774"/>
    <w:rsid w:val="00FE18FC"/>
    <w:rsid w:val="00FE2E64"/>
    <w:rsid w:val="00FE49FA"/>
    <w:rsid w:val="00FE4EB4"/>
    <w:rsid w:val="00FE75C9"/>
    <w:rsid w:val="00FE75DC"/>
    <w:rsid w:val="00FF0A9C"/>
    <w:rsid w:val="00FF10F0"/>
    <w:rsid w:val="00FF2393"/>
    <w:rsid w:val="00FF3456"/>
    <w:rsid w:val="00FF43B6"/>
    <w:rsid w:val="00FF5D65"/>
    <w:rsid w:val="00FF77A7"/>
    <w:rsid w:val="00FF7FD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95F"/>
    <w:pPr>
      <w:framePr w:wrap="auto"/>
      <w:widowControl/>
      <w:autoSpaceDE/>
      <w:autoSpaceDN/>
      <w:adjustRightInd/>
      <w:ind w:left="0" w:right="0"/>
      <w:jc w:val="left"/>
      <w:textAlignment w:val="auto"/>
    </w:pPr>
    <w:rPr>
      <w:rFonts w:ascii="Times New Roman" w:eastAsia="Calibri" w:hAnsi="Times New Roman" w:cs="Times New Roman"/>
      <w:sz w:val="24"/>
      <w:szCs w:val="22"/>
      <w:rtl w:val="0"/>
      <w:cs w:val="0"/>
      <w:lang w:val="sk-SK" w:eastAsia="en-US" w:bidi="ar-SA"/>
    </w:rPr>
  </w:style>
  <w:style w:type="paragraph" w:styleId="Heading1">
    <w:name w:val="heading 1"/>
    <w:basedOn w:val="Normal"/>
    <w:next w:val="Normal"/>
    <w:link w:val="Nadpis1Char"/>
    <w:qFormat/>
    <w:rsid w:val="007B7DB5"/>
    <w:pPr>
      <w:keepNext/>
      <w:spacing w:before="240" w:after="60"/>
      <w:jc w:val="left"/>
      <w:outlineLvl w:val="0"/>
    </w:pPr>
    <w:rPr>
      <w:rFonts w:ascii="Arial" w:eastAsia="Times New Roman" w:hAnsi="Arial" w:cs="Arial"/>
      <w:b/>
      <w:bCs/>
      <w:kern w:val="32"/>
      <w:sz w:val="32"/>
      <w:szCs w:val="32"/>
      <w:lang w:eastAsia="sk-SK"/>
    </w:rPr>
  </w:style>
  <w:style w:type="paragraph" w:styleId="Heading2">
    <w:name w:val="heading 2"/>
    <w:basedOn w:val="Normal"/>
    <w:next w:val="Normal"/>
    <w:link w:val="Nadpis2Char"/>
    <w:qFormat/>
    <w:rsid w:val="007B7DB5"/>
    <w:pPr>
      <w:keepNext/>
      <w:spacing w:before="240" w:after="60"/>
      <w:jc w:val="left"/>
      <w:outlineLvl w:val="1"/>
    </w:pPr>
    <w:rPr>
      <w:rFonts w:ascii="Arial" w:eastAsia="Times New Roman" w:hAnsi="Arial" w:cs="Arial"/>
      <w:b/>
      <w:bCs/>
      <w:i/>
      <w:iCs/>
      <w:sz w:val="28"/>
      <w:szCs w:val="28"/>
      <w:lang w:eastAsia="sk-SK"/>
    </w:rPr>
  </w:style>
  <w:style w:type="paragraph" w:styleId="Heading3">
    <w:name w:val="heading 3"/>
    <w:basedOn w:val="Normal"/>
    <w:next w:val="Normal"/>
    <w:link w:val="Nadpis3Char"/>
    <w:qFormat/>
    <w:rsid w:val="007B7DB5"/>
    <w:pPr>
      <w:keepNext/>
      <w:spacing w:before="240" w:after="60"/>
      <w:jc w:val="left"/>
      <w:outlineLvl w:val="2"/>
    </w:pPr>
    <w:rPr>
      <w:rFonts w:ascii="Arial" w:eastAsia="Times New Roman" w:hAnsi="Arial" w:cs="Arial"/>
      <w:b/>
      <w:bCs/>
      <w:sz w:val="26"/>
      <w:szCs w:val="26"/>
      <w:lang w:eastAsia="sk-SK"/>
    </w:rPr>
  </w:style>
  <w:style w:type="paragraph" w:styleId="Heading8">
    <w:name w:val="heading 8"/>
    <w:basedOn w:val="Normal"/>
    <w:next w:val="Normal"/>
    <w:link w:val="Nadpis8Char"/>
    <w:uiPriority w:val="9"/>
    <w:semiHidden/>
    <w:unhideWhenUsed/>
    <w:qFormat/>
    <w:rsid w:val="00D4399C"/>
    <w:pPr>
      <w:keepNext/>
      <w:keepLines/>
      <w:spacing w:before="200"/>
      <w:jc w:val="left"/>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l"/>
    <w:link w:val="ZarkazkladnhotextuChar"/>
    <w:rsid w:val="00541B27"/>
    <w:pPr>
      <w:spacing w:after="120"/>
      <w:ind w:left="283"/>
      <w:jc w:val="left"/>
    </w:pPr>
    <w:rPr>
      <w:rFonts w:ascii="Times New Roman" w:eastAsia="Times New Roman" w:hAnsi="Times New Roman"/>
      <w:szCs w:val="24"/>
      <w:lang w:eastAsia="sk-SK"/>
    </w:rPr>
  </w:style>
  <w:style w:type="character" w:customStyle="1" w:styleId="ZarkazkladnhotextuChar">
    <w:name w:val="Zarážka základného textu Char"/>
    <w:link w:val="BodyTextIndent"/>
    <w:locked/>
    <w:rsid w:val="00541B27"/>
    <w:rPr>
      <w:rFonts w:ascii="Times New Roman" w:hAnsi="Times New Roman" w:cs="Times New Roman"/>
      <w:sz w:val="24"/>
      <w:lang w:val="x-none" w:eastAsia="sk-SK"/>
    </w:rPr>
  </w:style>
  <w:style w:type="paragraph" w:styleId="BodyTextIndent2">
    <w:name w:val="Body Text Indent 2"/>
    <w:basedOn w:val="Normal"/>
    <w:link w:val="Zarkazkladnhotextu2Char"/>
    <w:rsid w:val="00541B27"/>
    <w:pPr>
      <w:spacing w:after="120" w:line="480" w:lineRule="auto"/>
      <w:ind w:left="283"/>
      <w:jc w:val="left"/>
    </w:pPr>
    <w:rPr>
      <w:rFonts w:ascii="Times New Roman" w:eastAsia="Times New Roman" w:hAnsi="Times New Roman"/>
      <w:szCs w:val="24"/>
      <w:lang w:eastAsia="sk-SK"/>
    </w:rPr>
  </w:style>
  <w:style w:type="character" w:customStyle="1" w:styleId="Zarkazkladnhotextu2Char">
    <w:name w:val="Zarážka základného textu 2 Char"/>
    <w:link w:val="BodyTextIndent2"/>
    <w:locked/>
    <w:rsid w:val="00541B27"/>
    <w:rPr>
      <w:rFonts w:ascii="Times New Roman" w:hAnsi="Times New Roman" w:cs="Times New Roman"/>
      <w:sz w:val="24"/>
      <w:lang w:val="x-none" w:eastAsia="sk-SK"/>
    </w:rPr>
  </w:style>
  <w:style w:type="paragraph" w:customStyle="1" w:styleId="Zakladnystyl">
    <w:name w:val="Zakladny styl"/>
    <w:rsid w:val="00541B2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ListParagraph">
    <w:name w:val="List Paragraph"/>
    <w:aliases w:val="3,Bullet 1,Bullet Points,Dot pt,Indicator Text,LISTA,List Paragraph Char Char Char,List Paragraph à moi,List Paragraph1,Listaszerű bekezdés1,Listaszerű bekezdés2,Listaszerű bekezdés3,No Spacing1,Numbered Para 1,Odsek zoznamu4,body"/>
    <w:basedOn w:val="Normal"/>
    <w:link w:val="OdsekzoznamuChar"/>
    <w:uiPriority w:val="34"/>
    <w:qFormat/>
    <w:rsid w:val="00541B27"/>
    <w:pPr>
      <w:ind w:left="708"/>
      <w:jc w:val="left"/>
    </w:pPr>
    <w:rPr>
      <w:rFonts w:ascii="Times New Roman" w:eastAsia="Times New Roman" w:hAnsi="Times New Roman"/>
      <w:szCs w:val="24"/>
      <w:lang w:eastAsia="sk-SK"/>
    </w:rPr>
  </w:style>
  <w:style w:type="paragraph" w:customStyle="1" w:styleId="Vlada">
    <w:name w:val="Vlada"/>
    <w:basedOn w:val="Normal"/>
    <w:rsid w:val="00541B27"/>
    <w:pPr>
      <w:spacing w:before="480" w:after="120"/>
      <w:jc w:val="left"/>
    </w:pPr>
    <w:rPr>
      <w:rFonts w:ascii="Times New Roman" w:eastAsia="Times New Roman" w:hAnsi="Times New Roman"/>
      <w:b/>
      <w:bCs/>
      <w:sz w:val="32"/>
      <w:szCs w:val="32"/>
      <w:lang w:eastAsia="sk-SK"/>
    </w:rPr>
  </w:style>
  <w:style w:type="paragraph" w:styleId="BalloonText">
    <w:name w:val="Balloon Text"/>
    <w:basedOn w:val="Normal"/>
    <w:link w:val="TextbublinyChar"/>
    <w:uiPriority w:val="99"/>
    <w:semiHidden/>
    <w:unhideWhenUsed/>
    <w:rsid w:val="00541B27"/>
    <w:pPr>
      <w:jc w:val="left"/>
    </w:pPr>
    <w:rPr>
      <w:rFonts w:ascii="Tahoma" w:hAnsi="Tahoma" w:cs="Tahoma"/>
      <w:sz w:val="16"/>
      <w:szCs w:val="16"/>
    </w:rPr>
  </w:style>
  <w:style w:type="character" w:customStyle="1" w:styleId="TextbublinyChar">
    <w:name w:val="Text bubliny Char"/>
    <w:link w:val="BalloonText"/>
    <w:uiPriority w:val="99"/>
    <w:semiHidden/>
    <w:locked/>
    <w:rsid w:val="00541B27"/>
    <w:rPr>
      <w:rFonts w:ascii="Tahoma" w:hAnsi="Tahoma" w:cs="Tahoma"/>
      <w:sz w:val="16"/>
    </w:rPr>
  </w:style>
  <w:style w:type="character" w:customStyle="1" w:styleId="Nadpis1Char">
    <w:name w:val="Nadpis 1 Char"/>
    <w:link w:val="Heading1"/>
    <w:locked/>
    <w:rsid w:val="007B7DB5"/>
    <w:rPr>
      <w:rFonts w:ascii="Arial" w:hAnsi="Arial" w:cs="Arial"/>
      <w:b/>
      <w:kern w:val="32"/>
      <w:sz w:val="32"/>
      <w:lang w:val="x-none" w:eastAsia="sk-SK"/>
    </w:rPr>
  </w:style>
  <w:style w:type="character" w:customStyle="1" w:styleId="Nadpis2Char">
    <w:name w:val="Nadpis 2 Char"/>
    <w:link w:val="Heading2"/>
    <w:locked/>
    <w:rsid w:val="007B7DB5"/>
    <w:rPr>
      <w:rFonts w:ascii="Arial" w:hAnsi="Arial" w:cs="Arial"/>
      <w:b/>
      <w:i/>
      <w:sz w:val="28"/>
      <w:lang w:val="x-none" w:eastAsia="sk-SK"/>
    </w:rPr>
  </w:style>
  <w:style w:type="character" w:customStyle="1" w:styleId="Nadpis3Char">
    <w:name w:val="Nadpis 3 Char"/>
    <w:link w:val="Heading3"/>
    <w:locked/>
    <w:rsid w:val="007B7DB5"/>
    <w:rPr>
      <w:rFonts w:ascii="Arial" w:hAnsi="Arial" w:cs="Arial"/>
      <w:b/>
      <w:sz w:val="26"/>
      <w:lang w:val="x-none" w:eastAsia="sk-SK"/>
    </w:rPr>
  </w:style>
  <w:style w:type="paragraph" w:styleId="Footer">
    <w:name w:val="footer"/>
    <w:basedOn w:val="Normal"/>
    <w:link w:val="PtaChar"/>
    <w:uiPriority w:val="99"/>
    <w:rsid w:val="007B7DB5"/>
    <w:pPr>
      <w:tabs>
        <w:tab w:val="center" w:pos="4536"/>
        <w:tab w:val="right" w:pos="9072"/>
      </w:tabs>
      <w:jc w:val="left"/>
    </w:pPr>
    <w:rPr>
      <w:rFonts w:ascii="Times New Roman" w:eastAsia="Times New Roman" w:hAnsi="Times New Roman"/>
      <w:szCs w:val="24"/>
      <w:lang w:eastAsia="sk-SK"/>
    </w:rPr>
  </w:style>
  <w:style w:type="character" w:customStyle="1" w:styleId="PtaChar">
    <w:name w:val="Päta Char"/>
    <w:link w:val="Footer"/>
    <w:uiPriority w:val="99"/>
    <w:locked/>
    <w:rsid w:val="007B7DB5"/>
    <w:rPr>
      <w:rFonts w:ascii="Times New Roman" w:hAnsi="Times New Roman" w:cs="Times New Roman"/>
      <w:sz w:val="24"/>
      <w:lang w:val="x-none" w:eastAsia="sk-SK"/>
    </w:rPr>
  </w:style>
  <w:style w:type="character" w:styleId="PageNumber">
    <w:name w:val="page number"/>
    <w:basedOn w:val="DefaultParagraphFont"/>
    <w:rsid w:val="007B7DB5"/>
    <w:rPr>
      <w:rFonts w:cs="Times New Roman"/>
      <w:rtl w:val="0"/>
      <w:cs w:val="0"/>
    </w:rPr>
  </w:style>
  <w:style w:type="paragraph" w:styleId="FootnoteText">
    <w:name w:val="footnote text"/>
    <w:aliases w:val="ALTS FOOTNOTE,Footnote Text Char Char Char1 Char,Footnote Text Char Char Char2,Footnote Text Char1 Char,Footnote Text Char1 Char1 Char,Footnote Text Char2 Char,Footnote Text Char3,Podrozdział,fn,footnote text"/>
    <w:basedOn w:val="Normal"/>
    <w:link w:val="TextpoznmkypodiarouChar"/>
    <w:uiPriority w:val="99"/>
    <w:qFormat/>
    <w:rsid w:val="00AC1E5B"/>
    <w:pPr>
      <w:jc w:val="left"/>
    </w:pPr>
    <w:rPr>
      <w:rFonts w:ascii="Times New Roman" w:eastAsia="Times New Roman" w:hAnsi="Times New Roman"/>
      <w:szCs w:val="20"/>
      <w:lang w:eastAsia="sk-SK"/>
    </w:rPr>
  </w:style>
  <w:style w:type="character" w:customStyle="1" w:styleId="TextpoznmkypodiarouChar">
    <w:name w:val="Text poznámky pod čiarou Char"/>
    <w:aliases w:val="ALTS FOOTNOTE Char,Footnote Text Char Char Char1 Char Char,Footnote Text Char Char Char2 Char,Footnote Text Char1 Char1 Char Char,Footnote Text Char2 Char Char,Footnote Text Char3 Char,Podrozdział Char,footnote text Char"/>
    <w:link w:val="FootnoteText"/>
    <w:uiPriority w:val="99"/>
    <w:locked/>
    <w:rsid w:val="00AC1E5B"/>
    <w:rPr>
      <w:rFonts w:ascii="Times New Roman" w:hAnsi="Times New Roman" w:cs="Times New Roman"/>
      <w:sz w:val="20"/>
      <w:lang w:val="x-none" w:eastAsia="sk-SK"/>
    </w:rPr>
  </w:style>
  <w:style w:type="character" w:styleId="FootnoteReference">
    <w:name w:val="footnote reference"/>
    <w:aliases w:val="BVI fnr,BVI fnr_0,EN Footnote Reference,Exposant 3 Point,Exposant 3 Point_0,Footnote Reference Superscript,Footnote Reference_LVL6,Footnote reference number,Footnote symbol,R,SUPERS,Times 10 Point,note TESI,number"/>
    <w:link w:val="FootnotesymbolCarZchn"/>
    <w:uiPriority w:val="99"/>
    <w:qFormat/>
    <w:locked/>
    <w:rsid w:val="007B7DB5"/>
    <w:rPr>
      <w:vertAlign w:val="superscript"/>
    </w:rPr>
  </w:style>
  <w:style w:type="paragraph" w:styleId="Header">
    <w:name w:val="header"/>
    <w:basedOn w:val="Normal"/>
    <w:link w:val="HlavikaChar"/>
    <w:uiPriority w:val="99"/>
    <w:rsid w:val="007B7DB5"/>
    <w:pPr>
      <w:tabs>
        <w:tab w:val="center" w:pos="4536"/>
        <w:tab w:val="right" w:pos="9072"/>
      </w:tabs>
      <w:jc w:val="left"/>
    </w:pPr>
    <w:rPr>
      <w:rFonts w:ascii="Times New Roman" w:eastAsia="Times New Roman" w:hAnsi="Times New Roman"/>
      <w:szCs w:val="24"/>
      <w:lang w:eastAsia="sk-SK"/>
    </w:rPr>
  </w:style>
  <w:style w:type="character" w:customStyle="1" w:styleId="HlavikaChar">
    <w:name w:val="Hlavička Char"/>
    <w:link w:val="Header"/>
    <w:uiPriority w:val="99"/>
    <w:locked/>
    <w:rsid w:val="007B7DB5"/>
    <w:rPr>
      <w:rFonts w:ascii="Times New Roman" w:hAnsi="Times New Roman" w:cs="Times New Roman"/>
      <w:sz w:val="24"/>
      <w:lang w:val="x-none" w:eastAsia="sk-SK"/>
    </w:rPr>
  </w:style>
  <w:style w:type="table" w:styleId="TableGrid">
    <w:name w:val="Table Grid"/>
    <w:basedOn w:val="TableNormal"/>
    <w:uiPriority w:val="59"/>
    <w:rsid w:val="007B7D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B5"/>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en-US" w:bidi="ar-SA"/>
    </w:rPr>
  </w:style>
  <w:style w:type="paragraph" w:styleId="TOC1">
    <w:name w:val="toc 1"/>
    <w:basedOn w:val="Normal"/>
    <w:next w:val="Normal"/>
    <w:autoRedefine/>
    <w:semiHidden/>
    <w:rsid w:val="007B7DB5"/>
    <w:pPr>
      <w:tabs>
        <w:tab w:val="left" w:pos="480"/>
        <w:tab w:val="right" w:leader="dot" w:pos="8776"/>
      </w:tabs>
      <w:spacing w:line="360" w:lineRule="auto"/>
      <w:jc w:val="both"/>
    </w:pPr>
    <w:rPr>
      <w:rFonts w:ascii="Times New Roman" w:eastAsia="Times New Roman" w:hAnsi="Times New Roman"/>
      <w:b/>
      <w:noProof/>
      <w:szCs w:val="24"/>
      <w:lang w:eastAsia="sk-SK"/>
    </w:rPr>
  </w:style>
  <w:style w:type="paragraph" w:styleId="TOC2">
    <w:name w:val="toc 2"/>
    <w:basedOn w:val="Normal"/>
    <w:next w:val="Normal"/>
    <w:autoRedefine/>
    <w:semiHidden/>
    <w:rsid w:val="007B7DB5"/>
    <w:pPr>
      <w:ind w:left="240"/>
      <w:jc w:val="left"/>
    </w:pPr>
    <w:rPr>
      <w:rFonts w:ascii="Times New Roman" w:eastAsia="Times New Roman" w:hAnsi="Times New Roman"/>
      <w:szCs w:val="24"/>
      <w:lang w:eastAsia="sk-SK"/>
    </w:rPr>
  </w:style>
  <w:style w:type="paragraph" w:styleId="TOC3">
    <w:name w:val="toc 3"/>
    <w:basedOn w:val="Normal"/>
    <w:next w:val="Normal"/>
    <w:autoRedefine/>
    <w:semiHidden/>
    <w:rsid w:val="007B7DB5"/>
    <w:pPr>
      <w:ind w:left="480"/>
      <w:jc w:val="left"/>
    </w:pPr>
    <w:rPr>
      <w:rFonts w:ascii="Times New Roman" w:eastAsia="Times New Roman" w:hAnsi="Times New Roman"/>
      <w:szCs w:val="24"/>
      <w:lang w:eastAsia="sk-SK"/>
    </w:rPr>
  </w:style>
  <w:style w:type="character" w:styleId="Hyperlink">
    <w:name w:val="Hyperlink"/>
    <w:uiPriority w:val="99"/>
    <w:rsid w:val="007B7DB5"/>
    <w:rPr>
      <w:color w:val="0000FF"/>
      <w:u w:val="single"/>
    </w:rPr>
  </w:style>
  <w:style w:type="paragraph" w:styleId="Title">
    <w:name w:val="Title"/>
    <w:basedOn w:val="Normal"/>
    <w:link w:val="NzovChar"/>
    <w:uiPriority w:val="99"/>
    <w:qFormat/>
    <w:rsid w:val="007B7DB5"/>
    <w:pPr>
      <w:jc w:val="center"/>
    </w:pPr>
    <w:rPr>
      <w:rFonts w:ascii="Times New Roman" w:eastAsia="Times New Roman" w:hAnsi="Times New Roman"/>
      <w:sz w:val="28"/>
      <w:szCs w:val="20"/>
      <w:lang w:eastAsia="sk-SK"/>
    </w:rPr>
  </w:style>
  <w:style w:type="character" w:customStyle="1" w:styleId="NzovChar">
    <w:name w:val="Názov Char"/>
    <w:link w:val="Title"/>
    <w:uiPriority w:val="99"/>
    <w:locked/>
    <w:rsid w:val="007B7DB5"/>
    <w:rPr>
      <w:rFonts w:ascii="Times New Roman" w:hAnsi="Times New Roman" w:cs="Times New Roman"/>
      <w:sz w:val="20"/>
      <w:lang w:val="x-none" w:eastAsia="sk-SK"/>
    </w:rPr>
  </w:style>
  <w:style w:type="paragraph" w:styleId="BodyText">
    <w:name w:val="Body Text"/>
    <w:basedOn w:val="Normal"/>
    <w:link w:val="ZkladntextChar"/>
    <w:uiPriority w:val="99"/>
    <w:rsid w:val="007B7DB5"/>
    <w:pPr>
      <w:jc w:val="left"/>
    </w:pPr>
    <w:rPr>
      <w:rFonts w:ascii="Times New Roman" w:eastAsia="Times New Roman" w:hAnsi="Times New Roman"/>
      <w:b/>
      <w:szCs w:val="20"/>
      <w:lang w:eastAsia="sk-SK"/>
    </w:rPr>
  </w:style>
  <w:style w:type="character" w:customStyle="1" w:styleId="ZkladntextChar">
    <w:name w:val="Základný text Char"/>
    <w:link w:val="BodyText"/>
    <w:uiPriority w:val="99"/>
    <w:locked/>
    <w:rsid w:val="007B7DB5"/>
    <w:rPr>
      <w:rFonts w:ascii="Times New Roman" w:hAnsi="Times New Roman" w:cs="Times New Roman"/>
      <w:b/>
      <w:sz w:val="20"/>
      <w:lang w:val="x-none" w:eastAsia="sk-SK"/>
    </w:rPr>
  </w:style>
  <w:style w:type="paragraph" w:styleId="BodyTextIndent3">
    <w:name w:val="Body Text Indent 3"/>
    <w:basedOn w:val="Normal"/>
    <w:link w:val="Zarkazkladnhotextu3Char"/>
    <w:rsid w:val="007B7DB5"/>
    <w:pPr>
      <w:ind w:left="128" w:hanging="180"/>
      <w:jc w:val="both"/>
    </w:pPr>
    <w:rPr>
      <w:rFonts w:ascii="Times New Roman" w:eastAsia="Times New Roman" w:hAnsi="Times New Roman"/>
      <w:bCs/>
      <w:iCs/>
      <w:color w:val="000000"/>
      <w:szCs w:val="19"/>
      <w:lang w:eastAsia="sk-SK"/>
    </w:rPr>
  </w:style>
  <w:style w:type="character" w:customStyle="1" w:styleId="Zarkazkladnhotextu3Char">
    <w:name w:val="Zarážka základného textu 3 Char"/>
    <w:link w:val="BodyTextIndent3"/>
    <w:locked/>
    <w:rsid w:val="007B7DB5"/>
    <w:rPr>
      <w:rFonts w:ascii="Times New Roman" w:hAnsi="Times New Roman" w:cs="Times New Roman"/>
      <w:color w:val="000000"/>
      <w:sz w:val="19"/>
      <w:lang w:val="x-none" w:eastAsia="sk-SK"/>
    </w:rPr>
  </w:style>
  <w:style w:type="paragraph" w:customStyle="1" w:styleId="Odsekzoznamu1">
    <w:name w:val="Odsek zoznamu1"/>
    <w:basedOn w:val="Normal"/>
    <w:rsid w:val="007B7DB5"/>
    <w:pPr>
      <w:ind w:left="720"/>
      <w:jc w:val="left"/>
    </w:pPr>
    <w:rPr>
      <w:rFonts w:eastAsia="Arial"/>
      <w:szCs w:val="24"/>
      <w:lang w:eastAsia="sk-SK"/>
    </w:rPr>
  </w:style>
  <w:style w:type="paragraph" w:styleId="NormalWeb">
    <w:name w:val="Normal (Web)"/>
    <w:basedOn w:val="Normal"/>
    <w:uiPriority w:val="99"/>
    <w:unhideWhenUsed/>
    <w:rsid w:val="007B7DB5"/>
    <w:pPr>
      <w:spacing w:before="100" w:beforeAutospacing="1" w:after="100" w:afterAutospacing="1"/>
      <w:jc w:val="left"/>
    </w:pPr>
    <w:rPr>
      <w:rFonts w:ascii="Times New Roman" w:eastAsia="Times New Roman" w:hAnsi="Times New Roman"/>
      <w:szCs w:val="24"/>
      <w:lang w:eastAsia="sk-SK"/>
    </w:rPr>
  </w:style>
  <w:style w:type="character" w:styleId="CommentReference">
    <w:name w:val="annotation reference"/>
    <w:rsid w:val="007B7DB5"/>
    <w:rPr>
      <w:sz w:val="16"/>
    </w:rPr>
  </w:style>
  <w:style w:type="paragraph" w:styleId="CommentText">
    <w:name w:val="annotation text"/>
    <w:basedOn w:val="Normal"/>
    <w:link w:val="TextkomentraChar"/>
    <w:rsid w:val="007B7DB5"/>
    <w:pPr>
      <w:jc w:val="left"/>
    </w:pPr>
    <w:rPr>
      <w:rFonts w:ascii="Times New Roman" w:eastAsia="Times New Roman" w:hAnsi="Times New Roman"/>
      <w:sz w:val="20"/>
      <w:szCs w:val="20"/>
      <w:lang w:eastAsia="sk-SK"/>
    </w:rPr>
  </w:style>
  <w:style w:type="character" w:customStyle="1" w:styleId="TextkomentraChar">
    <w:name w:val="Text komentára Char"/>
    <w:link w:val="CommentText"/>
    <w:locked/>
    <w:rsid w:val="007B7DB5"/>
    <w:rPr>
      <w:rFonts w:ascii="Times New Roman" w:hAnsi="Times New Roman" w:cs="Times New Roman"/>
      <w:sz w:val="20"/>
      <w:lang w:val="x-none" w:eastAsia="sk-SK"/>
    </w:rPr>
  </w:style>
  <w:style w:type="paragraph" w:styleId="CommentSubject">
    <w:name w:val="annotation subject"/>
    <w:basedOn w:val="CommentText"/>
    <w:next w:val="CommentText"/>
    <w:link w:val="PredmetkomentraChar"/>
    <w:rsid w:val="007B7DB5"/>
    <w:pPr>
      <w:jc w:val="left"/>
    </w:pPr>
    <w:rPr>
      <w:rFonts w:ascii="Times New Roman" w:eastAsia="Times New Roman" w:hAnsi="Times New Roman"/>
      <w:b/>
      <w:bCs/>
    </w:rPr>
  </w:style>
  <w:style w:type="character" w:customStyle="1" w:styleId="PredmetkomentraChar">
    <w:name w:val="Predmet komentára Char"/>
    <w:link w:val="CommentSubject"/>
    <w:locked/>
    <w:rsid w:val="007B7DB5"/>
    <w:rPr>
      <w:rFonts w:ascii="Times New Roman" w:hAnsi="Times New Roman" w:cs="Times New Roman"/>
      <w:b/>
      <w:sz w:val="20"/>
      <w:lang w:val="x-none" w:eastAsia="sk-SK"/>
    </w:rPr>
  </w:style>
  <w:style w:type="paragraph" w:customStyle="1" w:styleId="CharCharCharCharCharChar">
    <w:name w:val="Char Char Char Char Char Char"/>
    <w:basedOn w:val="Normal"/>
    <w:rsid w:val="003474EC"/>
    <w:pPr>
      <w:spacing w:after="160" w:line="240" w:lineRule="exact"/>
      <w:jc w:val="left"/>
    </w:pPr>
    <w:rPr>
      <w:rFonts w:ascii="Arial Narrow" w:eastAsia="Times New Roman" w:hAnsi="Arial Narrow" w:cs="Arial Narrow"/>
      <w:lang w:val="en-US"/>
    </w:rPr>
  </w:style>
  <w:style w:type="paragraph" w:customStyle="1" w:styleId="CharCharCharCharCharChar0">
    <w:name w:val="Char Char Char Char Char Char_0"/>
    <w:basedOn w:val="Normal"/>
    <w:rsid w:val="00DB6AD1"/>
    <w:pPr>
      <w:spacing w:after="160" w:line="240" w:lineRule="exact"/>
      <w:jc w:val="left"/>
    </w:pPr>
    <w:rPr>
      <w:rFonts w:ascii="Arial Narrow" w:eastAsia="Times New Roman" w:hAnsi="Arial Narrow" w:cs="Arial Narrow"/>
      <w:lang w:val="en-US"/>
    </w:rPr>
  </w:style>
  <w:style w:type="paragraph" w:customStyle="1" w:styleId="CharChar1">
    <w:name w:val="Char Char1"/>
    <w:basedOn w:val="Normal"/>
    <w:rsid w:val="00942D30"/>
    <w:pPr>
      <w:spacing w:after="160" w:line="240" w:lineRule="exact"/>
      <w:jc w:val="left"/>
    </w:pPr>
    <w:rPr>
      <w:rFonts w:ascii="Arial Narrow" w:eastAsia="Times New Roman" w:hAnsi="Arial Narrow" w:cs="Arial Narrow"/>
      <w:lang w:val="en-US"/>
    </w:rPr>
  </w:style>
  <w:style w:type="paragraph" w:customStyle="1" w:styleId="CharCharCharCharCharCharCharChar">
    <w:name w:val="Char Char Char Char Char Char Char Char"/>
    <w:basedOn w:val="Normal"/>
    <w:next w:val="Normal"/>
    <w:rsid w:val="00B637D2"/>
    <w:pPr>
      <w:spacing w:after="160" w:line="240" w:lineRule="exact"/>
      <w:jc w:val="left"/>
    </w:pPr>
    <w:rPr>
      <w:rFonts w:ascii="Tahoma" w:eastAsia="Times New Roman" w:hAnsi="Tahoma"/>
      <w:szCs w:val="20"/>
      <w:lang w:val="en-US"/>
    </w:rPr>
  </w:style>
  <w:style w:type="character" w:styleId="Emphasis">
    <w:name w:val="Emphasis"/>
    <w:qFormat/>
    <w:rsid w:val="00912806"/>
    <w:rPr>
      <w:i/>
    </w:rPr>
  </w:style>
  <w:style w:type="paragraph" w:styleId="PlainText">
    <w:name w:val="Plain Text"/>
    <w:basedOn w:val="Normal"/>
    <w:link w:val="ObyajntextChar"/>
    <w:uiPriority w:val="99"/>
    <w:unhideWhenUsed/>
    <w:rsid w:val="00912806"/>
    <w:pPr>
      <w:jc w:val="left"/>
    </w:pPr>
    <w:rPr>
      <w:rFonts w:ascii="Calibri" w:hAnsi="Calibri"/>
      <w:szCs w:val="21"/>
    </w:rPr>
  </w:style>
  <w:style w:type="character" w:customStyle="1" w:styleId="ObyajntextChar">
    <w:name w:val="Obyčajný text Char"/>
    <w:link w:val="PlainText"/>
    <w:uiPriority w:val="99"/>
    <w:locked/>
    <w:rsid w:val="00912806"/>
    <w:rPr>
      <w:rFonts w:ascii="Calibri" w:eastAsia="Calibri" w:hAnsi="Calibri"/>
      <w:sz w:val="21"/>
    </w:rPr>
  </w:style>
  <w:style w:type="character" w:customStyle="1" w:styleId="5NormalChar">
    <w:name w:val="5 Normal Char"/>
    <w:link w:val="5Normal"/>
    <w:locked/>
    <w:rsid w:val="005435A1"/>
    <w:rPr>
      <w:rFonts w:ascii="Verdana" w:hAnsi="Verdana" w:cs="Verdana"/>
      <w:spacing w:val="-2"/>
      <w:sz w:val="24"/>
      <w:lang w:val="en-GB" w:eastAsia="en-GB"/>
    </w:rPr>
  </w:style>
  <w:style w:type="paragraph" w:customStyle="1" w:styleId="5Normal">
    <w:name w:val="5 Normal"/>
    <w:basedOn w:val="Normal"/>
    <w:link w:val="5NormalChar"/>
    <w:rsid w:val="005435A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Cs w:val="24"/>
      <w:lang w:val="en-GB" w:eastAsia="en-GB"/>
    </w:rPr>
  </w:style>
  <w:style w:type="paragraph" w:styleId="BodyText2">
    <w:name w:val="Body Text 2"/>
    <w:basedOn w:val="Normal"/>
    <w:link w:val="Zkladntext2Char"/>
    <w:uiPriority w:val="99"/>
    <w:semiHidden/>
    <w:unhideWhenUsed/>
    <w:rsid w:val="007220A0"/>
    <w:pPr>
      <w:spacing w:after="120" w:line="480" w:lineRule="auto"/>
      <w:jc w:val="left"/>
    </w:pPr>
  </w:style>
  <w:style w:type="character" w:customStyle="1" w:styleId="Zkladntext2Char">
    <w:name w:val="Základný text 2 Char"/>
    <w:basedOn w:val="DefaultParagraphFont"/>
    <w:link w:val="BodyText2"/>
    <w:uiPriority w:val="99"/>
    <w:semiHidden/>
    <w:locked/>
    <w:rsid w:val="007220A0"/>
    <w:rPr>
      <w:rFonts w:cs="Times New Roman"/>
      <w:rtl w:val="0"/>
      <w:cs w:val="0"/>
    </w:rPr>
  </w:style>
  <w:style w:type="paragraph" w:customStyle="1" w:styleId="Char">
    <w:name w:val="Char"/>
    <w:basedOn w:val="Normal"/>
    <w:rsid w:val="007220A0"/>
    <w:pPr>
      <w:spacing w:after="160" w:line="240" w:lineRule="exact"/>
      <w:jc w:val="left"/>
    </w:pPr>
    <w:rPr>
      <w:rFonts w:ascii="Arial Narrow" w:eastAsia="Times New Roman" w:hAnsi="Arial Narrow" w:cs="Arial Narrow"/>
      <w:lang w:val="en-US"/>
    </w:rPr>
  </w:style>
  <w:style w:type="paragraph" w:styleId="NoSpacing">
    <w:name w:val="No Spacing"/>
    <w:uiPriority w:val="1"/>
    <w:qFormat/>
    <w:rsid w:val="0052094A"/>
    <w:pPr>
      <w:framePr w:wrap="auto"/>
      <w:widowControl/>
      <w:autoSpaceDE/>
      <w:autoSpaceDN/>
      <w:adjustRightInd/>
      <w:ind w:left="0" w:right="0"/>
      <w:jc w:val="left"/>
      <w:textAlignment w:val="auto"/>
    </w:pPr>
    <w:rPr>
      <w:rFonts w:ascii="Calibri" w:eastAsia="Calibri" w:hAnsi="Calibri" w:cs="Times New Roman"/>
      <w:sz w:val="22"/>
      <w:szCs w:val="22"/>
      <w:rtl w:val="0"/>
      <w:cs w:val="0"/>
      <w:lang w:val="sk-SK" w:eastAsia="en-US" w:bidi="ar-SA"/>
    </w:rPr>
  </w:style>
  <w:style w:type="paragraph" w:customStyle="1" w:styleId="CharChar1Char">
    <w:name w:val="Char Char1 Char"/>
    <w:basedOn w:val="Normal"/>
    <w:rsid w:val="0052094A"/>
    <w:pPr>
      <w:tabs>
        <w:tab w:val="num" w:pos="567"/>
      </w:tabs>
      <w:spacing w:line="240" w:lineRule="exact"/>
      <w:ind w:left="567" w:hanging="567"/>
      <w:jc w:val="left"/>
    </w:pPr>
    <w:rPr>
      <w:rFonts w:ascii="Verdana" w:eastAsia="Times New Roman" w:hAnsi="Verdana"/>
      <w:sz w:val="20"/>
      <w:szCs w:val="24"/>
      <w:lang w:eastAsia="cs-CZ"/>
    </w:rPr>
  </w:style>
  <w:style w:type="paragraph" w:customStyle="1" w:styleId="CharCharCharCharCharCharCharChar0">
    <w:name w:val="Char Char Char Char Char Char Char Char_0"/>
    <w:basedOn w:val="Normal"/>
    <w:next w:val="Normal"/>
    <w:rsid w:val="00F772E3"/>
    <w:pPr>
      <w:spacing w:after="160" w:line="240" w:lineRule="exact"/>
      <w:jc w:val="left"/>
    </w:pPr>
    <w:rPr>
      <w:rFonts w:ascii="Tahoma" w:eastAsia="Times New Roman" w:hAnsi="Tahoma"/>
      <w:szCs w:val="20"/>
      <w:lang w:val="en-US"/>
    </w:rPr>
  </w:style>
  <w:style w:type="character" w:styleId="FollowedHyperlink">
    <w:name w:val="FollowedHyperlink"/>
    <w:uiPriority w:val="99"/>
    <w:semiHidden/>
    <w:unhideWhenUsed/>
    <w:rsid w:val="00A512C4"/>
    <w:rPr>
      <w:color w:val="800080"/>
      <w:u w:val="single"/>
    </w:rPr>
  </w:style>
  <w:style w:type="character" w:styleId="Strong">
    <w:name w:val="Strong"/>
    <w:uiPriority w:val="22"/>
    <w:qFormat/>
    <w:rsid w:val="00E45DBA"/>
    <w:rPr>
      <w:b/>
    </w:rPr>
  </w:style>
  <w:style w:type="paragraph" w:customStyle="1" w:styleId="Bezriadkovania1">
    <w:name w:val="Bez riadkovania1"/>
    <w:uiPriority w:val="99"/>
    <w:rsid w:val="00DF62C2"/>
    <w:pPr>
      <w:framePr w:wrap="auto"/>
      <w:widowControl w:val="0"/>
      <w:suppressAutoHyphens/>
      <w:autoSpaceDE/>
      <w:autoSpaceDN/>
      <w:adjustRightInd/>
      <w:ind w:left="0" w:right="0"/>
      <w:jc w:val="left"/>
      <w:textAlignment w:val="auto"/>
    </w:pPr>
    <w:rPr>
      <w:rFonts w:ascii="Times New Roman" w:eastAsia="Lucida Sans Unicode" w:hAnsi="Times New Roman" w:cs="Mangal"/>
      <w:kern w:val="1"/>
      <w:sz w:val="24"/>
      <w:szCs w:val="24"/>
      <w:rtl w:val="0"/>
      <w:cs w:val="0"/>
      <w:lang w:val="sk-SK" w:eastAsia="hi-IN" w:bidi="hi-IN"/>
    </w:rPr>
  </w:style>
  <w:style w:type="character" w:customStyle="1" w:styleId="hps">
    <w:name w:val="hps"/>
    <w:rsid w:val="00BF6800"/>
  </w:style>
  <w:style w:type="character" w:customStyle="1" w:styleId="atn">
    <w:name w:val="atn"/>
    <w:rsid w:val="00BF6800"/>
  </w:style>
  <w:style w:type="paragraph" w:customStyle="1" w:styleId="CharCharCharCharCharCharCharChar1">
    <w:name w:val="Char Char Char Char Char Char Char Char_1"/>
    <w:basedOn w:val="Normal"/>
    <w:next w:val="Normal"/>
    <w:rsid w:val="00EA2EAB"/>
    <w:pPr>
      <w:spacing w:after="160" w:line="240" w:lineRule="exact"/>
      <w:jc w:val="left"/>
    </w:pPr>
    <w:rPr>
      <w:rFonts w:ascii="Tahoma" w:eastAsia="Times New Roman" w:hAnsi="Tahoma"/>
      <w:szCs w:val="20"/>
      <w:lang w:val="en-US"/>
    </w:rPr>
  </w:style>
  <w:style w:type="character" w:customStyle="1" w:styleId="OdsekzoznamuChar">
    <w:name w:val="Odsek zoznamu Char"/>
    <w:aliases w:val="Bullet 1 Char,Dot pt Char,Indicator Text Char,LISTA Char,List Paragraph Char Char Char Char,List Paragraph à moi Char,List Paragraph1 Char,Listaszerű bekezdés2 Char,No Spacing1 Char,Numbered Para 1 Char,Odsek zoznamu4 Char,body Char"/>
    <w:link w:val="ListParagraph"/>
    <w:uiPriority w:val="34"/>
    <w:qFormat/>
    <w:locked/>
    <w:rsid w:val="005C39D0"/>
    <w:rPr>
      <w:rFonts w:ascii="Times New Roman" w:hAnsi="Times New Roman" w:cs="Times New Roman"/>
      <w:sz w:val="24"/>
      <w:lang w:val="x-none" w:eastAsia="sk-SK"/>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502E43"/>
    <w:pPr>
      <w:spacing w:after="160" w:line="240" w:lineRule="exact"/>
      <w:jc w:val="both"/>
    </w:pPr>
    <w:rPr>
      <w:vertAlign w:val="superscript"/>
    </w:rPr>
  </w:style>
  <w:style w:type="paragraph" w:customStyle="1" w:styleId="ColorfulList-Accent11">
    <w:name w:val="Colorful List - Accent 11"/>
    <w:basedOn w:val="Normal"/>
    <w:uiPriority w:val="34"/>
    <w:qFormat/>
    <w:rsid w:val="00502E43"/>
    <w:pPr>
      <w:ind w:left="720"/>
      <w:contextualSpacing/>
      <w:jc w:val="left"/>
    </w:pPr>
    <w:rPr>
      <w:rFonts w:ascii="Calibri" w:eastAsia="Times New Roman" w:hAnsi="Calibri"/>
      <w:lang w:val="en-GB"/>
    </w:rPr>
  </w:style>
  <w:style w:type="paragraph" w:customStyle="1" w:styleId="ManualNumPar1">
    <w:name w:val="Manual NumPar 1"/>
    <w:basedOn w:val="Normal"/>
    <w:next w:val="Normal"/>
    <w:rsid w:val="00E30958"/>
    <w:pPr>
      <w:spacing w:before="120" w:after="120"/>
      <w:ind w:left="850" w:hanging="850"/>
      <w:jc w:val="both"/>
    </w:pPr>
    <w:rPr>
      <w:rFonts w:ascii="Times New Roman" w:eastAsia="Times New Roman" w:hAnsi="Times New Roman"/>
      <w:szCs w:val="24"/>
      <w:lang w:val="en-GB" w:eastAsia="en-GB"/>
    </w:rPr>
  </w:style>
  <w:style w:type="character" w:customStyle="1" w:styleId="ra">
    <w:name w:val="ra"/>
    <w:basedOn w:val="DefaultParagraphFont"/>
    <w:rsid w:val="003401A9"/>
    <w:rPr>
      <w:rFonts w:cs="Times New Roman"/>
      <w:rtl w:val="0"/>
      <w:cs w:val="0"/>
    </w:rPr>
  </w:style>
  <w:style w:type="table" w:customStyle="1" w:styleId="Mriekatabuky1">
    <w:name w:val="Mriežka tabuľky1"/>
    <w:basedOn w:val="TableNormal"/>
    <w:next w:val="TableGrid"/>
    <w:uiPriority w:val="99"/>
    <w:unhideWhenUsed/>
    <w:rsid w:val="00902105"/>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8Char">
    <w:name w:val="Nadpis 8 Char"/>
    <w:link w:val="Heading8"/>
    <w:uiPriority w:val="9"/>
    <w:semiHidden/>
    <w:locked/>
    <w:rsid w:val="00D4399C"/>
    <w:rPr>
      <w:rFonts w:ascii="Cambria" w:hAnsi="Cambria" w:cs="Cambria"/>
      <w:color w:val="404040"/>
      <w:sz w:val="20"/>
    </w:rPr>
  </w:style>
  <w:style w:type="table" w:customStyle="1" w:styleId="Mriekatabuky2">
    <w:name w:val="Mriežka tabuľky2"/>
    <w:basedOn w:val="TableNormal"/>
    <w:next w:val="TableGrid"/>
    <w:uiPriority w:val="59"/>
    <w:rsid w:val="007B6D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mhsr.sk/obchod/obchodne-vztahy-s-tretimi-krajinami/dohody-eu-s-tretimi-krajinami/komplexna-hospodarska-a-obchodna-dohoda-medzi-eu-a-kanadou-ceta/sektorova-analyza-dopadov-ceta-na-sr"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B622D-25F1-4336-A66C-63105E5E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8</Pages>
  <Words>3258</Words>
  <Characters>18576</Characters>
  <Application>Microsoft Office Word</Application>
  <DocSecurity>0</DocSecurity>
  <Lines>0</Lines>
  <Paragraphs>0</Paragraphs>
  <ScaleCrop>false</ScaleCrop>
  <Company>MZV SR</Company>
  <LinksUpToDate>false</LinksUpToDate>
  <CharactersWithSpaces>21791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Struharova Petronela</dc:creator>
  <cp:lastModifiedBy>Struharova Petronela</cp:lastModifiedBy>
  <cp:revision>2</cp:revision>
  <cp:lastPrinted>2016-09-26T10:06:00Z</cp:lastPrinted>
  <dcterms:created xsi:type="dcterms:W3CDTF">2018-03-01T09:50:00Z</dcterms:created>
  <dcterms:modified xsi:type="dcterms:W3CDTF">2018-03-01T09:50:00Z</dcterms:modified>
</cp:coreProperties>
</file>