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128E3" w:rsidRPr="007D0FC3" w:rsidP="0074499A">
      <w:pPr>
        <w:pStyle w:val="NormalWeb"/>
        <w:bidi w:val="0"/>
        <w:spacing w:before="120" w:beforeAutospacing="0" w:after="0" w:afterAutospacing="0" w:line="276" w:lineRule="auto"/>
        <w:jc w:val="center"/>
        <w:rPr>
          <w:rFonts w:ascii="Book Antiqua" w:hAnsi="Book Antiqua"/>
          <w:sz w:val="22"/>
          <w:szCs w:val="22"/>
        </w:rPr>
      </w:pPr>
      <w:r w:rsidRPr="007D0FC3">
        <w:rPr>
          <w:rFonts w:ascii="Book Antiqua" w:hAnsi="Book Antiqua"/>
          <w:b/>
          <w:bCs/>
          <w:caps/>
          <w:spacing w:val="30"/>
          <w:sz w:val="22"/>
          <w:szCs w:val="22"/>
        </w:rPr>
        <w:t>Dôvodová správa</w:t>
      </w:r>
    </w:p>
    <w:p w:rsidR="00D128E3" w:rsidRPr="007D0FC3" w:rsidP="0074499A">
      <w:pPr>
        <w:pStyle w:val="Heading1"/>
        <w:bidi w:val="0"/>
        <w:spacing w:before="120" w:line="276" w:lineRule="auto"/>
        <w:jc w:val="both"/>
        <w:rPr>
          <w:rFonts w:ascii="Book Antiqua" w:hAnsi="Book Antiqua"/>
          <w:sz w:val="22"/>
          <w:szCs w:val="22"/>
        </w:rPr>
      </w:pPr>
    </w:p>
    <w:p w:rsidR="00D128E3" w:rsidRPr="007D0FC3" w:rsidP="0074499A">
      <w:pPr>
        <w:pStyle w:val="Heading1"/>
        <w:bidi w:val="0"/>
        <w:spacing w:before="120" w:line="276" w:lineRule="auto"/>
        <w:jc w:val="both"/>
        <w:rPr>
          <w:rFonts w:ascii="Book Antiqua" w:hAnsi="Book Antiqua"/>
          <w:sz w:val="22"/>
          <w:szCs w:val="22"/>
        </w:rPr>
      </w:pPr>
      <w:r w:rsidRPr="007D0FC3">
        <w:rPr>
          <w:rFonts w:ascii="Book Antiqua" w:hAnsi="Book Antiqua"/>
          <w:sz w:val="22"/>
          <w:szCs w:val="22"/>
        </w:rPr>
        <w:t xml:space="preserve">A. Všeobecná </w:t>
      </w:r>
      <w:r w:rsidRPr="007D0FC3">
        <w:rPr>
          <w:rFonts w:ascii="Book Antiqua" w:hAnsi="Book Antiqua"/>
          <w:sz w:val="22"/>
          <w:szCs w:val="22"/>
          <w:lang w:val="x-none" w:eastAsia="x-none"/>
        </w:rPr>
        <w:t>časť</w:t>
      </w:r>
    </w:p>
    <w:p w:rsidR="00D128E3" w:rsidRPr="007D0FC3" w:rsidP="0074499A">
      <w:pPr>
        <w:bidi w:val="0"/>
        <w:spacing w:before="120" w:line="276" w:lineRule="auto"/>
        <w:ind w:firstLine="708"/>
        <w:jc w:val="both"/>
        <w:rPr>
          <w:rFonts w:ascii="Book Antiqua" w:hAnsi="Book Antiqua"/>
          <w:sz w:val="22"/>
          <w:szCs w:val="22"/>
        </w:rPr>
      </w:pPr>
      <w:r w:rsidRPr="007D0FC3" w:rsidR="00536711">
        <w:rPr>
          <w:rFonts w:ascii="Book Antiqua" w:hAnsi="Book Antiqua"/>
          <w:sz w:val="22"/>
          <w:szCs w:val="22"/>
        </w:rPr>
        <w:t xml:space="preserve">Návrh zákona, ktorým sa </w:t>
      </w:r>
      <w:r w:rsidRPr="007D0FC3" w:rsidR="00D929B8">
        <w:rPr>
          <w:rFonts w:ascii="Book Antiqua" w:hAnsi="Book Antiqua"/>
          <w:sz w:val="22"/>
          <w:szCs w:val="22"/>
        </w:rPr>
        <w:t xml:space="preserve">mení a </w:t>
      </w:r>
      <w:r w:rsidRPr="007D0FC3" w:rsidR="00536711">
        <w:rPr>
          <w:rFonts w:ascii="Book Antiqua" w:hAnsi="Book Antiqua"/>
          <w:sz w:val="22"/>
          <w:szCs w:val="22"/>
        </w:rPr>
        <w:t xml:space="preserve">dopĺňa </w:t>
      </w:r>
      <w:r w:rsidRPr="007D0FC3" w:rsidR="00536711">
        <w:rPr>
          <w:rFonts w:ascii="Book Antiqua" w:hAnsi="Book Antiqua"/>
          <w:bCs/>
          <w:iCs/>
          <w:sz w:val="22"/>
          <w:szCs w:val="22"/>
          <w:lang w:eastAsia="cs-CZ"/>
        </w:rPr>
        <w:t xml:space="preserve">zákon č. </w:t>
      </w:r>
      <w:r w:rsidRPr="007D0FC3" w:rsidR="002474E1">
        <w:rPr>
          <w:rFonts w:ascii="Book Antiqua" w:hAnsi="Book Antiqua"/>
          <w:bCs/>
          <w:sz w:val="22"/>
          <w:szCs w:val="22"/>
        </w:rPr>
        <w:t>448/2008</w:t>
      </w:r>
      <w:r w:rsidRPr="007D0FC3" w:rsidR="00536711">
        <w:rPr>
          <w:rFonts w:ascii="Book Antiqua" w:hAnsi="Book Antiqua"/>
          <w:bCs/>
          <w:sz w:val="22"/>
          <w:szCs w:val="22"/>
        </w:rPr>
        <w:t xml:space="preserve"> Z. z. o</w:t>
      </w:r>
      <w:r w:rsidRPr="007D0FC3" w:rsidR="002474E1">
        <w:rPr>
          <w:rFonts w:ascii="Book Antiqua" w:hAnsi="Book Antiqua"/>
          <w:bCs/>
          <w:sz w:val="22"/>
          <w:szCs w:val="22"/>
        </w:rPr>
        <w:t> sociálnych službách a o zmene a doplnení zákona č. 455/1991 Zb. o živnostenskom podnikaní (živnostenský zákon) v znení neskorších predpisov</w:t>
      </w:r>
      <w:r w:rsidRPr="007D0FC3" w:rsidR="00536711">
        <w:rPr>
          <w:rFonts w:ascii="Book Antiqua" w:hAnsi="Book Antiqua"/>
          <w:sz w:val="22"/>
          <w:szCs w:val="22"/>
        </w:rPr>
        <w:t xml:space="preserve"> </w:t>
      </w:r>
      <w:r w:rsidRPr="007D0FC3">
        <w:rPr>
          <w:rFonts w:ascii="Book Antiqua" w:hAnsi="Book Antiqua"/>
          <w:sz w:val="22"/>
          <w:szCs w:val="22"/>
        </w:rPr>
        <w:t>(ďalej</w:t>
      </w:r>
      <w:r w:rsidRPr="007D0FC3" w:rsidR="00972788">
        <w:rPr>
          <w:rFonts w:ascii="Book Antiqua" w:hAnsi="Book Antiqua"/>
          <w:sz w:val="22"/>
          <w:szCs w:val="22"/>
        </w:rPr>
        <w:t xml:space="preserve"> len „návrh zákona“) predkladá</w:t>
      </w:r>
      <w:r w:rsidRPr="007D0FC3">
        <w:rPr>
          <w:rFonts w:ascii="Book Antiqua" w:hAnsi="Book Antiqua"/>
          <w:sz w:val="22"/>
          <w:szCs w:val="22"/>
        </w:rPr>
        <w:t xml:space="preserve"> do legislatívneho procesu </w:t>
      </w:r>
      <w:r w:rsidRPr="007D0FC3" w:rsidR="00972788">
        <w:rPr>
          <w:rFonts w:ascii="Book Antiqua" w:hAnsi="Book Antiqua"/>
          <w:sz w:val="22"/>
          <w:szCs w:val="22"/>
        </w:rPr>
        <w:t>skupina poslancov Národnej rady Slovenskej republiky</w:t>
      </w:r>
      <w:r w:rsidRPr="007D0FC3" w:rsidR="0074499A">
        <w:rPr>
          <w:rFonts w:ascii="Book Antiqua" w:hAnsi="Book Antiqua"/>
          <w:sz w:val="22"/>
          <w:szCs w:val="22"/>
        </w:rPr>
        <w:t xml:space="preserve"> za hnutie OBYČAJNÍ ĽUDIA a nezávislé osobnosti (OĽ</w:t>
      </w:r>
      <w:r w:rsidRPr="007D0FC3" w:rsidR="002474E1">
        <w:rPr>
          <w:rFonts w:ascii="Book Antiqua" w:hAnsi="Book Antiqua"/>
          <w:sz w:val="22"/>
          <w:szCs w:val="22"/>
        </w:rPr>
        <w:t>A</w:t>
      </w:r>
      <w:r w:rsidRPr="007D0FC3" w:rsidR="0074499A">
        <w:rPr>
          <w:rFonts w:ascii="Book Antiqua" w:hAnsi="Book Antiqua"/>
          <w:sz w:val="22"/>
          <w:szCs w:val="22"/>
        </w:rPr>
        <w:t>NO)</w:t>
      </w:r>
      <w:r w:rsidRPr="007D0FC3" w:rsidR="00972788">
        <w:rPr>
          <w:rFonts w:ascii="Book Antiqua" w:hAnsi="Book Antiqua"/>
          <w:sz w:val="22"/>
          <w:szCs w:val="22"/>
        </w:rPr>
        <w:t>.</w:t>
      </w:r>
    </w:p>
    <w:p w:rsidR="00AE60CC" w:rsidRPr="007D0FC3" w:rsidP="00AE60CC">
      <w:pPr>
        <w:bidi w:val="0"/>
        <w:spacing w:before="120" w:line="276" w:lineRule="auto"/>
        <w:ind w:firstLine="708"/>
        <w:jc w:val="both"/>
        <w:rPr>
          <w:rFonts w:ascii="Book Antiqua" w:hAnsi="Book Antiqua"/>
          <w:bCs/>
          <w:sz w:val="22"/>
          <w:szCs w:val="22"/>
        </w:rPr>
      </w:pPr>
      <w:r w:rsidRPr="007D0FC3" w:rsidR="00A2737D">
        <w:rPr>
          <w:rFonts w:ascii="Book Antiqua" w:hAnsi="Book Antiqua"/>
          <w:sz w:val="22"/>
          <w:szCs w:val="22"/>
        </w:rPr>
        <w:t xml:space="preserve">Od 1. januára 2018 je v účinnosti </w:t>
      </w:r>
      <w:r w:rsidRPr="007D0FC3">
        <w:rPr>
          <w:rFonts w:ascii="Book Antiqua" w:hAnsi="Book Antiqua"/>
          <w:sz w:val="22"/>
          <w:szCs w:val="22"/>
        </w:rPr>
        <w:t xml:space="preserve">zákon č. 331/2017 Z. z., ktorý zásadným spôsobom novelizoval zákon č. 448/2008 Z. z. o sociálnych službách </w:t>
      </w:r>
      <w:r w:rsidRPr="007D0FC3">
        <w:rPr>
          <w:rFonts w:ascii="Book Antiqua" w:hAnsi="Book Antiqua"/>
          <w:bCs/>
          <w:sz w:val="22"/>
          <w:szCs w:val="22"/>
        </w:rPr>
        <w:t xml:space="preserve">a o zmene a doplnení zákona </w:t>
      </w:r>
      <w:r w:rsidR="00395851">
        <w:rPr>
          <w:rFonts w:ascii="Book Antiqua" w:hAnsi="Book Antiqua"/>
          <w:bCs/>
          <w:sz w:val="22"/>
          <w:szCs w:val="22"/>
        </w:rPr>
        <w:t xml:space="preserve">         </w:t>
      </w:r>
      <w:r w:rsidRPr="007D0FC3">
        <w:rPr>
          <w:rFonts w:ascii="Book Antiqua" w:hAnsi="Book Antiqua"/>
          <w:bCs/>
          <w:sz w:val="22"/>
          <w:szCs w:val="22"/>
        </w:rPr>
        <w:t xml:space="preserve">č. 455/1991 Zb. o živnostenskom podnikaní (živnostenský zákon) v znení neskorších predpisov </w:t>
      </w:r>
      <w:r w:rsidR="00395851">
        <w:rPr>
          <w:rFonts w:ascii="Book Antiqua" w:hAnsi="Book Antiqua"/>
          <w:bCs/>
          <w:sz w:val="22"/>
          <w:szCs w:val="22"/>
        </w:rPr>
        <w:t xml:space="preserve">v znení neskorších predpisov </w:t>
      </w:r>
      <w:r w:rsidRPr="007D0FC3">
        <w:rPr>
          <w:rFonts w:ascii="Book Antiqua" w:hAnsi="Book Antiqua"/>
          <w:bCs/>
          <w:sz w:val="22"/>
          <w:szCs w:val="22"/>
        </w:rPr>
        <w:t>(ďalej len „zákon o sociálnych službách“</w:t>
      </w:r>
      <w:r w:rsidRPr="007D0FC3" w:rsidR="00973669">
        <w:rPr>
          <w:rFonts w:ascii="Book Antiqua" w:hAnsi="Book Antiqua"/>
          <w:bCs/>
          <w:sz w:val="22"/>
          <w:szCs w:val="22"/>
        </w:rPr>
        <w:t xml:space="preserve">). </w:t>
      </w:r>
      <w:r w:rsidRPr="007D0FC3">
        <w:rPr>
          <w:rFonts w:ascii="Book Antiqua" w:hAnsi="Book Antiqua"/>
          <w:bCs/>
          <w:sz w:val="22"/>
          <w:szCs w:val="22"/>
        </w:rPr>
        <w:t>Už za dva mesiace aplikácie zákona prax ukázala viacero nedostatkov, ktoré sa predkladaným návrhom zákona</w:t>
      </w:r>
      <w:r w:rsidR="00395851">
        <w:rPr>
          <w:rFonts w:ascii="Book Antiqua" w:hAnsi="Book Antiqua"/>
          <w:bCs/>
          <w:sz w:val="22"/>
          <w:szCs w:val="22"/>
        </w:rPr>
        <w:t xml:space="preserve"> odstraňujú, a to konkrétne:</w:t>
      </w:r>
    </w:p>
    <w:p w:rsidR="00AE60CC" w:rsidRPr="007D0FC3" w:rsidP="00AE60CC">
      <w:pPr>
        <w:pStyle w:val="ListParagraph"/>
        <w:numPr>
          <w:numId w:val="4"/>
        </w:numPr>
        <w:bidi w:val="0"/>
        <w:spacing w:before="120" w:line="276" w:lineRule="auto"/>
        <w:jc w:val="both"/>
        <w:rPr>
          <w:rFonts w:ascii="Book Antiqua" w:hAnsi="Book Antiqua"/>
          <w:iCs/>
          <w:sz w:val="22"/>
          <w:lang w:eastAsia="cs-CZ"/>
        </w:rPr>
      </w:pPr>
      <w:r w:rsidR="00395851">
        <w:rPr>
          <w:rFonts w:ascii="Book Antiqua" w:hAnsi="Book Antiqua"/>
          <w:iCs/>
          <w:sz w:val="22"/>
          <w:lang w:eastAsia="cs-CZ"/>
        </w:rPr>
        <w:t>o</w:t>
      </w:r>
      <w:r w:rsidRPr="007D0FC3">
        <w:rPr>
          <w:rFonts w:ascii="Book Antiqua" w:hAnsi="Book Antiqua"/>
          <w:iCs/>
          <w:sz w:val="22"/>
          <w:lang w:eastAsia="cs-CZ"/>
        </w:rPr>
        <w:t xml:space="preserve">dmieta sa zásada </w:t>
      </w:r>
      <w:r w:rsidRPr="007D0FC3">
        <w:rPr>
          <w:rFonts w:ascii="Book Antiqua" w:hAnsi="Book Antiqua"/>
          <w:sz w:val="22"/>
        </w:rPr>
        <w:t xml:space="preserve">spolufinancovania neverejných poskytovateľov sociálnych služieb poskytovaním finančného príspevku na prevádzku odvodeného od nákladovosti prevádzkovania porovnateľného druhu, formy a kapacity v rámci svojej územnej pôsobnosti verejnými poskytovateľmi tejto sociálnej služby a navrhuje sa, </w:t>
      </w:r>
      <w:r w:rsidRPr="007D0FC3">
        <w:rPr>
          <w:rFonts w:ascii="Book Antiqua" w:hAnsi="Book Antiqua"/>
          <w:iCs/>
          <w:sz w:val="22"/>
          <w:lang w:eastAsia="cs-CZ"/>
        </w:rPr>
        <w:t>platila právna úprava pred nadobudnutím úči</w:t>
      </w:r>
      <w:r w:rsidRPr="007D0FC3" w:rsidR="00662A5A">
        <w:rPr>
          <w:rFonts w:ascii="Book Antiqua" w:hAnsi="Book Antiqua"/>
          <w:iCs/>
          <w:sz w:val="22"/>
          <w:lang w:eastAsia="cs-CZ"/>
        </w:rPr>
        <w:t>nnosti zákona č. 331/2017 Z. z.</w:t>
      </w:r>
      <w:r w:rsidR="00395851">
        <w:rPr>
          <w:rFonts w:ascii="Book Antiqua" w:hAnsi="Book Antiqua"/>
          <w:iCs/>
          <w:sz w:val="22"/>
          <w:lang w:eastAsia="cs-CZ"/>
        </w:rPr>
        <w:t>,</w:t>
      </w:r>
    </w:p>
    <w:p w:rsidR="00AE60CC" w:rsidRPr="00EB5655" w:rsidP="00AE60CC">
      <w:pPr>
        <w:pStyle w:val="ListParagraph"/>
        <w:numPr>
          <w:numId w:val="4"/>
        </w:numPr>
        <w:bidi w:val="0"/>
        <w:spacing w:before="120" w:line="276" w:lineRule="auto"/>
        <w:jc w:val="both"/>
        <w:rPr>
          <w:rFonts w:ascii="Book Antiqua" w:hAnsi="Book Antiqua"/>
          <w:iCs/>
          <w:sz w:val="22"/>
          <w:lang w:eastAsia="cs-CZ"/>
        </w:rPr>
      </w:pPr>
      <w:r w:rsidR="00395851">
        <w:rPr>
          <w:rFonts w:ascii="Book Antiqua" w:hAnsi="Book Antiqua"/>
          <w:iCs/>
          <w:sz w:val="22"/>
          <w:lang w:eastAsia="cs-CZ"/>
        </w:rPr>
        <w:t>n</w:t>
      </w:r>
      <w:r w:rsidRPr="007D0FC3" w:rsidR="00662A5A">
        <w:rPr>
          <w:rFonts w:ascii="Book Antiqua" w:hAnsi="Book Antiqua"/>
          <w:iCs/>
          <w:sz w:val="22"/>
          <w:lang w:eastAsia="cs-CZ"/>
        </w:rPr>
        <w:t xml:space="preserve">avrhuje sa, aby pri posudzovaní nároku na finančný príspevok podľa § 71 ods. 6 a 7, § 78a a 78aa (§ 78d ods. 13 zákona o sociálnych službách) sa za dôvod neprítomnosti prijímateľa sociálnej služby nepovažovala situácia, keď tento prijímateľ </w:t>
      </w:r>
      <w:r w:rsidR="00395851">
        <w:rPr>
          <w:rFonts w:ascii="Book Antiqua" w:hAnsi="Book Antiqua"/>
          <w:iCs/>
          <w:sz w:val="22"/>
          <w:lang w:eastAsia="cs-CZ"/>
        </w:rPr>
        <w:t xml:space="preserve">je dočasne </w:t>
      </w:r>
      <w:r w:rsidRPr="00EB5655" w:rsidR="00395851">
        <w:rPr>
          <w:rFonts w:ascii="Book Antiqua" w:hAnsi="Book Antiqua"/>
          <w:iCs/>
          <w:sz w:val="22"/>
          <w:lang w:eastAsia="cs-CZ"/>
        </w:rPr>
        <w:t>práceneschopný,</w:t>
      </w:r>
    </w:p>
    <w:p w:rsidR="00AE60CC" w:rsidRPr="00EB5655" w:rsidP="00AE60CC">
      <w:pPr>
        <w:pStyle w:val="ListParagraph"/>
        <w:numPr>
          <w:numId w:val="4"/>
        </w:numPr>
        <w:bidi w:val="0"/>
        <w:spacing w:before="120" w:line="276" w:lineRule="auto"/>
        <w:jc w:val="both"/>
        <w:rPr>
          <w:rFonts w:ascii="Book Antiqua" w:hAnsi="Book Antiqua"/>
          <w:bCs/>
          <w:sz w:val="22"/>
          <w:szCs w:val="22"/>
        </w:rPr>
      </w:pPr>
      <w:r w:rsidRPr="00EB5655" w:rsidR="00395851">
        <w:rPr>
          <w:rFonts w:ascii="Book Antiqua" w:hAnsi="Book Antiqua" w:cs="Book Antiqua"/>
          <w:sz w:val="22"/>
          <w:szCs w:val="22"/>
        </w:rPr>
        <w:t>m</w:t>
      </w:r>
      <w:r w:rsidRPr="00EB5655" w:rsidR="003476BA">
        <w:rPr>
          <w:rFonts w:ascii="Book Antiqua" w:hAnsi="Book Antiqua" w:cs="Book Antiqua"/>
          <w:sz w:val="22"/>
          <w:szCs w:val="22"/>
        </w:rPr>
        <w:t>ení sa počet</w:t>
      </w:r>
      <w:r w:rsidRPr="00EB5655" w:rsidR="00662A5A">
        <w:rPr>
          <w:rFonts w:ascii="Book Antiqua" w:hAnsi="Book Antiqua" w:cs="Book Antiqua"/>
          <w:sz w:val="22"/>
          <w:szCs w:val="22"/>
        </w:rPr>
        <w:t xml:space="preserve"> hodín (ne)poskytovania sociálnej služby z najmenej 80 hodín na najmenej 60 hodín, čo je jedno z kritérií posudzovania neobsadenosti miesta pri poskytovaní ambulantnej sociálnej služby v zariadení na účely zúčtovania a vrátenia finančných prí</w:t>
      </w:r>
      <w:r w:rsidRPr="00EB5655" w:rsidR="00395851">
        <w:rPr>
          <w:rFonts w:ascii="Book Antiqua" w:hAnsi="Book Antiqua" w:cs="Book Antiqua"/>
          <w:sz w:val="22"/>
          <w:szCs w:val="22"/>
        </w:rPr>
        <w:t>spevkov,</w:t>
      </w:r>
    </w:p>
    <w:p w:rsidR="003476BA" w:rsidRPr="00EB5655" w:rsidP="00AE60CC">
      <w:pPr>
        <w:pStyle w:val="ListParagraph"/>
        <w:numPr>
          <w:numId w:val="4"/>
        </w:numPr>
        <w:bidi w:val="0"/>
        <w:spacing w:before="120" w:line="276" w:lineRule="auto"/>
        <w:jc w:val="both"/>
        <w:rPr>
          <w:rFonts w:ascii="Book Antiqua" w:hAnsi="Book Antiqua"/>
          <w:bCs/>
          <w:sz w:val="22"/>
          <w:szCs w:val="22"/>
        </w:rPr>
      </w:pPr>
      <w:r w:rsidRPr="00EB5655" w:rsidR="00395851">
        <w:rPr>
          <w:rFonts w:ascii="Book Antiqua" w:hAnsi="Book Antiqua" w:cs="Book Antiqua"/>
          <w:sz w:val="22"/>
          <w:szCs w:val="22"/>
        </w:rPr>
        <w:t>u</w:t>
      </w:r>
      <w:r w:rsidRPr="00EB5655">
        <w:rPr>
          <w:rFonts w:ascii="Book Antiqua" w:hAnsi="Book Antiqua" w:cs="Book Antiqua"/>
          <w:sz w:val="22"/>
          <w:szCs w:val="22"/>
        </w:rPr>
        <w:t>stanovuje sa, aby prijímatelia sociáln</w:t>
      </w:r>
      <w:r w:rsidRPr="00EB5655" w:rsidR="00F70B03">
        <w:rPr>
          <w:rFonts w:ascii="Book Antiqua" w:hAnsi="Book Antiqua" w:cs="Book Antiqua"/>
          <w:sz w:val="22"/>
          <w:szCs w:val="22"/>
        </w:rPr>
        <w:t xml:space="preserve">ych služieb osvedčovali svojím podpisom prítomnosť v zariadení </w:t>
      </w:r>
      <w:r w:rsidRPr="00EB5655" w:rsidR="00EB5655">
        <w:rPr>
          <w:rFonts w:ascii="Book Antiqua" w:hAnsi="Book Antiqua" w:cs="Book Antiqua"/>
          <w:sz w:val="22"/>
          <w:szCs w:val="22"/>
        </w:rPr>
        <w:t xml:space="preserve"> až na výnimky </w:t>
      </w:r>
      <w:r w:rsidRPr="00EB5655" w:rsidR="00F70B03">
        <w:rPr>
          <w:rFonts w:ascii="Book Antiqua" w:hAnsi="Book Antiqua" w:cs="Book Antiqua"/>
          <w:sz w:val="22"/>
          <w:szCs w:val="22"/>
        </w:rPr>
        <w:t xml:space="preserve">len 1x </w:t>
      </w:r>
      <w:r w:rsidRPr="00EB5655" w:rsidR="002A4D1D">
        <w:rPr>
          <w:rFonts w:ascii="Book Antiqua" w:hAnsi="Book Antiqua" w:cs="Book Antiqua"/>
          <w:sz w:val="22"/>
          <w:szCs w:val="22"/>
        </w:rPr>
        <w:t>za mesiac</w:t>
      </w:r>
      <w:r w:rsidRPr="00EB5655" w:rsidR="00F70B03">
        <w:rPr>
          <w:rFonts w:ascii="Book Antiqua" w:hAnsi="Book Antiqua" w:cs="Book Antiqua"/>
          <w:sz w:val="22"/>
          <w:szCs w:val="22"/>
        </w:rPr>
        <w:t xml:space="preserve"> namiesto denného podpisovania sa</w:t>
      </w:r>
      <w:r w:rsidRPr="00EB5655" w:rsidR="002A4D1D">
        <w:rPr>
          <w:rFonts w:ascii="Book Antiqua" w:hAnsi="Book Antiqua" w:cs="Book Antiqua"/>
          <w:sz w:val="22"/>
          <w:szCs w:val="22"/>
        </w:rPr>
        <w:t xml:space="preserve"> </w:t>
      </w:r>
      <w:r w:rsidRPr="00EB5655" w:rsidR="00F70B03">
        <w:rPr>
          <w:rFonts w:ascii="Book Antiqua" w:hAnsi="Book Antiqua" w:cs="Book Antiqua"/>
          <w:sz w:val="22"/>
          <w:szCs w:val="22"/>
        </w:rPr>
        <w:t>(</w:t>
      </w:r>
      <w:r w:rsidRPr="00EB5655" w:rsidR="00F70B03">
        <w:rPr>
          <w:rFonts w:ascii="Book Antiqua" w:hAnsi="Book Antiqua"/>
          <w:sz w:val="22"/>
          <w:szCs w:val="22"/>
        </w:rPr>
        <w:t>povinnosť poskytovateľa sociálnej služby viesť dennú evidenciu však naďalej zostáva</w:t>
      </w:r>
      <w:r w:rsidRPr="00EB5655" w:rsidR="00395851">
        <w:rPr>
          <w:rFonts w:ascii="Book Antiqua" w:hAnsi="Book Antiqua"/>
          <w:sz w:val="22"/>
          <w:szCs w:val="22"/>
        </w:rPr>
        <w:t>),</w:t>
      </w:r>
    </w:p>
    <w:p w:rsidR="00F70B03" w:rsidRPr="007D0FC3" w:rsidP="00F70B03">
      <w:pPr>
        <w:pStyle w:val="ListParagraph"/>
        <w:numPr>
          <w:numId w:val="4"/>
        </w:numPr>
        <w:bidi w:val="0"/>
        <w:spacing w:before="120" w:line="276" w:lineRule="auto"/>
        <w:jc w:val="both"/>
        <w:rPr>
          <w:rFonts w:ascii="Book Antiqua" w:hAnsi="Book Antiqua"/>
          <w:bCs/>
          <w:sz w:val="22"/>
          <w:szCs w:val="22"/>
        </w:rPr>
      </w:pPr>
      <w:r w:rsidRPr="00EB5655" w:rsidR="00395851">
        <w:rPr>
          <w:rFonts w:ascii="Book Antiqua" w:hAnsi="Book Antiqua" w:cs="Book Antiqua"/>
          <w:sz w:val="22"/>
          <w:szCs w:val="22"/>
        </w:rPr>
        <w:t>u</w:t>
      </w:r>
      <w:r w:rsidRPr="00EB5655">
        <w:rPr>
          <w:rFonts w:ascii="Book Antiqua" w:hAnsi="Book Antiqua" w:cs="Book Antiqua"/>
          <w:sz w:val="22"/>
          <w:szCs w:val="22"/>
        </w:rPr>
        <w:t>pravuje sa maximálny</w:t>
      </w:r>
      <w:r w:rsidRPr="007D0FC3">
        <w:rPr>
          <w:rFonts w:ascii="Book Antiqua" w:hAnsi="Book Antiqua" w:cs="Book Antiqua"/>
          <w:sz w:val="22"/>
          <w:szCs w:val="22"/>
        </w:rPr>
        <w:t xml:space="preserve"> počet prijímateľov sociálnej služby na jedného zamestnanca v prípade denných stacionárov a špeciálne, ak ide o prijímateľov sociálnej služby so stupňom odkázanosti III a</w:t>
      </w:r>
      <w:r w:rsidR="00395851">
        <w:rPr>
          <w:rFonts w:ascii="Book Antiqua" w:hAnsi="Book Antiqua" w:cs="Book Antiqua"/>
          <w:sz w:val="22"/>
          <w:szCs w:val="22"/>
        </w:rPr>
        <w:t> </w:t>
      </w:r>
      <w:r w:rsidRPr="007D0FC3">
        <w:rPr>
          <w:rFonts w:ascii="Book Antiqua" w:hAnsi="Book Antiqua" w:cs="Book Antiqua"/>
          <w:sz w:val="22"/>
          <w:szCs w:val="22"/>
        </w:rPr>
        <w:t>IV</w:t>
      </w:r>
      <w:r w:rsidR="00395851">
        <w:rPr>
          <w:rFonts w:ascii="Book Antiqua" w:hAnsi="Book Antiqua" w:cs="Book Antiqua"/>
          <w:sz w:val="22"/>
          <w:szCs w:val="22"/>
        </w:rPr>
        <w:t>,</w:t>
      </w:r>
    </w:p>
    <w:p w:rsidR="00F70B03" w:rsidRPr="007D0FC3" w:rsidP="00F70B03">
      <w:pPr>
        <w:pStyle w:val="ListParagraph"/>
        <w:numPr>
          <w:numId w:val="4"/>
        </w:numPr>
        <w:bidi w:val="0"/>
        <w:spacing w:before="120" w:line="276" w:lineRule="auto"/>
        <w:jc w:val="both"/>
        <w:rPr>
          <w:rFonts w:ascii="Book Antiqua" w:hAnsi="Book Antiqua"/>
          <w:bCs/>
          <w:sz w:val="22"/>
          <w:szCs w:val="22"/>
        </w:rPr>
      </w:pPr>
      <w:r w:rsidR="00395851">
        <w:rPr>
          <w:rFonts w:ascii="Book Antiqua" w:hAnsi="Book Antiqua"/>
          <w:iCs/>
          <w:sz w:val="22"/>
          <w:lang w:eastAsia="cs-CZ"/>
        </w:rPr>
        <w:t>u</w:t>
      </w:r>
      <w:r w:rsidRPr="007D0FC3">
        <w:rPr>
          <w:rFonts w:ascii="Book Antiqua" w:hAnsi="Book Antiqua"/>
          <w:iCs/>
          <w:sz w:val="22"/>
          <w:lang w:eastAsia="cs-CZ"/>
        </w:rPr>
        <w:t>rčuje sa rozdielna výšku príspevku pre ambulantné sociálne služby dlhodobej starostlivosti, a to v závislosti od toho, či sa táto sociálna služba poskytuje výlučne seniorom (fyzickým osobám, ktoré dovŕšili dôchodkový vek), deťom a plnoletým fyzickým osobám do dôchodkového veku.</w:t>
      </w:r>
    </w:p>
    <w:p w:rsidR="00D128E3" w:rsidRPr="007D0FC3" w:rsidP="0074499A">
      <w:pPr>
        <w:bidi w:val="0"/>
        <w:spacing w:before="120" w:line="276" w:lineRule="auto"/>
        <w:ind w:firstLine="708"/>
        <w:jc w:val="both"/>
        <w:rPr>
          <w:rFonts w:ascii="Book Antiqua" w:hAnsi="Book Antiqua"/>
          <w:sz w:val="22"/>
          <w:szCs w:val="22"/>
        </w:rPr>
      </w:pPr>
      <w:r w:rsidRPr="007D0FC3" w:rsidR="00972788">
        <w:rPr>
          <w:rFonts w:ascii="Book Antiqua" w:hAnsi="Book Antiqua"/>
          <w:sz w:val="22"/>
          <w:szCs w:val="22"/>
        </w:rPr>
        <w:t xml:space="preserve">Návrh zákona má </w:t>
      </w:r>
      <w:r w:rsidRPr="007D0FC3" w:rsidR="00953B82">
        <w:rPr>
          <w:rFonts w:ascii="Book Antiqua" w:hAnsi="Book Antiqua"/>
          <w:sz w:val="22"/>
          <w:szCs w:val="22"/>
        </w:rPr>
        <w:t>negatívny vplyv na rozpočet verejnej správy</w:t>
      </w:r>
      <w:r w:rsidRPr="007D0FC3" w:rsidR="00736670">
        <w:rPr>
          <w:rFonts w:ascii="Book Antiqua" w:hAnsi="Book Antiqua"/>
          <w:sz w:val="22"/>
          <w:szCs w:val="22"/>
        </w:rPr>
        <w:t xml:space="preserve">, </w:t>
      </w:r>
      <w:r w:rsidRPr="007D0FC3" w:rsidR="00972788">
        <w:rPr>
          <w:rFonts w:ascii="Book Antiqua" w:hAnsi="Book Antiqua"/>
          <w:sz w:val="22"/>
          <w:szCs w:val="22"/>
        </w:rPr>
        <w:t>pozitívny vplyv na podnikateľské prostredie</w:t>
      </w:r>
      <w:r w:rsidRPr="007D0FC3" w:rsidR="00736670">
        <w:rPr>
          <w:rFonts w:ascii="Book Antiqua" w:hAnsi="Book Antiqua"/>
          <w:sz w:val="22"/>
          <w:szCs w:val="22"/>
        </w:rPr>
        <w:t xml:space="preserve"> a pozitívne sociálne vplyv. Návrh zákona nepredpokladá vp</w:t>
      </w:r>
      <w:r w:rsidRPr="007D0FC3">
        <w:rPr>
          <w:rFonts w:ascii="Book Antiqua" w:hAnsi="Book Antiqua"/>
          <w:sz w:val="22"/>
          <w:szCs w:val="22"/>
        </w:rPr>
        <w:t>lyv na životné prostredie</w:t>
      </w:r>
      <w:r w:rsidRPr="007D0FC3" w:rsidR="00736670">
        <w:rPr>
          <w:rFonts w:ascii="Book Antiqua" w:hAnsi="Book Antiqua"/>
          <w:sz w:val="22"/>
          <w:szCs w:val="22"/>
        </w:rPr>
        <w:t xml:space="preserve"> ani na </w:t>
      </w:r>
      <w:r w:rsidRPr="007D0FC3">
        <w:rPr>
          <w:rFonts w:ascii="Book Antiqua" w:hAnsi="Book Antiqua"/>
          <w:sz w:val="22"/>
          <w:szCs w:val="22"/>
        </w:rPr>
        <w:t>informatizáciu spoločnosti</w:t>
      </w:r>
      <w:r w:rsidRPr="007D0FC3" w:rsidR="00736670">
        <w:rPr>
          <w:rFonts w:ascii="Book Antiqua" w:hAnsi="Book Antiqua"/>
          <w:sz w:val="22"/>
          <w:szCs w:val="22"/>
        </w:rPr>
        <w:t>.</w:t>
      </w:r>
    </w:p>
    <w:p w:rsidR="00D128E3" w:rsidRPr="007D0FC3" w:rsidP="0074499A">
      <w:pPr>
        <w:pStyle w:val="NormalWeb"/>
        <w:bidi w:val="0"/>
        <w:spacing w:before="120" w:beforeAutospacing="0" w:after="0" w:afterAutospacing="0" w:line="276" w:lineRule="auto"/>
        <w:ind w:firstLine="708"/>
        <w:jc w:val="both"/>
        <w:rPr>
          <w:rFonts w:ascii="Book Antiqua" w:hAnsi="Book Antiqua"/>
          <w:sz w:val="22"/>
          <w:szCs w:val="22"/>
        </w:rPr>
      </w:pPr>
      <w:r w:rsidRPr="007D0FC3">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D128E3" w:rsidRPr="007D0FC3" w:rsidP="0074499A">
      <w:pPr>
        <w:bidi w:val="0"/>
        <w:spacing w:before="120" w:line="276" w:lineRule="auto"/>
        <w:jc w:val="both"/>
        <w:rPr>
          <w:rFonts w:ascii="Book Antiqua" w:hAnsi="Book Antiqua"/>
          <w:b/>
          <w:sz w:val="22"/>
          <w:szCs w:val="22"/>
        </w:rPr>
      </w:pPr>
      <w:r w:rsidRPr="007D0FC3">
        <w:rPr>
          <w:rFonts w:ascii="Book Antiqua" w:hAnsi="Book Antiqua"/>
          <w:sz w:val="22"/>
          <w:szCs w:val="22"/>
        </w:rPr>
        <w:br w:type="page"/>
      </w:r>
      <w:r w:rsidRPr="007D0FC3">
        <w:rPr>
          <w:rFonts w:ascii="Book Antiqua" w:hAnsi="Book Antiqua"/>
          <w:b/>
          <w:sz w:val="22"/>
          <w:szCs w:val="22"/>
        </w:rPr>
        <w:t>B. Osobitná časť</w:t>
      </w:r>
    </w:p>
    <w:p w:rsidR="00D128E3" w:rsidRPr="007D0FC3" w:rsidP="0074499A">
      <w:pPr>
        <w:bidi w:val="0"/>
        <w:spacing w:before="120" w:line="276" w:lineRule="auto"/>
        <w:jc w:val="both"/>
        <w:rPr>
          <w:rFonts w:ascii="Book Antiqua" w:hAnsi="Book Antiqua"/>
          <w:b/>
          <w:sz w:val="22"/>
          <w:szCs w:val="22"/>
        </w:rPr>
      </w:pPr>
    </w:p>
    <w:p w:rsidR="00D128E3" w:rsidRPr="007D0FC3" w:rsidP="0074499A">
      <w:pPr>
        <w:bidi w:val="0"/>
        <w:spacing w:before="120" w:line="276" w:lineRule="auto"/>
        <w:jc w:val="both"/>
        <w:rPr>
          <w:rFonts w:ascii="Book Antiqua" w:hAnsi="Book Antiqua"/>
          <w:b/>
          <w:sz w:val="22"/>
          <w:szCs w:val="22"/>
        </w:rPr>
      </w:pPr>
      <w:r w:rsidRPr="007D0FC3">
        <w:rPr>
          <w:rFonts w:ascii="Book Antiqua" w:hAnsi="Book Antiqua"/>
          <w:b/>
          <w:sz w:val="22"/>
          <w:szCs w:val="22"/>
        </w:rPr>
        <w:t>K Čl. I</w:t>
      </w:r>
    </w:p>
    <w:p w:rsidR="00A66B08" w:rsidRPr="007D0FC3" w:rsidP="0074499A">
      <w:pPr>
        <w:bidi w:val="0"/>
        <w:spacing w:before="120" w:line="276" w:lineRule="auto"/>
        <w:jc w:val="both"/>
        <w:rPr>
          <w:rFonts w:ascii="Book Antiqua" w:hAnsi="Book Antiqua"/>
          <w:sz w:val="22"/>
          <w:szCs w:val="22"/>
          <w:u w:val="single"/>
        </w:rPr>
      </w:pPr>
      <w:r w:rsidRPr="007D0FC3">
        <w:rPr>
          <w:rFonts w:ascii="Book Antiqua" w:hAnsi="Book Antiqua"/>
          <w:sz w:val="22"/>
          <w:szCs w:val="22"/>
          <w:u w:val="single"/>
        </w:rPr>
        <w:t>K </w:t>
      </w:r>
      <w:r w:rsidRPr="007D0FC3" w:rsidR="009015DB">
        <w:rPr>
          <w:rFonts w:ascii="Book Antiqua" w:hAnsi="Book Antiqua"/>
          <w:sz w:val="22"/>
          <w:szCs w:val="22"/>
          <w:u w:val="single"/>
        </w:rPr>
        <w:t>bodom</w:t>
      </w:r>
      <w:r w:rsidRPr="007D0FC3">
        <w:rPr>
          <w:rFonts w:ascii="Book Antiqua" w:hAnsi="Book Antiqua"/>
          <w:sz w:val="22"/>
          <w:szCs w:val="22"/>
          <w:u w:val="single"/>
        </w:rPr>
        <w:t xml:space="preserve"> 1 až 3</w:t>
      </w:r>
    </w:p>
    <w:p w:rsidR="00A66B08" w:rsidRPr="007D0FC3" w:rsidP="0074499A">
      <w:pPr>
        <w:bidi w:val="0"/>
        <w:spacing w:before="120" w:line="276" w:lineRule="auto"/>
        <w:jc w:val="both"/>
        <w:rPr>
          <w:rFonts w:ascii="Book Antiqua" w:hAnsi="Book Antiqua"/>
          <w:sz w:val="22"/>
          <w:szCs w:val="22"/>
        </w:rPr>
      </w:pPr>
      <w:r w:rsidRPr="007D0FC3">
        <w:rPr>
          <w:rFonts w:ascii="Book Antiqua" w:hAnsi="Book Antiqua"/>
          <w:sz w:val="22"/>
          <w:szCs w:val="22"/>
        </w:rPr>
        <w:t xml:space="preserve">V bode 1 a 2 predloženého návrhu zákona ide o legislatívno-technické úpravy, ktoré bezprostredne nadväzujú na bod 3 tohto návrhu zákona, čím sa fakticky zachováva právna úprava platná pred nadobudnutím účinnosti zákona č. 331/2017 Z. z., ktorým sa mení a dopĺňa </w:t>
      </w:r>
      <w:r w:rsidRPr="007D0FC3">
        <w:rPr>
          <w:rFonts w:ascii="Book Antiqua" w:hAnsi="Book Antiqua"/>
          <w:bCs/>
          <w:iCs/>
          <w:sz w:val="22"/>
          <w:szCs w:val="22"/>
          <w:lang w:eastAsia="cs-CZ"/>
        </w:rPr>
        <w:t xml:space="preserve">zákon č. </w:t>
      </w:r>
      <w:r w:rsidRPr="007D0FC3">
        <w:rPr>
          <w:rFonts w:ascii="Book Antiqua" w:hAnsi="Book Antiqua"/>
          <w:bCs/>
          <w:sz w:val="22"/>
          <w:szCs w:val="22"/>
        </w:rPr>
        <w:t xml:space="preserve">448/2008 Z. z. o sociálnych službách a o zmene a doplnení zákona </w:t>
      </w:r>
      <w:r w:rsidR="00395851">
        <w:rPr>
          <w:rFonts w:ascii="Book Antiqua" w:hAnsi="Book Antiqua"/>
          <w:bCs/>
          <w:sz w:val="22"/>
          <w:szCs w:val="22"/>
        </w:rPr>
        <w:t xml:space="preserve">             </w:t>
      </w:r>
      <w:r w:rsidRPr="007D0FC3">
        <w:rPr>
          <w:rFonts w:ascii="Book Antiqua" w:hAnsi="Book Antiqua"/>
          <w:bCs/>
          <w:sz w:val="22"/>
          <w:szCs w:val="22"/>
        </w:rPr>
        <w:t>č. 455/1991 Zb. o živnostenskom podnikaní (živnostenský zákon) v znení neskorších predpisov</w:t>
      </w:r>
      <w:r w:rsidR="00395851">
        <w:rPr>
          <w:rFonts w:ascii="Book Antiqua" w:hAnsi="Book Antiqua"/>
          <w:bCs/>
          <w:sz w:val="22"/>
          <w:szCs w:val="22"/>
        </w:rPr>
        <w:t xml:space="preserve"> v znení neskorších predpisov</w:t>
      </w:r>
      <w:r w:rsidRPr="007D0FC3">
        <w:rPr>
          <w:rFonts w:ascii="Book Antiqua" w:hAnsi="Book Antiqua"/>
          <w:bCs/>
          <w:sz w:val="22"/>
          <w:szCs w:val="22"/>
        </w:rPr>
        <w:t>,</w:t>
      </w:r>
      <w:r w:rsidRPr="007D0FC3">
        <w:rPr>
          <w:rFonts w:ascii="Book Antiqua" w:hAnsi="Book Antiqua"/>
          <w:sz w:val="22"/>
          <w:szCs w:val="22"/>
        </w:rPr>
        <w:t xml:space="preserve"> schváleného Národnou radou Slovenskej republiky v novembri 2017 (ďalej len „zákon č. 331/2017 Z. z.“).</w:t>
      </w:r>
    </w:p>
    <w:p w:rsidR="00A66B08" w:rsidRPr="007D0FC3" w:rsidP="00A66B08">
      <w:pPr>
        <w:bidi w:val="0"/>
        <w:spacing w:before="120" w:line="276" w:lineRule="auto"/>
        <w:ind w:firstLine="708"/>
        <w:jc w:val="both"/>
        <w:rPr>
          <w:rFonts w:ascii="Book Antiqua" w:hAnsi="Book Antiqua"/>
          <w:iCs/>
          <w:sz w:val="22"/>
          <w:lang w:eastAsia="cs-CZ"/>
        </w:rPr>
      </w:pPr>
      <w:r w:rsidRPr="007D0FC3">
        <w:rPr>
          <w:rFonts w:ascii="Book Antiqua" w:hAnsi="Book Antiqua"/>
          <w:iCs/>
          <w:sz w:val="22"/>
          <w:lang w:eastAsia="cs-CZ"/>
        </w:rPr>
        <w:t xml:space="preserve">Najväčší význam navrhovanej úpravy predstavuje odmietnutie zásady </w:t>
      </w:r>
      <w:r w:rsidRPr="007D0FC3">
        <w:rPr>
          <w:rFonts w:ascii="Book Antiqua" w:hAnsi="Book Antiqua"/>
          <w:sz w:val="22"/>
        </w:rPr>
        <w:t>spolufinancovania neverejných poskytovateľov sociálnych služieb poskytovaním finančného príspevku na prevádzku odvodeného od nákladovosti prevádzkovania porovnateľného druhu, formy a kapacity v rámci svojej územnej pôsobnosti verejnými poskytovateľmi tejto sociálnej služby.</w:t>
      </w:r>
    </w:p>
    <w:p w:rsidR="00A66B08" w:rsidRPr="007D0FC3" w:rsidP="00A66B08">
      <w:pPr>
        <w:bidi w:val="0"/>
        <w:spacing w:before="120" w:line="276" w:lineRule="auto"/>
        <w:ind w:firstLine="708"/>
        <w:jc w:val="both"/>
        <w:rPr>
          <w:rFonts w:ascii="Book Antiqua" w:hAnsi="Book Antiqua"/>
          <w:iCs/>
          <w:sz w:val="22"/>
          <w:lang w:eastAsia="cs-CZ"/>
        </w:rPr>
      </w:pPr>
      <w:r w:rsidRPr="007D0FC3">
        <w:rPr>
          <w:rFonts w:ascii="Book Antiqua" w:hAnsi="Book Antiqua"/>
          <w:iCs/>
          <w:sz w:val="22"/>
          <w:lang w:eastAsia="cs-CZ"/>
        </w:rPr>
        <w:t xml:space="preserve">Navrhujeme, aby sa v prípade, ak neverejný poskytovateľ sociálnej služby poskytuje sociálnu službu, ktorú obec alebo vyšší územný celok v predchádzajúcom rozpočtovom roku neposkytovali alebo nezabezpečovali, za priemerné bežné výdavky a za priemerné skutočne dosiahnuté príjmy považovali skutočné bežné výdavky a skutočne dosiahnuté príjmy neverejného poskytovateľa sociálnej služby za predchádzajúci rozpočtový rok, resp. predpokladané bežné výdavky a predpokladané príjmy neverejného poskytovateľa sociálnej služby na príslušný rozpočtový rok. </w:t>
      </w:r>
    </w:p>
    <w:p w:rsidR="00A66B08" w:rsidRPr="007D0FC3" w:rsidP="00A66B08">
      <w:pPr>
        <w:bidi w:val="0"/>
        <w:spacing w:before="120" w:line="276" w:lineRule="auto"/>
        <w:ind w:firstLine="708"/>
        <w:jc w:val="both"/>
        <w:rPr>
          <w:rFonts w:ascii="Book Antiqua" w:hAnsi="Book Antiqua"/>
          <w:iCs/>
          <w:sz w:val="22"/>
          <w:lang w:eastAsia="cs-CZ"/>
        </w:rPr>
      </w:pPr>
      <w:r w:rsidRPr="007D0FC3">
        <w:rPr>
          <w:rFonts w:ascii="Book Antiqua" w:hAnsi="Book Antiqua"/>
          <w:iCs/>
          <w:sz w:val="22"/>
          <w:lang w:eastAsia="cs-CZ"/>
        </w:rPr>
        <w:t>Odvodzovať nákladovosť konkrétnej sociálnej služby v jednom regióne od nákladovosti porovnateľnej sociálnej služby v susediacich regiónoch je neobjektívne a skresľujúce. Porovnateľné sociálne služby, okrem toho, že pôjde o rovnaký druh sociálnej služby, neexistujú, pretože každá z nich sa poskytuje za iných individuálnych podmienok. Príkladom je ak by sa v jednom regióne poskytovalo špecializované sociálne poradenstvo ambulantnou formou na jednom mieste (v jednom meste) a v susediacom regióne kombináciou ambulantnej formy a terénnej formy v celom regióne (vo viacerých mestách), a už nemôže ísť o porovnateľnú sociálnu službu, pretože náklady na poskytovanie sociálnej služby kombináciou ambulantnej formy a terénnej formy sú objektívne vyššie ako náklady len na ambulantnú formu. Rovnako náklady na prenajatie priestorov sú vždy individuálne.</w:t>
      </w:r>
    </w:p>
    <w:p w:rsidR="00A66B08" w:rsidRPr="007D0FC3" w:rsidP="00A66B08">
      <w:pPr>
        <w:bidi w:val="0"/>
        <w:spacing w:before="120" w:line="276" w:lineRule="auto"/>
        <w:ind w:firstLine="708"/>
        <w:jc w:val="both"/>
        <w:rPr>
          <w:rFonts w:ascii="Book Antiqua" w:hAnsi="Book Antiqua"/>
          <w:iCs/>
          <w:sz w:val="22"/>
          <w:lang w:eastAsia="cs-CZ"/>
        </w:rPr>
      </w:pPr>
      <w:r w:rsidRPr="007D0FC3">
        <w:rPr>
          <w:rFonts w:ascii="Book Antiqua" w:hAnsi="Book Antiqua"/>
          <w:iCs/>
          <w:sz w:val="22"/>
          <w:lang w:eastAsia="cs-CZ"/>
        </w:rPr>
        <w:t xml:space="preserve">V § 77 ods. 8 písm. a) až d) </w:t>
      </w:r>
      <w:r w:rsidRPr="007D0FC3" w:rsidR="00931B67">
        <w:rPr>
          <w:rFonts w:ascii="Book Antiqua" w:hAnsi="Book Antiqua"/>
          <w:iCs/>
          <w:sz w:val="22"/>
          <w:lang w:eastAsia="cs-CZ"/>
        </w:rPr>
        <w:t>platného znenia</w:t>
      </w:r>
      <w:r w:rsidRPr="007D0FC3">
        <w:rPr>
          <w:rFonts w:ascii="Book Antiqua" w:hAnsi="Book Antiqua"/>
          <w:iCs/>
          <w:sz w:val="22"/>
          <w:lang w:eastAsia="cs-CZ"/>
        </w:rPr>
        <w:t xml:space="preserve"> zákona</w:t>
      </w:r>
      <w:r w:rsidRPr="007D0FC3" w:rsidR="00931B67">
        <w:rPr>
          <w:rFonts w:ascii="Book Antiqua" w:hAnsi="Book Antiqua"/>
          <w:iCs/>
          <w:sz w:val="22"/>
          <w:lang w:eastAsia="cs-CZ"/>
        </w:rPr>
        <w:t xml:space="preserve"> o sociálnych službách sa</w:t>
      </w:r>
      <w:r w:rsidRPr="007D0FC3">
        <w:rPr>
          <w:rFonts w:ascii="Book Antiqua" w:hAnsi="Book Antiqua"/>
          <w:iCs/>
          <w:sz w:val="22"/>
          <w:lang w:eastAsia="cs-CZ"/>
        </w:rPr>
        <w:t xml:space="preserve"> používa spojenie „priemerné výdavky“, avšak následne </w:t>
      </w:r>
      <w:r w:rsidRPr="007D0FC3" w:rsidR="00931B67">
        <w:rPr>
          <w:rFonts w:ascii="Book Antiqua" w:hAnsi="Book Antiqua"/>
          <w:iCs/>
          <w:sz w:val="22"/>
          <w:lang w:eastAsia="cs-CZ"/>
        </w:rPr>
        <w:t xml:space="preserve">sa </w:t>
      </w:r>
      <w:r w:rsidRPr="007D0FC3">
        <w:rPr>
          <w:rFonts w:ascii="Book Antiqua" w:hAnsi="Book Antiqua"/>
          <w:iCs/>
          <w:sz w:val="22"/>
          <w:lang w:eastAsia="cs-CZ"/>
        </w:rPr>
        <w:t xml:space="preserve">neuvádza, z koľkých údajov (od minimálne koľkých subjektov poskytujúcich daný druh sociálnej služby) by sa priemer mal počítať, takže v praxi dochádza k prípadom, že „priemerné“ výdavky sa určia podľa výdavkov jediného subjektu poskytujúceho daný druh sociálnej služby. Navyše neexistuje žiadna nezávislá objektívna kontrola stanovenia priemerných výdavkov a priemerných príjmov. </w:t>
      </w:r>
    </w:p>
    <w:p w:rsidR="00A66B08" w:rsidRPr="007D0FC3" w:rsidP="00A66B08">
      <w:pPr>
        <w:bidi w:val="0"/>
        <w:spacing w:before="120" w:line="276" w:lineRule="auto"/>
        <w:ind w:firstLine="708"/>
        <w:jc w:val="both"/>
        <w:rPr>
          <w:rFonts w:ascii="Book Antiqua" w:hAnsi="Book Antiqua"/>
          <w:iCs/>
          <w:sz w:val="22"/>
          <w:lang w:eastAsia="cs-CZ"/>
        </w:rPr>
      </w:pPr>
      <w:r w:rsidRPr="007D0FC3" w:rsidR="00931B67">
        <w:rPr>
          <w:rFonts w:ascii="Book Antiqua" w:hAnsi="Book Antiqua"/>
          <w:iCs/>
          <w:sz w:val="22"/>
          <w:lang w:eastAsia="cs-CZ"/>
        </w:rPr>
        <w:t xml:space="preserve">Súčasné znenie </w:t>
      </w:r>
      <w:r w:rsidRPr="007D0FC3">
        <w:rPr>
          <w:rFonts w:ascii="Book Antiqua" w:hAnsi="Book Antiqua"/>
          <w:iCs/>
          <w:sz w:val="22"/>
          <w:lang w:eastAsia="cs-CZ"/>
        </w:rPr>
        <w:t xml:space="preserve">§ 77 ods. 8 a jeho následná aplikácia v praxi </w:t>
      </w:r>
      <w:r w:rsidRPr="007D0FC3" w:rsidR="00931B67">
        <w:rPr>
          <w:rFonts w:ascii="Book Antiqua" w:hAnsi="Book Antiqua"/>
          <w:iCs/>
          <w:sz w:val="22"/>
          <w:lang w:eastAsia="cs-CZ"/>
        </w:rPr>
        <w:t>nemá</w:t>
      </w:r>
      <w:r w:rsidRPr="007D0FC3">
        <w:rPr>
          <w:rFonts w:ascii="Book Antiqua" w:hAnsi="Book Antiqua"/>
          <w:iCs/>
          <w:sz w:val="22"/>
          <w:lang w:eastAsia="cs-CZ"/>
        </w:rPr>
        <w:t xml:space="preserve"> nič spoločné s objektívnym zisťovaním príjmov a výdavkov na poskytované sociálne služby neverejnými poskytovateľmi. Vyšší územný samosprávny celok </w:t>
      </w:r>
      <w:r w:rsidRPr="007D0FC3" w:rsidR="00931B67">
        <w:rPr>
          <w:rFonts w:ascii="Book Antiqua" w:hAnsi="Book Antiqua"/>
          <w:iCs/>
          <w:sz w:val="22"/>
          <w:lang w:eastAsia="cs-CZ"/>
        </w:rPr>
        <w:t>má</w:t>
      </w:r>
      <w:r w:rsidRPr="007D0FC3">
        <w:rPr>
          <w:rFonts w:ascii="Book Antiqua" w:hAnsi="Book Antiqua"/>
          <w:iCs/>
          <w:sz w:val="22"/>
          <w:lang w:eastAsia="cs-CZ"/>
        </w:rPr>
        <w:t xml:space="preserve"> vždy možnosť vybrať si z viacerých susediacich vyšších územných samosprávnych ten, v ktorom bude rozdiel medzi priemernými bežnými výdavkami a priemernými bežnými príjmami u konkrétneho druhu sociálnej služby najnižší a tieto údaje si vezme za základ pre stanovenie výšky finančného príspevku na prevádzku sociálnej služby. Neverejní poskytovatelia sociálnych služieb tak nebudú mať žiadnu právnu istotu, s akým príspevkom pri príprave rozpočtu môžu v danom kalendárnom roku počítať.</w:t>
      </w:r>
    </w:p>
    <w:p w:rsidR="00931B67" w:rsidRPr="007D0FC3" w:rsidP="00A66B08">
      <w:pPr>
        <w:bidi w:val="0"/>
        <w:spacing w:before="120" w:line="276" w:lineRule="auto"/>
        <w:ind w:firstLine="708"/>
        <w:jc w:val="both"/>
        <w:rPr>
          <w:rFonts w:ascii="Book Antiqua" w:hAnsi="Book Antiqua"/>
          <w:iCs/>
          <w:sz w:val="22"/>
          <w:lang w:eastAsia="cs-CZ"/>
        </w:rPr>
      </w:pPr>
      <w:r w:rsidRPr="007D0FC3">
        <w:rPr>
          <w:rFonts w:ascii="Book Antiqua" w:hAnsi="Book Antiqua"/>
          <w:iCs/>
          <w:sz w:val="22"/>
          <w:lang w:eastAsia="cs-CZ"/>
        </w:rPr>
        <w:t xml:space="preserve">Na základe uvedených skutočností sa navrhuje, aby platila právna úprava pred nadobudnutím účinnosti zákona č. 331/2017 Z. z. </w:t>
      </w:r>
    </w:p>
    <w:p w:rsidR="00931B67" w:rsidP="00931B67">
      <w:pPr>
        <w:bidi w:val="0"/>
        <w:spacing w:before="120" w:line="276" w:lineRule="auto"/>
        <w:jc w:val="both"/>
        <w:rPr>
          <w:rFonts w:ascii="Book Antiqua" w:hAnsi="Book Antiqua"/>
          <w:sz w:val="22"/>
          <w:szCs w:val="22"/>
          <w:u w:val="single"/>
        </w:rPr>
      </w:pPr>
      <w:r w:rsidRPr="007D0FC3">
        <w:rPr>
          <w:rFonts w:ascii="Book Antiqua" w:hAnsi="Book Antiqua"/>
          <w:sz w:val="22"/>
          <w:szCs w:val="22"/>
          <w:u w:val="single"/>
        </w:rPr>
        <w:t>K bodu 4</w:t>
      </w:r>
    </w:p>
    <w:p w:rsidR="00F54CB3" w:rsidRPr="00F54CB3" w:rsidP="00EB12AE">
      <w:pPr>
        <w:bidi w:val="0"/>
        <w:spacing w:before="120" w:line="276" w:lineRule="auto"/>
        <w:ind w:firstLine="708"/>
        <w:jc w:val="both"/>
        <w:rPr>
          <w:rFonts w:ascii="Book Antiqua" w:hAnsi="Book Antiqua"/>
          <w:sz w:val="22"/>
          <w:szCs w:val="22"/>
        </w:rPr>
      </w:pPr>
      <w:r w:rsidRPr="00EB5655">
        <w:rPr>
          <w:rFonts w:ascii="Book Antiqua" w:hAnsi="Book Antiqua"/>
          <w:sz w:val="22"/>
          <w:szCs w:val="22"/>
        </w:rPr>
        <w:t xml:space="preserve">Upravuje sa, že v nariadení vlády Slovenskej republiky, ktorou sa každoročne ustanovuje výška finančného príspevku na poskytovanie sociálnej služby v zariadeniach </w:t>
      </w:r>
      <w:r w:rsidRPr="00EB5655" w:rsidR="00EB12AE">
        <w:rPr>
          <w:rFonts w:ascii="Book Antiqua" w:hAnsi="Book Antiqua"/>
          <w:sz w:val="22"/>
          <w:szCs w:val="22"/>
        </w:rPr>
        <w:t>podmienených odkázanosťou, sa bude zohľadňovať aj percentuálne odstupňovanie výšky finančného príspevku vo vzťahu k prijímateľovi sociálnej služb</w:t>
      </w:r>
      <w:r w:rsidRPr="00EB5655" w:rsidR="00EB5655">
        <w:rPr>
          <w:rFonts w:ascii="Book Antiqua" w:hAnsi="Book Antiqua"/>
          <w:sz w:val="22"/>
          <w:szCs w:val="22"/>
        </w:rPr>
        <w:t>y v zmysle poznámky k tabuľke uvedenej</w:t>
      </w:r>
      <w:r w:rsidRPr="00EB5655" w:rsidR="00EB12AE">
        <w:rPr>
          <w:rFonts w:ascii="Book Antiqua" w:hAnsi="Book Antiqua"/>
          <w:sz w:val="22"/>
          <w:szCs w:val="22"/>
        </w:rPr>
        <w:t xml:space="preserve"> v prílohe č. 6 (deti od 3 do 18 rokov, plnoleté fyzické osoby, seniori).</w:t>
      </w:r>
      <w:r w:rsidRPr="00EB5655" w:rsidR="00EB5655">
        <w:rPr>
          <w:rFonts w:ascii="Book Antiqua" w:hAnsi="Book Antiqua"/>
          <w:sz w:val="22"/>
          <w:szCs w:val="22"/>
        </w:rPr>
        <w:t xml:space="preserve"> V opačnom prípade by sa v zmysle § 78a ods. 12 uplatňovala každoročne len tá výška príspevkov, ktorú by nariadením vlády upravila vláda Slovenskej republiky.</w:t>
      </w:r>
    </w:p>
    <w:p w:rsidR="00EB12AE" w:rsidRPr="007D0FC3" w:rsidP="00EB12AE">
      <w:pPr>
        <w:bidi w:val="0"/>
        <w:spacing w:before="120" w:line="276" w:lineRule="auto"/>
        <w:jc w:val="both"/>
        <w:rPr>
          <w:rFonts w:ascii="Book Antiqua" w:hAnsi="Book Antiqua"/>
          <w:sz w:val="22"/>
          <w:szCs w:val="22"/>
          <w:u w:val="single"/>
        </w:rPr>
      </w:pPr>
      <w:r>
        <w:rPr>
          <w:rFonts w:ascii="Book Antiqua" w:hAnsi="Book Antiqua"/>
          <w:sz w:val="22"/>
          <w:szCs w:val="22"/>
          <w:u w:val="single"/>
        </w:rPr>
        <w:t>K bodu 5</w:t>
      </w:r>
    </w:p>
    <w:p w:rsidR="00931B67" w:rsidRPr="007D0FC3" w:rsidP="00A66B08">
      <w:pPr>
        <w:bidi w:val="0"/>
        <w:spacing w:before="120" w:line="276" w:lineRule="auto"/>
        <w:ind w:firstLine="708"/>
        <w:jc w:val="both"/>
        <w:rPr>
          <w:rFonts w:ascii="Book Antiqua" w:hAnsi="Book Antiqua"/>
          <w:iCs/>
          <w:sz w:val="22"/>
          <w:lang w:eastAsia="cs-CZ"/>
        </w:rPr>
      </w:pPr>
      <w:r w:rsidRPr="007D0FC3">
        <w:rPr>
          <w:rFonts w:ascii="Book Antiqua" w:hAnsi="Book Antiqua"/>
          <w:iCs/>
          <w:sz w:val="22"/>
          <w:lang w:eastAsia="cs-CZ"/>
        </w:rPr>
        <w:t xml:space="preserve">Navrhuje sa, aby </w:t>
      </w:r>
      <w:r w:rsidRPr="007D0FC3" w:rsidR="00F74D4C">
        <w:rPr>
          <w:rFonts w:ascii="Book Antiqua" w:hAnsi="Book Antiqua"/>
          <w:iCs/>
          <w:sz w:val="22"/>
          <w:lang w:eastAsia="cs-CZ"/>
        </w:rPr>
        <w:t>pri posudzovaní nároku na finančný príspevok podľa § 71 ods. 6 a 7, § 78a a </w:t>
      </w:r>
      <w:r w:rsidRPr="007D0FC3" w:rsidR="008C6262">
        <w:rPr>
          <w:rFonts w:ascii="Book Antiqua" w:hAnsi="Book Antiqua"/>
          <w:iCs/>
          <w:sz w:val="22"/>
          <w:lang w:eastAsia="cs-CZ"/>
        </w:rPr>
        <w:t>78</w:t>
      </w:r>
      <w:r w:rsidRPr="007D0FC3" w:rsidR="00F74D4C">
        <w:rPr>
          <w:rFonts w:ascii="Book Antiqua" w:hAnsi="Book Antiqua"/>
          <w:iCs/>
          <w:sz w:val="22"/>
          <w:lang w:eastAsia="cs-CZ"/>
        </w:rPr>
        <w:t xml:space="preserve">aa (§ 78d ods. 13 zákona o sociálnych službách) </w:t>
      </w:r>
      <w:r w:rsidRPr="007D0FC3">
        <w:rPr>
          <w:rFonts w:ascii="Book Antiqua" w:hAnsi="Book Antiqua"/>
          <w:iCs/>
          <w:sz w:val="22"/>
          <w:lang w:eastAsia="cs-CZ"/>
        </w:rPr>
        <w:t xml:space="preserve">sa za dôvod neprítomnosti </w:t>
      </w:r>
      <w:r w:rsidRPr="007D0FC3" w:rsidR="00F74D4C">
        <w:rPr>
          <w:rFonts w:ascii="Book Antiqua" w:hAnsi="Book Antiqua"/>
          <w:iCs/>
          <w:sz w:val="22"/>
          <w:lang w:eastAsia="cs-CZ"/>
        </w:rPr>
        <w:t xml:space="preserve">prijímateľa sociálnej služby </w:t>
      </w:r>
      <w:r w:rsidRPr="007D0FC3">
        <w:rPr>
          <w:rFonts w:ascii="Book Antiqua" w:hAnsi="Book Antiqua"/>
          <w:iCs/>
          <w:sz w:val="22"/>
          <w:lang w:eastAsia="cs-CZ"/>
        </w:rPr>
        <w:t xml:space="preserve">nepovažovala situácia, keď </w:t>
      </w:r>
      <w:r w:rsidRPr="007D0FC3" w:rsidR="00F74D4C">
        <w:rPr>
          <w:rFonts w:ascii="Book Antiqua" w:hAnsi="Book Antiqua"/>
          <w:iCs/>
          <w:sz w:val="22"/>
          <w:lang w:eastAsia="cs-CZ"/>
        </w:rPr>
        <w:t xml:space="preserve">tento </w:t>
      </w:r>
      <w:r w:rsidRPr="007D0FC3">
        <w:rPr>
          <w:rFonts w:ascii="Book Antiqua" w:hAnsi="Book Antiqua"/>
          <w:iCs/>
          <w:sz w:val="22"/>
          <w:lang w:eastAsia="cs-CZ"/>
        </w:rPr>
        <w:t xml:space="preserve">prijímateľ </w:t>
      </w:r>
      <w:r w:rsidRPr="007D0FC3" w:rsidR="00F74D4C">
        <w:rPr>
          <w:rFonts w:ascii="Book Antiqua" w:hAnsi="Book Antiqua"/>
          <w:iCs/>
          <w:sz w:val="22"/>
          <w:lang w:eastAsia="cs-CZ"/>
        </w:rPr>
        <w:t xml:space="preserve">je dočasne práceneschopný. Máme za to, že pri návšteve lekára či krátkodobej absencii prijímateľa sociálnej služby </w:t>
      </w:r>
      <w:r w:rsidRPr="007D0FC3" w:rsidR="009F4B9A">
        <w:rPr>
          <w:rFonts w:ascii="Book Antiqua" w:hAnsi="Book Antiqua"/>
          <w:iCs/>
          <w:sz w:val="22"/>
          <w:lang w:eastAsia="cs-CZ"/>
        </w:rPr>
        <w:t xml:space="preserve">napr. </w:t>
      </w:r>
      <w:r w:rsidRPr="007D0FC3" w:rsidR="00F74D4C">
        <w:rPr>
          <w:rFonts w:ascii="Book Antiqua" w:hAnsi="Book Antiqua"/>
          <w:iCs/>
          <w:sz w:val="22"/>
          <w:lang w:eastAsia="cs-CZ"/>
        </w:rPr>
        <w:t xml:space="preserve">z dôvodu, že je chorý alebo má úraz, ide o objektívne dôvody brániace prítomnosti v zariadení. Pri poskytovaní ambulantnej sociálnej služby však poskytovateľ sociálnej služby stále zabezpečuje prítomnosť zamestnancov, ktorých musí zaplatiť a tiež mu vznikajú ďalšie náklady, ktoré pri neposkytnutí, resp. krátení príspevku nemá z čoho uhradiť. </w:t>
      </w:r>
      <w:r w:rsidRPr="007D0FC3" w:rsidR="008C6262">
        <w:rPr>
          <w:rFonts w:ascii="Book Antiqua" w:hAnsi="Book Antiqua"/>
          <w:iCs/>
          <w:sz w:val="22"/>
          <w:lang w:eastAsia="cs-CZ"/>
        </w:rPr>
        <w:t>Aj</w:t>
      </w:r>
      <w:r w:rsidRPr="007D0FC3" w:rsidR="009F4B9A">
        <w:rPr>
          <w:rFonts w:ascii="Book Antiqua" w:hAnsi="Book Antiqua"/>
          <w:iCs/>
          <w:sz w:val="22"/>
          <w:lang w:eastAsia="cs-CZ"/>
        </w:rPr>
        <w:t xml:space="preserve"> v pracovnoprávnych predpisoch </w:t>
      </w:r>
      <w:r w:rsidRPr="007D0FC3" w:rsidR="008C6262">
        <w:rPr>
          <w:rFonts w:ascii="Book Antiqua" w:hAnsi="Book Antiqua"/>
          <w:iCs/>
          <w:sz w:val="22"/>
          <w:lang w:eastAsia="cs-CZ"/>
        </w:rPr>
        <w:t xml:space="preserve">má dočasná práceneschopnosť svoje osobitné postavenie a považuje sa za dôvod ospravedlnenia. </w:t>
      </w:r>
    </w:p>
    <w:p w:rsidR="008C6262" w:rsidRPr="007D0FC3" w:rsidP="008C6262">
      <w:pPr>
        <w:bidi w:val="0"/>
        <w:spacing w:before="120" w:line="276" w:lineRule="auto"/>
        <w:jc w:val="both"/>
        <w:rPr>
          <w:rFonts w:ascii="Book Antiqua" w:hAnsi="Book Antiqua"/>
          <w:sz w:val="22"/>
          <w:szCs w:val="22"/>
          <w:u w:val="single"/>
        </w:rPr>
      </w:pPr>
      <w:r w:rsidR="00EB12AE">
        <w:rPr>
          <w:rFonts w:ascii="Book Antiqua" w:hAnsi="Book Antiqua"/>
          <w:sz w:val="22"/>
          <w:szCs w:val="22"/>
          <w:u w:val="single"/>
        </w:rPr>
        <w:t>K bodu 6</w:t>
      </w:r>
    </w:p>
    <w:p w:rsidR="00F133A9" w:rsidRPr="007D0FC3" w:rsidP="00F133A9">
      <w:pPr>
        <w:pStyle w:val="Standard"/>
        <w:bidi w:val="0"/>
        <w:spacing w:before="120" w:line="276" w:lineRule="auto"/>
        <w:ind w:firstLine="709"/>
        <w:jc w:val="both"/>
        <w:rPr>
          <w:rFonts w:ascii="Book Antiqua" w:hAnsi="Book Antiqua" w:cs="Book Antiqua"/>
          <w:sz w:val="22"/>
          <w:szCs w:val="22"/>
        </w:rPr>
      </w:pPr>
      <w:r w:rsidRPr="007D0FC3">
        <w:rPr>
          <w:rFonts w:ascii="Book Antiqua" w:hAnsi="Book Antiqua" w:cs="Book Antiqua"/>
          <w:sz w:val="22"/>
          <w:szCs w:val="22"/>
        </w:rPr>
        <w:t xml:space="preserve">Cieľom návrhu je zmena počtu hodín (ne)poskytovania sociálnej služby z najmenej 80 hodín na najmenej 60 hodín, čo je jedno z kritérií posudzovania neobsadenosti miesta pri poskytovaní ambulantnej sociálnej služby v zariadení na účely zúčtovania a vrátenia finančných príspevkov. </w:t>
      </w:r>
    </w:p>
    <w:p w:rsidR="00F133A9" w:rsidRPr="007D0FC3" w:rsidP="00F133A9">
      <w:pPr>
        <w:pStyle w:val="Standard"/>
        <w:bidi w:val="0"/>
        <w:spacing w:before="120" w:line="276" w:lineRule="auto"/>
        <w:ind w:firstLine="709"/>
        <w:jc w:val="both"/>
        <w:rPr>
          <w:rFonts w:ascii="Book Antiqua" w:hAnsi="Book Antiqua" w:cs="Book Antiqua"/>
          <w:sz w:val="22"/>
          <w:szCs w:val="22"/>
        </w:rPr>
      </w:pPr>
      <w:r w:rsidRPr="007D0FC3">
        <w:rPr>
          <w:rFonts w:ascii="Book Antiqua" w:hAnsi="Book Antiqua" w:cs="Book Antiqua"/>
          <w:sz w:val="22"/>
          <w:szCs w:val="22"/>
        </w:rPr>
        <w:t>Denný stacionár môžu podľa súčasnej právnej úpravy navštevovať len klienti od stupňa odkázanosti III. a vyššie. To znamená, že v zariadení sa budú môcť nachádzať len „ťažšie stavy“, u ktorých existuje vysoké riziko zdravotných komplikácii, chorôb a hospitalizácii.</w:t>
      </w:r>
    </w:p>
    <w:p w:rsidR="00395851" w:rsidRPr="00F54CB3" w:rsidP="00F54CB3">
      <w:pPr>
        <w:pStyle w:val="Standard"/>
        <w:bidi w:val="0"/>
        <w:spacing w:before="120" w:line="276" w:lineRule="auto"/>
        <w:ind w:firstLine="709"/>
        <w:jc w:val="both"/>
        <w:rPr>
          <w:rFonts w:ascii="Book Antiqua" w:hAnsi="Book Antiqua" w:cs="Book Antiqua"/>
          <w:sz w:val="22"/>
          <w:szCs w:val="22"/>
        </w:rPr>
      </w:pPr>
      <w:r w:rsidRPr="007D0FC3" w:rsidR="00F133A9">
        <w:rPr>
          <w:rFonts w:ascii="Book Antiqua" w:hAnsi="Book Antiqua" w:cs="Book Antiqua"/>
          <w:sz w:val="22"/>
          <w:szCs w:val="22"/>
        </w:rPr>
        <w:t>Často hospitalizovanému klientovi môžu pravidelne chýbať zmluvne dohodnuté hodiny poskytovania sociálnej služby v mesiaci, a preto si denný stacionár bude musieť dohadovať počet klientov, resp. počet hodín s určitou rezervou, v opačnom prípade pri nedodržaní minimálneho počtu hodín poskytovania sociálnej služby v mesiaci hrozí vrátenie celého finančného príspevku. Kým donedávna (do prijatia novely zákona o sociálnych službách pod č. 40/2017 Z. z.) pravidlá dovoľovali mať počet príspevkov na prijímateľa sociálnej služby, teraz to môže byť na jedno zriadené miesto viac klientov, aby stacionáre dokázali zabezpečiť chod zariadenia.</w:t>
      </w:r>
    </w:p>
    <w:p w:rsidR="00A01B13" w:rsidRPr="007D0FC3" w:rsidP="00A01B13">
      <w:pPr>
        <w:bidi w:val="0"/>
        <w:spacing w:before="120" w:line="276" w:lineRule="auto"/>
        <w:jc w:val="both"/>
        <w:rPr>
          <w:rFonts w:ascii="Book Antiqua" w:hAnsi="Book Antiqua"/>
          <w:sz w:val="22"/>
          <w:szCs w:val="22"/>
          <w:u w:val="single"/>
        </w:rPr>
      </w:pPr>
      <w:r w:rsidRPr="007D0FC3">
        <w:rPr>
          <w:rFonts w:ascii="Book Antiqua" w:hAnsi="Book Antiqua"/>
          <w:sz w:val="22"/>
          <w:szCs w:val="22"/>
          <w:u w:val="single"/>
        </w:rPr>
        <w:t>K</w:t>
      </w:r>
      <w:r w:rsidR="00EB12AE">
        <w:rPr>
          <w:rFonts w:ascii="Book Antiqua" w:hAnsi="Book Antiqua"/>
          <w:sz w:val="22"/>
          <w:szCs w:val="22"/>
          <w:u w:val="single"/>
        </w:rPr>
        <w:t> bodu 7</w:t>
      </w:r>
    </w:p>
    <w:p w:rsidR="003877C8" w:rsidRPr="007D0FC3" w:rsidP="003877C8">
      <w:pPr>
        <w:bidi w:val="0"/>
        <w:spacing w:before="120" w:line="276" w:lineRule="auto"/>
        <w:ind w:firstLine="708"/>
        <w:jc w:val="both"/>
        <w:rPr>
          <w:rFonts w:ascii="Book Antiqua" w:hAnsi="Book Antiqua"/>
          <w:sz w:val="22"/>
          <w:szCs w:val="22"/>
        </w:rPr>
      </w:pPr>
      <w:r w:rsidRPr="007D0FC3" w:rsidR="00A01B13">
        <w:rPr>
          <w:rFonts w:ascii="Book Antiqua" w:hAnsi="Book Antiqua"/>
          <w:sz w:val="22"/>
          <w:szCs w:val="22"/>
        </w:rPr>
        <w:t xml:space="preserve">Od 1. januára 2018 sa v dôsledku prijatia novely zákona pod č. 331/2017 Z. z. zaviedlo vedenie dennej evidencie prítomnosti jednotlivých prijímateľov ambulantnej sociálnej služby, pričom počet hodín </w:t>
      </w:r>
      <w:r w:rsidRPr="007D0FC3" w:rsidR="00772128">
        <w:rPr>
          <w:rFonts w:ascii="Book Antiqua" w:hAnsi="Book Antiqua"/>
          <w:sz w:val="22"/>
          <w:szCs w:val="22"/>
        </w:rPr>
        <w:t>poskytovanej sociálnej služby sa musí osvedčovať podpisom jednotlivých prijímateľov sociálnej služby. Za dva mesiace účinnosti takejto právnej úpravy prax ukázala, že prijímatelia sociálnej služby považujú takéto opatrenie za nedôstojné, dokonca až otravné, keďže každý jeden deň sa</w:t>
      </w:r>
      <w:r w:rsidRPr="007D0FC3">
        <w:rPr>
          <w:rFonts w:ascii="Book Antiqua" w:hAnsi="Book Antiqua"/>
          <w:sz w:val="22"/>
          <w:szCs w:val="22"/>
        </w:rPr>
        <w:t xml:space="preserve"> musia podpisovať do evidencie.</w:t>
      </w:r>
    </w:p>
    <w:p w:rsidR="00A66B08" w:rsidRPr="00B5115D" w:rsidP="003877C8">
      <w:pPr>
        <w:bidi w:val="0"/>
        <w:spacing w:before="120" w:line="276" w:lineRule="auto"/>
        <w:ind w:firstLine="708"/>
        <w:jc w:val="both"/>
        <w:rPr>
          <w:rFonts w:ascii="Book Antiqua" w:hAnsi="Book Antiqua"/>
          <w:sz w:val="22"/>
          <w:szCs w:val="22"/>
        </w:rPr>
      </w:pPr>
      <w:r w:rsidRPr="00EB5655" w:rsidR="00772128">
        <w:rPr>
          <w:rFonts w:ascii="Book Antiqua" w:hAnsi="Book Antiqua"/>
          <w:sz w:val="22"/>
          <w:szCs w:val="22"/>
        </w:rPr>
        <w:t>Navrhuje sa teda, aby poskytovateľ sociálnej služby mal stále povinnosť viesť dennú evidenciu, ale samotný prijímateľ sociálnej služby ju osvedčoval svojím podpisom len jedenkrát na konci kalendárneho me</w:t>
      </w:r>
      <w:r w:rsidRPr="00EB5655" w:rsidR="00B5115D">
        <w:rPr>
          <w:rFonts w:ascii="Book Antiqua" w:hAnsi="Book Antiqua"/>
          <w:sz w:val="22"/>
          <w:szCs w:val="22"/>
        </w:rPr>
        <w:t>siaca za celý kalendárny mesiac, resp. v prípade, ak by došlo k ukončeniu zmluvy o poskytovaní sociáln</w:t>
      </w:r>
      <w:r w:rsidRPr="00EB5655" w:rsidR="00EB5655">
        <w:rPr>
          <w:rFonts w:ascii="Book Antiqua" w:hAnsi="Book Antiqua"/>
          <w:sz w:val="22"/>
          <w:szCs w:val="22"/>
        </w:rPr>
        <w:t xml:space="preserve">ej služby </w:t>
      </w:r>
      <w:r w:rsidRPr="00EB5655" w:rsidR="00B5115D">
        <w:rPr>
          <w:rFonts w:ascii="Book Antiqua" w:hAnsi="Book Antiqua"/>
          <w:sz w:val="22"/>
          <w:szCs w:val="22"/>
        </w:rPr>
        <w:t>v priebehu kalendárneho mesiaca</w:t>
      </w:r>
      <w:r w:rsidRPr="00EB5655" w:rsidR="00EB5655">
        <w:rPr>
          <w:rFonts w:ascii="Book Antiqua" w:hAnsi="Book Antiqua"/>
          <w:sz w:val="22"/>
          <w:szCs w:val="22"/>
        </w:rPr>
        <w:t>, tak ku dňu ukončenia zmluvy o poskytovaní sociálnej služby za celé predchádzajúce nevypodpisované obdobie (časť mesiaca)</w:t>
      </w:r>
      <w:r w:rsidRPr="00EB5655" w:rsidR="00B5115D">
        <w:rPr>
          <w:rFonts w:ascii="Book Antiqua" w:hAnsi="Book Antiqua"/>
          <w:sz w:val="22"/>
          <w:szCs w:val="22"/>
        </w:rPr>
        <w:t>.</w:t>
      </w:r>
      <w:r w:rsidRPr="00EB5655" w:rsidR="00772128">
        <w:rPr>
          <w:rFonts w:ascii="Book Antiqua" w:hAnsi="Book Antiqua"/>
          <w:sz w:val="22"/>
          <w:szCs w:val="22"/>
        </w:rPr>
        <w:t xml:space="preserve"> </w:t>
      </w:r>
      <w:r w:rsidRPr="00EB5655" w:rsidR="00AD53A0">
        <w:rPr>
          <w:rFonts w:ascii="Book Antiqua" w:hAnsi="Book Antiqua"/>
          <w:sz w:val="22"/>
          <w:szCs w:val="22"/>
        </w:rPr>
        <w:t>Nie je dôvod obávať sa zneužívaniu takto nastavenej právnej úpravy; keďže poskytovateľ sociálnej služby stále musí viesť dennú evidenciu, v prípade kontroly je možné overiť si, či v daný deň sa prijímateľ</w:t>
      </w:r>
      <w:r w:rsidRPr="00B5115D" w:rsidR="00AD53A0">
        <w:rPr>
          <w:rFonts w:ascii="Book Antiqua" w:hAnsi="Book Antiqua"/>
          <w:sz w:val="22"/>
          <w:szCs w:val="22"/>
        </w:rPr>
        <w:t xml:space="preserve"> sociálnej služby v zariadení nachádza alebo nie. </w:t>
      </w:r>
    </w:p>
    <w:p w:rsidR="003877C8" w:rsidRPr="00B5115D" w:rsidP="003877C8">
      <w:pPr>
        <w:bidi w:val="0"/>
        <w:spacing w:before="120" w:line="276" w:lineRule="auto"/>
        <w:jc w:val="both"/>
        <w:rPr>
          <w:rFonts w:ascii="Book Antiqua" w:hAnsi="Book Antiqua"/>
          <w:sz w:val="22"/>
          <w:szCs w:val="22"/>
          <w:u w:val="single"/>
        </w:rPr>
      </w:pPr>
      <w:r w:rsidR="00EB12AE">
        <w:rPr>
          <w:rFonts w:ascii="Book Antiqua" w:hAnsi="Book Antiqua"/>
          <w:sz w:val="22"/>
          <w:szCs w:val="22"/>
          <w:u w:val="single"/>
        </w:rPr>
        <w:t>K bodu 8</w:t>
      </w:r>
    </w:p>
    <w:p w:rsidR="00F11AA5" w:rsidRPr="007D0FC3" w:rsidP="00395851">
      <w:pPr>
        <w:bidi w:val="0"/>
        <w:spacing w:before="120" w:line="276" w:lineRule="auto"/>
        <w:jc w:val="both"/>
        <w:rPr>
          <w:rFonts w:ascii="Book Antiqua" w:hAnsi="Book Antiqua" w:cs="Book Antiqua"/>
          <w:sz w:val="22"/>
          <w:szCs w:val="22"/>
        </w:rPr>
      </w:pPr>
      <w:r w:rsidRPr="007D0FC3" w:rsidR="00D128E3">
        <w:rPr>
          <w:rFonts w:ascii="Book Antiqua" w:hAnsi="Book Antiqua"/>
          <w:sz w:val="22"/>
          <w:szCs w:val="22"/>
        </w:rPr>
        <w:tab/>
      </w:r>
      <w:r w:rsidRPr="007D0FC3" w:rsidR="006F23C8">
        <w:rPr>
          <w:rFonts w:ascii="Book Antiqua" w:hAnsi="Book Antiqua" w:cs="Book Antiqua"/>
          <w:sz w:val="22"/>
          <w:szCs w:val="22"/>
        </w:rPr>
        <w:t xml:space="preserve">Zavádzajú </w:t>
      </w:r>
      <w:r w:rsidRPr="007D0FC3" w:rsidR="00D44FBF">
        <w:rPr>
          <w:rFonts w:ascii="Book Antiqua" w:hAnsi="Book Antiqua" w:cs="Book Antiqua"/>
          <w:sz w:val="22"/>
          <w:szCs w:val="22"/>
        </w:rPr>
        <w:t>sa intertempor</w:t>
      </w:r>
      <w:r w:rsidR="00395851">
        <w:rPr>
          <w:rFonts w:ascii="Book Antiqua" w:hAnsi="Book Antiqua" w:cs="Book Antiqua"/>
          <w:sz w:val="22"/>
          <w:szCs w:val="22"/>
        </w:rPr>
        <w:t xml:space="preserve">álne ustanovenia týkajúce sa vrátenia </w:t>
      </w:r>
      <w:r w:rsidRPr="007D0FC3" w:rsidR="006F23C8">
        <w:rPr>
          <w:rFonts w:ascii="Book Antiqua" w:hAnsi="Book Antiqua" w:cs="Book Antiqua"/>
          <w:sz w:val="22"/>
          <w:szCs w:val="22"/>
        </w:rPr>
        <w:t>finančných príspevkov poskytnutých do 30. júna 2018</w:t>
      </w:r>
      <w:r w:rsidR="00395851">
        <w:rPr>
          <w:rFonts w:ascii="Book Antiqua" w:hAnsi="Book Antiqua" w:cs="Book Antiqua"/>
          <w:sz w:val="22"/>
          <w:szCs w:val="22"/>
        </w:rPr>
        <w:t>, a to tak, že takéto prípadne vrátenie</w:t>
      </w:r>
      <w:r w:rsidRPr="007D0FC3" w:rsidR="006F23C8">
        <w:rPr>
          <w:rFonts w:ascii="Book Antiqua" w:hAnsi="Book Antiqua" w:cs="Book Antiqua"/>
          <w:sz w:val="22"/>
          <w:szCs w:val="22"/>
        </w:rPr>
        <w:t xml:space="preserve"> sa bude spravovať ustanoveniami zákona účinného od 1. júla 2018. V danom prípade dochádza len k nepriamej retroaktivite, ktorá však výnimočne je prípustná.</w:t>
      </w:r>
    </w:p>
    <w:p w:rsidR="006F23C8" w:rsidRPr="007D0FC3" w:rsidP="006F23C8">
      <w:pPr>
        <w:bidi w:val="0"/>
        <w:spacing w:before="120" w:line="276" w:lineRule="auto"/>
        <w:jc w:val="both"/>
        <w:rPr>
          <w:rFonts w:ascii="Book Antiqua" w:hAnsi="Book Antiqua"/>
          <w:sz w:val="22"/>
          <w:szCs w:val="22"/>
          <w:u w:val="single"/>
        </w:rPr>
      </w:pPr>
      <w:r w:rsidRPr="007D0FC3">
        <w:rPr>
          <w:rFonts w:ascii="Book Antiqua" w:hAnsi="Book Antiqua"/>
          <w:sz w:val="22"/>
          <w:szCs w:val="22"/>
          <w:u w:val="single"/>
        </w:rPr>
        <w:t>K</w:t>
      </w:r>
      <w:r w:rsidR="00EB12AE">
        <w:rPr>
          <w:rFonts w:ascii="Book Antiqua" w:hAnsi="Book Antiqua"/>
          <w:sz w:val="22"/>
          <w:szCs w:val="22"/>
          <w:u w:val="single"/>
        </w:rPr>
        <w:t> bodom</w:t>
      </w:r>
      <w:r w:rsidRPr="007D0FC3" w:rsidR="009015DB">
        <w:rPr>
          <w:rFonts w:ascii="Book Antiqua" w:hAnsi="Book Antiqua"/>
          <w:sz w:val="22"/>
          <w:szCs w:val="22"/>
          <w:u w:val="single"/>
        </w:rPr>
        <w:t xml:space="preserve"> 9</w:t>
      </w:r>
      <w:r w:rsidR="00EB12AE">
        <w:rPr>
          <w:rFonts w:ascii="Book Antiqua" w:hAnsi="Book Antiqua"/>
          <w:sz w:val="22"/>
          <w:szCs w:val="22"/>
          <w:u w:val="single"/>
        </w:rPr>
        <w:t xml:space="preserve"> a 10</w:t>
      </w:r>
    </w:p>
    <w:p w:rsidR="000A7DD6" w:rsidRPr="007D0FC3" w:rsidP="005F027D">
      <w:pPr>
        <w:bidi w:val="0"/>
        <w:spacing w:before="120" w:line="276" w:lineRule="auto"/>
        <w:ind w:firstLine="708"/>
        <w:jc w:val="both"/>
        <w:rPr>
          <w:rFonts w:ascii="Book Antiqua" w:hAnsi="Book Antiqua" w:cs="Book Antiqua"/>
          <w:sz w:val="22"/>
          <w:szCs w:val="22"/>
        </w:rPr>
      </w:pPr>
      <w:r w:rsidRPr="007D0FC3">
        <w:rPr>
          <w:rFonts w:ascii="Book Antiqua" w:hAnsi="Book Antiqua" w:cs="Book Antiqua"/>
          <w:sz w:val="22"/>
          <w:szCs w:val="22"/>
        </w:rPr>
        <w:t>V prílohe č. 1 sa upravuje maximálny počet prijímateľov sociálnej služby na jedného zamestnanca v prípade denných stacionárov.</w:t>
      </w:r>
      <w:r w:rsidRPr="007D0FC3" w:rsidR="0079152B">
        <w:rPr>
          <w:rFonts w:ascii="Book Antiqua" w:hAnsi="Book Antiqua" w:cs="Book Antiqua"/>
          <w:sz w:val="22"/>
          <w:szCs w:val="22"/>
        </w:rPr>
        <w:t xml:space="preserve"> Ustanovuje sa, že vo všeobecnosti u denných stacionárov je maximálne 6 prijímateľov sociálnej služby na jedného zamestnanca – takáto právna úprava platila pred účinnosťou zákona č. 331/2017 Z. z.</w:t>
      </w:r>
    </w:p>
    <w:p w:rsidR="0079152B" w:rsidRPr="007D0FC3" w:rsidP="005F027D">
      <w:pPr>
        <w:bidi w:val="0"/>
        <w:spacing w:before="120" w:line="276" w:lineRule="auto"/>
        <w:ind w:firstLine="708"/>
        <w:jc w:val="both"/>
        <w:rPr>
          <w:rFonts w:ascii="Book Antiqua" w:hAnsi="Book Antiqua" w:cs="Book Antiqua"/>
          <w:sz w:val="22"/>
          <w:szCs w:val="22"/>
        </w:rPr>
      </w:pPr>
      <w:r w:rsidRPr="007D0FC3">
        <w:rPr>
          <w:rFonts w:ascii="Book Antiqua" w:hAnsi="Book Antiqua" w:cs="Book Antiqua"/>
          <w:sz w:val="22"/>
          <w:szCs w:val="22"/>
        </w:rPr>
        <w:t>Následne sa stanovuje, že ak pôjde o prijímateľov so stupňom odkázanosti III a IV, zvyšuje sa maximálny počet prijímateľov sociálnej služby na jedného zamestnanca v dennom stacionári zo 6 prijímateľov na 9 prijímateľov. Takáto úprava je nevyhnutná pre zachovanie denného stacionára, ktorý v súčasnosti poskytuje sociálne služby. V opačnom prípade náklady denného stacionára prevyšujú jeho príjmy, čo nezadržateľne vedie k zrušeniu a likvidácii denného stacionára.</w:t>
      </w:r>
    </w:p>
    <w:p w:rsidR="005F027D" w:rsidRPr="007D0FC3" w:rsidP="005F027D">
      <w:pPr>
        <w:bidi w:val="0"/>
        <w:spacing w:before="120" w:line="276" w:lineRule="auto"/>
        <w:ind w:firstLine="708"/>
        <w:jc w:val="both"/>
        <w:rPr>
          <w:rFonts w:ascii="Book Antiqua" w:hAnsi="Book Antiqua" w:cs="Book Antiqua"/>
          <w:sz w:val="22"/>
          <w:szCs w:val="22"/>
        </w:rPr>
      </w:pPr>
      <w:r w:rsidRPr="007D0FC3">
        <w:rPr>
          <w:rFonts w:ascii="Book Antiqua" w:hAnsi="Book Antiqua" w:cs="Book Antiqua"/>
          <w:sz w:val="22"/>
          <w:szCs w:val="22"/>
        </w:rPr>
        <w:t xml:space="preserve">Mnohí poskytovatelia sociálnej služby v dennom stacionári budovali túto službu s nemalým úsilím a vynaložením potrebných finančných prostriedkov na zriadenie a registráciu denného stacionára. Z ekonomického hľadiska je však zrejmé, že ak príjmy denného stacionára budú pozostávať z finančných príspevkov len na 6 prijímateľov, resp. 6 zriadených miest a platby na jedného zamestnanca od počtu prijímateľov na 6 zriadených miest, tieto príjmy nepokryjú výdavky denného stacionára ani len v miere nevyhnutných mzdových a prevádzkových nákladov prepočítaných na 6 zriadených miest sociálnej služby s vyšším stupňom odkázanosti, ale v praxi to môže znamenať oveľa viac klientov, ktorí prídu na kratší čas. </w:t>
      </w:r>
    </w:p>
    <w:p w:rsidR="00A03870" w:rsidRPr="007D0FC3" w:rsidP="00A03870">
      <w:pPr>
        <w:bidi w:val="0"/>
        <w:spacing w:before="120" w:line="276" w:lineRule="auto"/>
        <w:jc w:val="both"/>
        <w:rPr>
          <w:rFonts w:ascii="Book Antiqua" w:hAnsi="Book Antiqua"/>
          <w:sz w:val="22"/>
          <w:szCs w:val="22"/>
          <w:u w:val="single"/>
        </w:rPr>
      </w:pPr>
      <w:r w:rsidR="00EB12AE">
        <w:rPr>
          <w:rFonts w:ascii="Book Antiqua" w:hAnsi="Book Antiqua"/>
          <w:sz w:val="22"/>
          <w:szCs w:val="22"/>
          <w:u w:val="single"/>
        </w:rPr>
        <w:t>K bodu 11</w:t>
      </w:r>
    </w:p>
    <w:p w:rsidR="00A03870" w:rsidRPr="007D0FC3" w:rsidP="00A03870">
      <w:pPr>
        <w:bidi w:val="0"/>
        <w:spacing w:before="120" w:line="276" w:lineRule="auto"/>
        <w:ind w:firstLine="708"/>
        <w:jc w:val="both"/>
        <w:rPr>
          <w:rFonts w:ascii="Book Antiqua" w:hAnsi="Book Antiqua"/>
          <w:sz w:val="22"/>
        </w:rPr>
      </w:pPr>
      <w:r w:rsidRPr="007D0FC3">
        <w:rPr>
          <w:rFonts w:ascii="Book Antiqua" w:hAnsi="Book Antiqua"/>
          <w:iCs/>
          <w:sz w:val="22"/>
          <w:lang w:eastAsia="cs-CZ"/>
        </w:rPr>
        <w:t xml:space="preserve">Navrhuje sa, aby samotné znenie tabuľky v prílohe č. 6 </w:t>
      </w:r>
      <w:r w:rsidRPr="007D0FC3" w:rsidR="009C4F7B">
        <w:rPr>
          <w:rFonts w:ascii="Book Antiqua" w:hAnsi="Book Antiqua"/>
          <w:iCs/>
          <w:sz w:val="22"/>
          <w:lang w:eastAsia="cs-CZ"/>
        </w:rPr>
        <w:t>k zákonu</w:t>
      </w:r>
      <w:r w:rsidRPr="007D0FC3">
        <w:rPr>
          <w:rFonts w:ascii="Book Antiqua" w:hAnsi="Book Antiqua"/>
          <w:iCs/>
          <w:sz w:val="22"/>
          <w:lang w:eastAsia="cs-CZ"/>
        </w:rPr>
        <w:t xml:space="preserve"> o sociálnych službách zostalo rovnaké, ale pridala sa poznámka pod tabuľku, v dôsledku ktorej výška finančného príspevku pri poskytovaní ambulantnej služby nebude určená ako 50 % </w:t>
      </w:r>
      <w:r w:rsidRPr="007D0FC3">
        <w:rPr>
          <w:rFonts w:ascii="Book Antiqua" w:hAnsi="Book Antiqua"/>
          <w:sz w:val="22"/>
        </w:rPr>
        <w:t xml:space="preserve">sumy pre pobytovú sociálnu služby pre príslušný stupeň odkázanosti, ale bude diferencovaná v závislosti od začlenenia do skupiny – dieťa, fyzická osoba, ktorá dovŕšila dôchodkový vek a plnoletá fyzická osoba, ktorá nedovŕšila dôchodkový vek. </w:t>
      </w:r>
    </w:p>
    <w:p w:rsidR="00A03870" w:rsidRPr="007D0FC3" w:rsidP="00A03870">
      <w:pPr>
        <w:bidi w:val="0"/>
        <w:spacing w:before="120" w:line="276" w:lineRule="auto"/>
        <w:ind w:firstLine="708"/>
        <w:jc w:val="both"/>
        <w:rPr>
          <w:rFonts w:ascii="Book Antiqua" w:hAnsi="Book Antiqua"/>
          <w:iCs/>
          <w:sz w:val="22"/>
          <w:lang w:eastAsia="cs-CZ"/>
        </w:rPr>
      </w:pPr>
      <w:r w:rsidRPr="007D0FC3">
        <w:rPr>
          <w:rFonts w:ascii="Book Antiqua" w:hAnsi="Book Antiqua"/>
          <w:iCs/>
          <w:sz w:val="22"/>
          <w:lang w:eastAsia="cs-CZ"/>
        </w:rPr>
        <w:t xml:space="preserve">Z toho dôvodu sa v prílohe č. 6 navrhuje určovať nielen vyššiu, ale aj rozdielnu výšku príspevku pre ambulantné sociálne služby dlhodobej starostlivosti, a to v závislosti od toho, či sa táto sociálna služba poskytuje výlučne seniorom (fyzickým osobám, ktoré dovŕšili dôchodkový vek), deťom a plnoletým fyzickým osobám do dôchodkového veku. Výška finančného príspevku pre deti vo veku od 3 do 18 rokov veku sa navrhuje vo výške 100% zo sumy pobytovej služby, pre plnoleté fyzické osoby sa navrhuje vo výške 80 % zo sumy pre pobytovú sociálnu službu pre príslušný stupeň odkázanosti a pre seniorov vo výške 60 % zo sumy pre pobytovú sociálnu službu pre príslušný stupeň odkázanosti. </w:t>
      </w:r>
    </w:p>
    <w:p w:rsidR="00A03870" w:rsidRPr="007D0FC3" w:rsidP="00A03870">
      <w:pPr>
        <w:bidi w:val="0"/>
        <w:spacing w:before="120" w:line="276" w:lineRule="auto"/>
        <w:ind w:firstLine="708"/>
        <w:jc w:val="both"/>
        <w:rPr>
          <w:rFonts w:ascii="Book Antiqua" w:hAnsi="Book Antiqua"/>
          <w:iCs/>
          <w:sz w:val="22"/>
          <w:lang w:eastAsia="cs-CZ"/>
        </w:rPr>
      </w:pPr>
      <w:r w:rsidRPr="007D0FC3">
        <w:rPr>
          <w:rFonts w:ascii="Book Antiqua" w:hAnsi="Book Antiqua"/>
          <w:iCs/>
          <w:sz w:val="22"/>
          <w:lang w:eastAsia="cs-CZ"/>
        </w:rPr>
        <w:t xml:space="preserve">Dôvodom vyššej percentuálnej sumy na služby určené pre deti a aj pre plnoleté fyzické osoby je skutočnosť, že pre túto cieľovú skupinu vzhľadom na prioritný cieľ, ktorým je ich aktivizácia a začlenenie do bežného života, je potrebné vykonávať a zabezpečovať iný rozsah a iný druh odborných činností, ktoré môžu vykonávať len vysoko kvalifikovaní odborníci v požadovanom počte (vychádzajúc aj z personálnych štandardov, ktoré sú vyššie pri starostlivosti o deti). Vzhľadom na to nestačí zamestnávať len opatrovateľov, čo sa následne premietne aj do vyšších nákladov poskytovanej sociálnej služby. </w:t>
      </w:r>
    </w:p>
    <w:p w:rsidR="00A03870" w:rsidRPr="007D0FC3" w:rsidP="00A03870">
      <w:pPr>
        <w:bidi w:val="0"/>
        <w:spacing w:before="120" w:line="276" w:lineRule="auto"/>
        <w:ind w:firstLine="708"/>
        <w:jc w:val="both"/>
        <w:rPr>
          <w:rFonts w:ascii="Book Antiqua" w:hAnsi="Book Antiqua"/>
          <w:iCs/>
          <w:sz w:val="22"/>
          <w:lang w:eastAsia="cs-CZ"/>
        </w:rPr>
      </w:pPr>
      <w:r w:rsidRPr="007D0FC3">
        <w:rPr>
          <w:rFonts w:ascii="Book Antiqua" w:hAnsi="Book Antiqua"/>
          <w:iCs/>
          <w:sz w:val="22"/>
          <w:lang w:eastAsia="cs-CZ"/>
        </w:rPr>
        <w:t xml:space="preserve">Návrh na zvýšenie percentuálnej výšky finančného príspevku </w:t>
      </w:r>
      <w:r w:rsidRPr="007D0FC3" w:rsidR="00F70B03">
        <w:rPr>
          <w:rFonts w:ascii="Book Antiqua" w:hAnsi="Book Antiqua"/>
          <w:iCs/>
          <w:sz w:val="22"/>
          <w:lang w:eastAsia="cs-CZ"/>
        </w:rPr>
        <w:t xml:space="preserve">pre ambulantné sociálne služby </w:t>
      </w:r>
      <w:r w:rsidRPr="007D0FC3">
        <w:rPr>
          <w:rFonts w:ascii="Book Antiqua" w:hAnsi="Book Antiqua"/>
          <w:iCs/>
          <w:sz w:val="22"/>
          <w:lang w:eastAsia="cs-CZ"/>
        </w:rPr>
        <w:t xml:space="preserve">vychádza z predpokladu, že rovnako ako pri pobytovej sociálnej službe, ak sa poskytuje klientovi pomoc pri úkonoch sebaobsluhy, poskytuje sa mu rovnako len v rozsahu, ktorý zodpovedá stupňu jeho odkázanosti napr. v stupni V je to 8 až 12 hodín. Z toho dôvodu  nie je možné súhlasiť s argumentom, že ak je klient umiestnený v celoročnom zariadení, tak sa mu poskytuje 24 hodinová starostlivosť a preto výška príspevku má byť 100 %, ale v ambulantnej sociálnej službe len 50 %. Napríklad klient, ktorý má V stupeň odkázanosti, potrebuje starostlivosť v rozsahu 8 až 12 hodín, a to bez ohľadu na to, či je v celoročnej pobytovej službe alebo v ambulantnej sociálnej službe, kde sa mu poskytuje starostlivosť tiež minimálne v rozsahu 8 hodín. Preto nevidíme dôvod, aby sa výška príspevku odvíjala od percentilu 50. Navyše pre mnohých poskytovateľov ambulantných služieb navrhovaná výška finančného príspevku, ktorá sa odvíja od 50 % zo sumy pre pobytovú sociálnu službu pre príslušný stupeň odkázanosti, bude znamenať likvidáciu, pretože z tejto sumy nie sú schopní zabezpečovať kvalitnú sociálnu službu s požadovaným počtom odborných zamestnancov. </w:t>
      </w:r>
    </w:p>
    <w:p w:rsidR="006A2058" w:rsidRPr="007D0FC3" w:rsidP="0074499A">
      <w:pPr>
        <w:bidi w:val="0"/>
        <w:spacing w:before="120" w:line="276" w:lineRule="auto"/>
        <w:jc w:val="both"/>
        <w:rPr>
          <w:rFonts w:ascii="Book Antiqua" w:hAnsi="Book Antiqua"/>
          <w:b/>
          <w:sz w:val="22"/>
          <w:szCs w:val="22"/>
        </w:rPr>
      </w:pPr>
    </w:p>
    <w:p w:rsidR="00D128E3" w:rsidRPr="007D0FC3" w:rsidP="0074499A">
      <w:pPr>
        <w:bidi w:val="0"/>
        <w:spacing w:before="120" w:line="276" w:lineRule="auto"/>
        <w:jc w:val="both"/>
        <w:rPr>
          <w:rFonts w:ascii="Book Antiqua" w:hAnsi="Book Antiqua"/>
          <w:b/>
          <w:sz w:val="22"/>
          <w:szCs w:val="22"/>
        </w:rPr>
      </w:pPr>
      <w:r w:rsidRPr="007D0FC3">
        <w:rPr>
          <w:rFonts w:ascii="Book Antiqua" w:hAnsi="Book Antiqua"/>
          <w:b/>
          <w:sz w:val="22"/>
          <w:szCs w:val="22"/>
        </w:rPr>
        <w:t>K Čl. II</w:t>
      </w:r>
    </w:p>
    <w:p w:rsidR="00D128E3" w:rsidRPr="003F4036" w:rsidP="003F4036">
      <w:pPr>
        <w:pStyle w:val="NormalWeb"/>
        <w:bidi w:val="0"/>
        <w:spacing w:before="120" w:beforeAutospacing="0" w:after="0" w:afterAutospacing="0" w:line="276" w:lineRule="auto"/>
        <w:ind w:firstLine="708"/>
        <w:jc w:val="both"/>
        <w:rPr>
          <w:rFonts w:ascii="Book Antiqua" w:hAnsi="Book Antiqua"/>
          <w:b/>
          <w:bCs/>
          <w:caps/>
          <w:color w:val="000000"/>
          <w:spacing w:val="30"/>
          <w:sz w:val="22"/>
          <w:szCs w:val="22"/>
        </w:rPr>
      </w:pPr>
      <w:r w:rsidRPr="007D0FC3">
        <w:rPr>
          <w:rFonts w:ascii="Book Antiqua" w:hAnsi="Book Antiqua"/>
          <w:bCs/>
          <w:sz w:val="22"/>
          <w:szCs w:val="22"/>
        </w:rPr>
        <w:t>Navrhuje sa účinnosť predkladaného návrhu zákona so zohľadnením potrebnej dĺžky legisvakančnej lehoty na</w:t>
      </w:r>
      <w:r w:rsidRPr="007D0FC3">
        <w:rPr>
          <w:rFonts w:ascii="Book Antiqua" w:hAnsi="Book Antiqua"/>
          <w:sz w:val="22"/>
          <w:szCs w:val="22"/>
        </w:rPr>
        <w:t xml:space="preserve"> 1. </w:t>
      </w:r>
      <w:r w:rsidRPr="007D0FC3" w:rsidR="00A66B08">
        <w:rPr>
          <w:rFonts w:ascii="Book Antiqua" w:hAnsi="Book Antiqua"/>
          <w:sz w:val="22"/>
          <w:szCs w:val="22"/>
        </w:rPr>
        <w:t>júla</w:t>
      </w:r>
      <w:r w:rsidRPr="007D0FC3" w:rsidR="007E1711">
        <w:rPr>
          <w:rFonts w:ascii="Book Antiqua" w:hAnsi="Book Antiqua"/>
          <w:sz w:val="22"/>
          <w:szCs w:val="22"/>
        </w:rPr>
        <w:t xml:space="preserve"> 2018</w:t>
      </w:r>
      <w:r w:rsidR="003F4036">
        <w:rPr>
          <w:rFonts w:ascii="Book Antiqua" w:hAnsi="Book Antiqua"/>
          <w:sz w:val="22"/>
          <w:szCs w:val="22"/>
        </w:rPr>
        <w:t>.</w:t>
      </w:r>
    </w:p>
    <w:p w:rsidR="00551C55">
      <w:pPr>
        <w:bidi w:val="0"/>
        <w:spacing w:after="160" w:line="259" w:lineRule="auto"/>
        <w:rPr>
          <w:rFonts w:ascii="Book Antiqua" w:hAnsi="Book Antiqua"/>
          <w:b/>
          <w:bCs/>
          <w:caps/>
          <w:spacing w:val="30"/>
          <w:sz w:val="22"/>
          <w:szCs w:val="22"/>
        </w:rPr>
      </w:pPr>
      <w:r>
        <w:rPr>
          <w:rFonts w:ascii="Book Antiqua" w:hAnsi="Book Antiqua"/>
          <w:b/>
          <w:bCs/>
          <w:caps/>
          <w:spacing w:val="30"/>
          <w:sz w:val="22"/>
          <w:szCs w:val="22"/>
        </w:rPr>
        <w:br w:type="page"/>
      </w:r>
    </w:p>
    <w:p w:rsidR="00D128E3" w:rsidRPr="007D0FC3" w:rsidP="0074499A">
      <w:pPr>
        <w:pStyle w:val="NormalWeb"/>
        <w:bidi w:val="0"/>
        <w:spacing w:before="120" w:beforeAutospacing="0" w:after="0" w:afterAutospacing="0" w:line="276" w:lineRule="auto"/>
        <w:jc w:val="center"/>
        <w:rPr>
          <w:rFonts w:ascii="Book Antiqua" w:hAnsi="Book Antiqua"/>
          <w:sz w:val="22"/>
          <w:szCs w:val="22"/>
        </w:rPr>
      </w:pPr>
      <w:r w:rsidRPr="007D0FC3">
        <w:rPr>
          <w:rFonts w:ascii="Book Antiqua" w:hAnsi="Book Antiqua"/>
          <w:b/>
          <w:bCs/>
          <w:caps/>
          <w:spacing w:val="30"/>
          <w:sz w:val="22"/>
          <w:szCs w:val="22"/>
        </w:rPr>
        <w:t>DOLOŽKA ZLUČITEĽNO</w:t>
      </w:r>
      <w:bookmarkStart w:id="0" w:name="_GoBack"/>
      <w:bookmarkEnd w:id="0"/>
      <w:r w:rsidRPr="007D0FC3">
        <w:rPr>
          <w:rFonts w:ascii="Book Antiqua" w:hAnsi="Book Antiqua"/>
          <w:b/>
          <w:bCs/>
          <w:caps/>
          <w:spacing w:val="30"/>
          <w:sz w:val="22"/>
          <w:szCs w:val="22"/>
        </w:rPr>
        <w:t>STI</w:t>
      </w:r>
    </w:p>
    <w:p w:rsidR="00D128E3" w:rsidRPr="007D0FC3" w:rsidP="0074499A">
      <w:pPr>
        <w:pStyle w:val="NormalWeb"/>
        <w:bidi w:val="0"/>
        <w:spacing w:before="120" w:beforeAutospacing="0" w:after="0" w:afterAutospacing="0" w:line="276" w:lineRule="auto"/>
        <w:jc w:val="center"/>
        <w:rPr>
          <w:rFonts w:ascii="Book Antiqua" w:hAnsi="Book Antiqua"/>
          <w:sz w:val="22"/>
          <w:szCs w:val="22"/>
        </w:rPr>
      </w:pPr>
      <w:r w:rsidRPr="007D0FC3">
        <w:rPr>
          <w:rFonts w:ascii="Book Antiqua" w:hAnsi="Book Antiqua"/>
          <w:b/>
          <w:bCs/>
          <w:sz w:val="22"/>
          <w:szCs w:val="22"/>
        </w:rPr>
        <w:t>návrhu zákona</w:t>
      </w:r>
      <w:r w:rsidRPr="007D0FC3">
        <w:rPr>
          <w:rFonts w:ascii="Book Antiqua" w:hAnsi="Book Antiqua"/>
          <w:sz w:val="22"/>
          <w:szCs w:val="22"/>
        </w:rPr>
        <w:t xml:space="preserve"> </w:t>
      </w:r>
      <w:r w:rsidRPr="007D0FC3">
        <w:rPr>
          <w:rFonts w:ascii="Book Antiqua" w:hAnsi="Book Antiqua"/>
          <w:b/>
          <w:bCs/>
          <w:sz w:val="22"/>
          <w:szCs w:val="22"/>
        </w:rPr>
        <w:t>s právom Európskej únie</w:t>
      </w:r>
    </w:p>
    <w:p w:rsidR="00D128E3" w:rsidRPr="007D0FC3" w:rsidP="0074499A">
      <w:pPr>
        <w:pStyle w:val="NormalWeb"/>
        <w:bidi w:val="0"/>
        <w:spacing w:before="120" w:beforeAutospacing="0" w:after="0" w:afterAutospacing="0" w:line="276" w:lineRule="auto"/>
        <w:jc w:val="both"/>
        <w:rPr>
          <w:rFonts w:ascii="Book Antiqua" w:hAnsi="Book Antiqua"/>
          <w:sz w:val="22"/>
          <w:szCs w:val="22"/>
        </w:rPr>
      </w:pPr>
      <w:r w:rsidRPr="007D0FC3">
        <w:rPr>
          <w:rFonts w:ascii="Book Antiqua" w:hAnsi="Book Antiqua"/>
          <w:sz w:val="22"/>
          <w:szCs w:val="22"/>
        </w:rPr>
        <w:t> </w:t>
      </w:r>
    </w:p>
    <w:p w:rsidR="00D128E3" w:rsidRPr="007D0FC3" w:rsidP="0074499A">
      <w:pPr>
        <w:pStyle w:val="NormalWeb"/>
        <w:bidi w:val="0"/>
        <w:spacing w:before="120" w:beforeAutospacing="0" w:after="0" w:afterAutospacing="0" w:line="276" w:lineRule="auto"/>
        <w:jc w:val="both"/>
        <w:rPr>
          <w:rFonts w:ascii="Book Antiqua" w:hAnsi="Book Antiqua"/>
          <w:color w:val="FF0000"/>
          <w:sz w:val="22"/>
          <w:szCs w:val="22"/>
        </w:rPr>
      </w:pPr>
      <w:r w:rsidRPr="007D0FC3">
        <w:rPr>
          <w:rFonts w:ascii="Book Antiqua" w:hAnsi="Book Antiqua"/>
          <w:b/>
          <w:bCs/>
          <w:sz w:val="22"/>
          <w:szCs w:val="22"/>
        </w:rPr>
        <w:t>1. Navrhovateľ zákona:</w:t>
      </w:r>
      <w:r w:rsidRPr="007D0FC3">
        <w:rPr>
          <w:rFonts w:ascii="Book Antiqua" w:hAnsi="Book Antiqua"/>
          <w:sz w:val="22"/>
          <w:szCs w:val="22"/>
        </w:rPr>
        <w:t xml:space="preserve"> </w:t>
      </w:r>
      <w:r w:rsidRPr="007D0FC3" w:rsidR="00766CDE">
        <w:rPr>
          <w:rFonts w:ascii="Book Antiqua" w:hAnsi="Book Antiqua"/>
          <w:sz w:val="22"/>
          <w:szCs w:val="22"/>
        </w:rPr>
        <w:t>skupina poslancov</w:t>
      </w:r>
      <w:r w:rsidRPr="007D0FC3">
        <w:rPr>
          <w:rFonts w:ascii="Book Antiqua" w:hAnsi="Book Antiqua"/>
          <w:sz w:val="22"/>
          <w:szCs w:val="22"/>
        </w:rPr>
        <w:t xml:space="preserve"> Národnej rady Slovenskej repub</w:t>
      </w:r>
      <w:r w:rsidRPr="007D0FC3" w:rsidR="00766CDE">
        <w:rPr>
          <w:rFonts w:ascii="Book Antiqua" w:hAnsi="Book Antiqua"/>
          <w:sz w:val="22"/>
          <w:szCs w:val="22"/>
        </w:rPr>
        <w:t>liky</w:t>
      </w:r>
    </w:p>
    <w:p w:rsidR="00D128E3" w:rsidRPr="007D0FC3" w:rsidP="0074499A">
      <w:pPr>
        <w:pStyle w:val="NormalWeb"/>
        <w:bidi w:val="0"/>
        <w:spacing w:before="120" w:beforeAutospacing="0" w:after="0" w:afterAutospacing="0" w:line="276" w:lineRule="auto"/>
        <w:jc w:val="both"/>
        <w:rPr>
          <w:rFonts w:ascii="Book Antiqua" w:hAnsi="Book Antiqua"/>
          <w:sz w:val="22"/>
          <w:szCs w:val="22"/>
        </w:rPr>
      </w:pPr>
    </w:p>
    <w:p w:rsidR="00D128E3" w:rsidRPr="007D0FC3" w:rsidP="0074499A">
      <w:pPr>
        <w:pStyle w:val="NormalWeb"/>
        <w:bidi w:val="0"/>
        <w:spacing w:before="120" w:beforeAutospacing="0" w:after="0" w:afterAutospacing="0" w:line="276" w:lineRule="auto"/>
        <w:jc w:val="both"/>
        <w:rPr>
          <w:rFonts w:ascii="Book Antiqua" w:hAnsi="Book Antiqua"/>
          <w:sz w:val="22"/>
          <w:szCs w:val="22"/>
        </w:rPr>
      </w:pPr>
      <w:r w:rsidRPr="007D0FC3">
        <w:rPr>
          <w:rFonts w:ascii="Book Antiqua" w:hAnsi="Book Antiqua"/>
          <w:b/>
          <w:bCs/>
          <w:sz w:val="22"/>
          <w:szCs w:val="22"/>
        </w:rPr>
        <w:t>2. Názov návrhu zákona:</w:t>
      </w:r>
      <w:r w:rsidRPr="007D0FC3">
        <w:rPr>
          <w:rFonts w:ascii="Book Antiqua" w:hAnsi="Book Antiqua"/>
          <w:sz w:val="22"/>
          <w:szCs w:val="22"/>
        </w:rPr>
        <w:t xml:space="preserve"> </w:t>
      </w:r>
      <w:r w:rsidRPr="007D0FC3" w:rsidR="00A66B08">
        <w:rPr>
          <w:rFonts w:ascii="Book Antiqua" w:hAnsi="Book Antiqua"/>
          <w:sz w:val="22"/>
          <w:szCs w:val="22"/>
        </w:rPr>
        <w:t xml:space="preserve">návrh zákona, ktorým sa mení a dopĺňa </w:t>
      </w:r>
      <w:r w:rsidRPr="007D0FC3" w:rsidR="00A66B08">
        <w:rPr>
          <w:rFonts w:ascii="Book Antiqua" w:hAnsi="Book Antiqua"/>
          <w:bCs/>
          <w:iCs/>
          <w:sz w:val="22"/>
          <w:szCs w:val="22"/>
          <w:lang w:eastAsia="cs-CZ"/>
        </w:rPr>
        <w:t xml:space="preserve">zákon č. </w:t>
      </w:r>
      <w:r w:rsidRPr="007D0FC3" w:rsidR="00A66B08">
        <w:rPr>
          <w:rFonts w:ascii="Book Antiqua" w:hAnsi="Book Antiqua"/>
          <w:bCs/>
          <w:sz w:val="22"/>
          <w:szCs w:val="22"/>
        </w:rPr>
        <w:t>448/2008 Z. z. o sociálnych službách a o zmene a doplnení zákona č. 455/1991 Zb. o živnostenskom podnikaní (živnostenský zákon) v znení neskorších predpisov</w:t>
      </w:r>
    </w:p>
    <w:p w:rsidR="00766CDE" w:rsidRPr="007D0FC3" w:rsidP="0074499A">
      <w:pPr>
        <w:pStyle w:val="NormalWeb"/>
        <w:bidi w:val="0"/>
        <w:spacing w:before="120" w:beforeAutospacing="0" w:after="0" w:afterAutospacing="0" w:line="276" w:lineRule="auto"/>
        <w:jc w:val="both"/>
        <w:rPr>
          <w:rFonts w:ascii="Book Antiqua" w:hAnsi="Book Antiqua"/>
          <w:b/>
          <w:bCs/>
          <w:sz w:val="22"/>
          <w:szCs w:val="22"/>
        </w:rPr>
      </w:pPr>
    </w:p>
    <w:p w:rsidR="00D128E3" w:rsidRPr="007D0FC3" w:rsidP="0074499A">
      <w:pPr>
        <w:pStyle w:val="NormalWeb"/>
        <w:bidi w:val="0"/>
        <w:spacing w:before="120" w:beforeAutospacing="0" w:after="0" w:afterAutospacing="0" w:line="276" w:lineRule="auto"/>
        <w:jc w:val="both"/>
        <w:rPr>
          <w:rFonts w:ascii="Book Antiqua" w:hAnsi="Book Antiqua"/>
          <w:b/>
          <w:bCs/>
          <w:sz w:val="22"/>
          <w:szCs w:val="22"/>
        </w:rPr>
      </w:pPr>
      <w:r w:rsidRPr="007D0FC3">
        <w:rPr>
          <w:rFonts w:ascii="Book Antiqua" w:hAnsi="Book Antiqua"/>
          <w:b/>
          <w:bCs/>
          <w:sz w:val="22"/>
          <w:szCs w:val="22"/>
        </w:rPr>
        <w:t>3. Predmet návrhu zákona:</w:t>
      </w:r>
    </w:p>
    <w:p w:rsidR="00402884" w:rsidRPr="007D0FC3" w:rsidP="00402884">
      <w:pPr>
        <w:pStyle w:val="NormalWeb"/>
        <w:numPr>
          <w:numId w:val="1"/>
        </w:numPr>
        <w:bidi w:val="0"/>
        <w:spacing w:before="120" w:beforeAutospacing="0" w:after="0" w:afterAutospacing="0" w:line="276" w:lineRule="auto"/>
        <w:jc w:val="both"/>
        <w:rPr>
          <w:rFonts w:ascii="Book Antiqua" w:hAnsi="Book Antiqua" w:cs="Book Antiqua"/>
          <w:sz w:val="22"/>
          <w:szCs w:val="22"/>
        </w:rPr>
      </w:pPr>
      <w:r w:rsidRPr="007D0FC3">
        <w:rPr>
          <w:rFonts w:ascii="Book Antiqua" w:hAnsi="Book Antiqua" w:cs="Book Antiqua"/>
          <w:sz w:val="22"/>
          <w:szCs w:val="22"/>
        </w:rPr>
        <w:t>je upravený v primárnom práve Európskej únie, a to v článkoch 151 a 153 (sociálna politika) Zmluvy o fungovaní Európskej únie a články 24 (práva dieťaťa), 25 (práva starších osôb) a 34 (sociálne zabezpečenie a sociálna pomoc) Charty základných práv Európskej únie,</w:t>
      </w:r>
    </w:p>
    <w:p w:rsidR="00D128E3" w:rsidRPr="007D0FC3" w:rsidP="0074499A">
      <w:pPr>
        <w:pStyle w:val="NormalWeb"/>
        <w:numPr>
          <w:numId w:val="1"/>
        </w:numPr>
        <w:bidi w:val="0"/>
        <w:spacing w:before="120" w:beforeAutospacing="0" w:after="0" w:afterAutospacing="0" w:line="276" w:lineRule="auto"/>
        <w:jc w:val="both"/>
        <w:rPr>
          <w:rFonts w:ascii="Book Antiqua" w:hAnsi="Book Antiqua"/>
          <w:bCs/>
          <w:sz w:val="22"/>
          <w:szCs w:val="22"/>
        </w:rPr>
      </w:pPr>
      <w:r w:rsidRPr="007D0FC3">
        <w:rPr>
          <w:rFonts w:ascii="Book Antiqua" w:hAnsi="Book Antiqua"/>
          <w:bCs/>
          <w:sz w:val="22"/>
          <w:szCs w:val="22"/>
        </w:rPr>
        <w:t>nie je upravený v sekundárnom práve Európskej únie,</w:t>
      </w:r>
    </w:p>
    <w:p w:rsidR="00402884" w:rsidRPr="007D0FC3" w:rsidP="00402884">
      <w:pPr>
        <w:pStyle w:val="NormalWeb"/>
        <w:numPr>
          <w:numId w:val="1"/>
        </w:numPr>
        <w:bidi w:val="0"/>
        <w:spacing w:before="120" w:beforeAutospacing="0" w:after="0" w:afterAutospacing="0" w:line="276" w:lineRule="auto"/>
        <w:jc w:val="both"/>
        <w:rPr>
          <w:rFonts w:ascii="Book Antiqua" w:hAnsi="Book Antiqua"/>
          <w:bCs/>
          <w:sz w:val="22"/>
          <w:szCs w:val="22"/>
        </w:rPr>
      </w:pPr>
      <w:r w:rsidRPr="007D0FC3" w:rsidR="00D128E3">
        <w:rPr>
          <w:rFonts w:ascii="Book Antiqua" w:hAnsi="Book Antiqua"/>
          <w:bCs/>
          <w:sz w:val="22"/>
          <w:szCs w:val="22"/>
        </w:rPr>
        <w:t>nie je obsiahnutý v judikatúre Súdneho dvora Európskej únie.</w:t>
      </w:r>
      <w:r w:rsidRPr="007D0FC3" w:rsidR="00D128E3">
        <w:rPr>
          <w:rFonts w:ascii="Book Antiqua" w:hAnsi="Book Antiqua"/>
          <w:sz w:val="22"/>
          <w:szCs w:val="22"/>
        </w:rPr>
        <w:t> </w:t>
      </w:r>
    </w:p>
    <w:p w:rsidR="00402884" w:rsidRPr="007D0FC3" w:rsidP="00402884">
      <w:pPr>
        <w:pStyle w:val="NormalWeb"/>
        <w:bidi w:val="0"/>
        <w:spacing w:before="120" w:beforeAutospacing="0" w:after="0" w:afterAutospacing="0" w:line="276" w:lineRule="auto"/>
        <w:ind w:left="720"/>
        <w:jc w:val="both"/>
        <w:rPr>
          <w:rFonts w:ascii="Book Antiqua" w:hAnsi="Book Antiqua"/>
          <w:bCs/>
          <w:sz w:val="22"/>
          <w:szCs w:val="22"/>
        </w:rPr>
      </w:pPr>
    </w:p>
    <w:p w:rsidR="00402884" w:rsidRPr="007D0FC3" w:rsidP="00402884">
      <w:pPr>
        <w:pStyle w:val="NormalWeb"/>
        <w:bidi w:val="0"/>
        <w:spacing w:before="120" w:beforeAutospacing="0" w:after="0" w:afterAutospacing="0" w:line="276" w:lineRule="auto"/>
        <w:jc w:val="both"/>
        <w:rPr>
          <w:rFonts w:ascii="Book Antiqua" w:hAnsi="Book Antiqua" w:cs="Book Antiqua"/>
          <w:b/>
          <w:bCs/>
          <w:sz w:val="22"/>
          <w:szCs w:val="22"/>
        </w:rPr>
      </w:pPr>
      <w:r w:rsidRPr="007D0FC3">
        <w:rPr>
          <w:rFonts w:ascii="Book Antiqua" w:hAnsi="Book Antiqua" w:cs="Book Antiqua"/>
          <w:b/>
          <w:bCs/>
          <w:sz w:val="22"/>
          <w:szCs w:val="22"/>
        </w:rPr>
        <w:t>4. Záväzky Slovenskej republiky vo vzťahu k Európskej únii:</w:t>
      </w:r>
    </w:p>
    <w:p w:rsidR="00402884" w:rsidRPr="007D0FC3" w:rsidP="00402884">
      <w:pPr>
        <w:pStyle w:val="NormalWeb"/>
        <w:numPr>
          <w:numId w:val="2"/>
        </w:numPr>
        <w:bidi w:val="0"/>
        <w:spacing w:before="120" w:beforeAutospacing="0" w:after="0" w:afterAutospacing="0" w:line="276" w:lineRule="auto"/>
        <w:jc w:val="both"/>
        <w:rPr>
          <w:rFonts w:ascii="Book Antiqua" w:hAnsi="Book Antiqua" w:cs="Book Antiqua"/>
          <w:sz w:val="22"/>
          <w:szCs w:val="22"/>
        </w:rPr>
      </w:pPr>
      <w:r w:rsidRPr="007D0FC3">
        <w:rPr>
          <w:rFonts w:ascii="Book Antiqua" w:hAnsi="Book Antiqua" w:cs="Book Antiqua"/>
          <w:sz w:val="22"/>
          <w:szCs w:val="22"/>
        </w:rPr>
        <w:t>lehota na transpozíciu: bezpredmetné,</w:t>
      </w:r>
    </w:p>
    <w:p w:rsidR="00402884" w:rsidRPr="007D0FC3" w:rsidP="00402884">
      <w:pPr>
        <w:pStyle w:val="NormalWeb"/>
        <w:numPr>
          <w:numId w:val="2"/>
        </w:numPr>
        <w:bidi w:val="0"/>
        <w:spacing w:before="120" w:beforeAutospacing="0" w:after="0" w:afterAutospacing="0" w:line="276" w:lineRule="auto"/>
        <w:jc w:val="both"/>
        <w:rPr>
          <w:rFonts w:ascii="Book Antiqua" w:hAnsi="Book Antiqua" w:cs="Book Antiqua"/>
          <w:sz w:val="22"/>
          <w:szCs w:val="22"/>
        </w:rPr>
      </w:pPr>
      <w:r w:rsidRPr="007D0FC3">
        <w:rPr>
          <w:rFonts w:ascii="Book Antiqua" w:hAnsi="Book Antiqua" w:cs="Book Antiqua"/>
          <w:sz w:val="22"/>
          <w:szCs w:val="22"/>
        </w:rPr>
        <w:t>v danej oblasti nebol proti Slovenskej republike začatý postup Európskej komisie a ani konanie Súdneho dvora Európskej únie podľa článkov 258 až 260 Zmluvy o fungovaní Európskej únie,</w:t>
      </w:r>
    </w:p>
    <w:p w:rsidR="00402884" w:rsidRPr="007D0FC3" w:rsidP="00402884">
      <w:pPr>
        <w:pStyle w:val="NormalWeb"/>
        <w:numPr>
          <w:numId w:val="2"/>
        </w:numPr>
        <w:bidi w:val="0"/>
        <w:spacing w:before="120" w:beforeAutospacing="0" w:after="0" w:afterAutospacing="0" w:line="276" w:lineRule="auto"/>
        <w:jc w:val="both"/>
        <w:rPr>
          <w:rFonts w:ascii="Book Antiqua" w:hAnsi="Book Antiqua" w:cs="Book Antiqua"/>
          <w:sz w:val="22"/>
          <w:szCs w:val="22"/>
        </w:rPr>
      </w:pPr>
      <w:r w:rsidRPr="007D0FC3">
        <w:rPr>
          <w:rFonts w:ascii="Book Antiqua" w:hAnsi="Book Antiqua" w:cs="Book Antiqua"/>
          <w:sz w:val="22"/>
          <w:szCs w:val="22"/>
        </w:rPr>
        <w:t>smernice boli prebraté do týchto právnych predpisov: bezpredmetné.</w:t>
      </w:r>
    </w:p>
    <w:p w:rsidR="00402884" w:rsidRPr="007D0FC3" w:rsidP="00402884">
      <w:pPr>
        <w:pStyle w:val="NormalWeb"/>
        <w:bidi w:val="0"/>
        <w:spacing w:before="120" w:beforeAutospacing="0" w:after="0" w:afterAutospacing="0" w:line="276" w:lineRule="auto"/>
        <w:rPr>
          <w:rFonts w:ascii="Book Antiqua" w:hAnsi="Book Antiqua" w:cs="Book Antiqua"/>
          <w:sz w:val="22"/>
          <w:szCs w:val="22"/>
        </w:rPr>
      </w:pPr>
    </w:p>
    <w:p w:rsidR="00402884" w:rsidRPr="007D0FC3" w:rsidP="00402884">
      <w:pPr>
        <w:pStyle w:val="NormalWeb"/>
        <w:bidi w:val="0"/>
        <w:spacing w:before="120" w:beforeAutospacing="0" w:after="0" w:afterAutospacing="0" w:line="276" w:lineRule="auto"/>
        <w:jc w:val="both"/>
        <w:rPr>
          <w:rFonts w:ascii="Book Antiqua" w:hAnsi="Book Antiqua" w:cs="Book Antiqua"/>
          <w:b/>
          <w:bCs/>
          <w:sz w:val="22"/>
          <w:szCs w:val="22"/>
        </w:rPr>
      </w:pPr>
      <w:r w:rsidRPr="007D0FC3">
        <w:rPr>
          <w:rFonts w:ascii="Book Antiqua" w:hAnsi="Book Antiqua" w:cs="Book Antiqua"/>
          <w:b/>
          <w:bCs/>
          <w:sz w:val="22"/>
          <w:szCs w:val="22"/>
        </w:rPr>
        <w:t>5. Návrh zákona je zlučiteľný s právom Európskej únie</w:t>
      </w:r>
    </w:p>
    <w:p w:rsidR="00402884" w:rsidRPr="007D0FC3" w:rsidP="00402884">
      <w:pPr>
        <w:pStyle w:val="NormalWeb"/>
        <w:bidi w:val="0"/>
        <w:spacing w:before="120" w:beforeAutospacing="0" w:after="0" w:afterAutospacing="0" w:line="276" w:lineRule="auto"/>
        <w:rPr>
          <w:rFonts w:ascii="Book Antiqua" w:hAnsi="Book Antiqua" w:cs="Book Antiqua"/>
          <w:sz w:val="22"/>
          <w:szCs w:val="22"/>
        </w:rPr>
      </w:pPr>
      <w:r w:rsidRPr="007D0FC3">
        <w:rPr>
          <w:rFonts w:ascii="Book Antiqua" w:hAnsi="Book Antiqua" w:cs="Book Antiqua"/>
          <w:sz w:val="22"/>
          <w:szCs w:val="22"/>
        </w:rPr>
        <w:t>- úplne.</w:t>
      </w:r>
    </w:p>
    <w:p w:rsidR="00402884" w:rsidRPr="007D0FC3" w:rsidP="00402884">
      <w:pPr>
        <w:pStyle w:val="NormalWeb"/>
        <w:bidi w:val="0"/>
        <w:spacing w:before="120" w:beforeAutospacing="0" w:after="0" w:afterAutospacing="0" w:line="276" w:lineRule="auto"/>
        <w:rPr>
          <w:rFonts w:ascii="Book Antiqua" w:hAnsi="Book Antiqua" w:cs="Book Antiqua"/>
          <w:sz w:val="22"/>
          <w:szCs w:val="22"/>
        </w:rPr>
      </w:pPr>
    </w:p>
    <w:p w:rsidR="00402884" w:rsidRPr="007D0FC3" w:rsidP="00402884">
      <w:pPr>
        <w:pStyle w:val="NormalWeb"/>
        <w:bidi w:val="0"/>
        <w:spacing w:before="120" w:beforeAutospacing="0" w:after="0" w:afterAutospacing="0" w:line="276" w:lineRule="auto"/>
        <w:jc w:val="both"/>
        <w:rPr>
          <w:rFonts w:ascii="Book Antiqua" w:hAnsi="Book Antiqua" w:cs="Book Antiqua"/>
          <w:b/>
          <w:bCs/>
          <w:sz w:val="22"/>
          <w:szCs w:val="22"/>
        </w:rPr>
      </w:pPr>
    </w:p>
    <w:p w:rsidR="00D128E3" w:rsidRPr="007D0FC3" w:rsidP="0074499A">
      <w:pPr>
        <w:bidi w:val="0"/>
        <w:spacing w:before="120" w:line="276" w:lineRule="auto"/>
        <w:jc w:val="both"/>
        <w:rPr>
          <w:rFonts w:ascii="Book Antiqua" w:hAnsi="Book Antiqua"/>
          <w:b/>
          <w:bCs/>
          <w:sz w:val="22"/>
          <w:szCs w:val="22"/>
        </w:rPr>
      </w:pPr>
      <w:r w:rsidRPr="007D0FC3">
        <w:rPr>
          <w:rFonts w:ascii="Book Antiqua" w:hAnsi="Book Antiqua"/>
          <w:b/>
          <w:bCs/>
          <w:sz w:val="22"/>
          <w:szCs w:val="22"/>
        </w:rPr>
        <w:tab/>
      </w:r>
    </w:p>
    <w:p w:rsidR="00D128E3" w:rsidRPr="007D0FC3" w:rsidP="0074499A">
      <w:pPr>
        <w:bidi w:val="0"/>
        <w:spacing w:before="120" w:line="276" w:lineRule="auto"/>
        <w:ind w:left="360"/>
        <w:jc w:val="both"/>
        <w:rPr>
          <w:rFonts w:ascii="Book Antiqua" w:hAnsi="Book Antiqua"/>
          <w:b/>
          <w:bCs/>
          <w:sz w:val="22"/>
          <w:szCs w:val="22"/>
        </w:rPr>
      </w:pPr>
    </w:p>
    <w:p w:rsidR="00D128E3" w:rsidRPr="007D0FC3" w:rsidP="0074499A">
      <w:pPr>
        <w:bidi w:val="0"/>
        <w:spacing w:before="120" w:line="276" w:lineRule="auto"/>
        <w:jc w:val="center"/>
        <w:rPr>
          <w:rFonts w:ascii="Book Antiqua" w:hAnsi="Book Antiqua"/>
          <w:b/>
          <w:bCs/>
          <w:caps/>
          <w:color w:val="000000"/>
          <w:spacing w:val="30"/>
          <w:sz w:val="22"/>
          <w:szCs w:val="22"/>
        </w:rPr>
      </w:pPr>
    </w:p>
    <w:p w:rsidR="00D128E3" w:rsidRPr="007D0FC3" w:rsidP="0074499A">
      <w:pPr>
        <w:bidi w:val="0"/>
        <w:spacing w:before="120" w:line="276" w:lineRule="auto"/>
        <w:jc w:val="center"/>
        <w:rPr>
          <w:rFonts w:ascii="Book Antiqua" w:hAnsi="Book Antiqua"/>
          <w:b/>
          <w:bCs/>
          <w:caps/>
          <w:color w:val="000000"/>
          <w:spacing w:val="30"/>
          <w:sz w:val="22"/>
          <w:szCs w:val="22"/>
        </w:rPr>
      </w:pPr>
    </w:p>
    <w:p w:rsidR="00D128E3" w:rsidRPr="007D0FC3" w:rsidP="0074499A">
      <w:pPr>
        <w:bidi w:val="0"/>
        <w:spacing w:before="120" w:line="276" w:lineRule="auto"/>
        <w:jc w:val="center"/>
        <w:rPr>
          <w:rFonts w:ascii="Book Antiqua" w:hAnsi="Book Antiqua"/>
          <w:b/>
          <w:bCs/>
          <w:caps/>
          <w:color w:val="000000"/>
          <w:spacing w:val="30"/>
          <w:sz w:val="22"/>
          <w:szCs w:val="22"/>
        </w:rPr>
      </w:pPr>
    </w:p>
    <w:p w:rsidR="00D128E3" w:rsidRPr="007D0FC3" w:rsidP="003F4036">
      <w:pPr>
        <w:bidi w:val="0"/>
        <w:spacing w:before="120" w:line="276" w:lineRule="auto"/>
        <w:rPr>
          <w:rFonts w:ascii="Book Antiqua" w:hAnsi="Book Antiqua"/>
          <w:b/>
          <w:bCs/>
          <w:caps/>
          <w:color w:val="000000"/>
          <w:spacing w:val="30"/>
          <w:sz w:val="22"/>
          <w:szCs w:val="22"/>
        </w:rPr>
      </w:pPr>
    </w:p>
    <w:p w:rsidR="00551C55">
      <w:pPr>
        <w:bidi w:val="0"/>
        <w:spacing w:after="160" w:line="259" w:lineRule="auto"/>
        <w:rPr>
          <w:rFonts w:ascii="Book Antiqua" w:hAnsi="Book Antiqua"/>
          <w:b/>
          <w:bCs/>
          <w:caps/>
          <w:color w:val="000000"/>
          <w:spacing w:val="30"/>
          <w:sz w:val="22"/>
          <w:szCs w:val="22"/>
        </w:rPr>
      </w:pPr>
      <w:r>
        <w:rPr>
          <w:rFonts w:ascii="Book Antiqua" w:hAnsi="Book Antiqua"/>
          <w:b/>
          <w:bCs/>
          <w:caps/>
          <w:color w:val="000000"/>
          <w:spacing w:val="30"/>
          <w:sz w:val="22"/>
          <w:szCs w:val="22"/>
        </w:rPr>
        <w:br w:type="page"/>
      </w:r>
    </w:p>
    <w:p w:rsidR="00D128E3" w:rsidRPr="007D0FC3" w:rsidP="00402884">
      <w:pPr>
        <w:bidi w:val="0"/>
        <w:spacing w:before="120" w:line="276" w:lineRule="auto"/>
        <w:jc w:val="center"/>
        <w:rPr>
          <w:rFonts w:ascii="Book Antiqua" w:hAnsi="Book Antiqua"/>
          <w:b/>
          <w:bCs/>
          <w:caps/>
          <w:color w:val="000000"/>
          <w:spacing w:val="30"/>
          <w:sz w:val="22"/>
          <w:szCs w:val="22"/>
        </w:rPr>
      </w:pPr>
      <w:r w:rsidRPr="007D0FC3">
        <w:rPr>
          <w:rFonts w:ascii="Book Antiqua" w:hAnsi="Book Antiqua"/>
          <w:b/>
          <w:bCs/>
          <w:caps/>
          <w:color w:val="000000"/>
          <w:spacing w:val="30"/>
          <w:sz w:val="22"/>
          <w:szCs w:val="22"/>
        </w:rPr>
        <w:t>Doložka</w:t>
      </w:r>
    </w:p>
    <w:p w:rsidR="00D128E3" w:rsidRPr="007D0FC3" w:rsidP="0074499A">
      <w:pPr>
        <w:bidi w:val="0"/>
        <w:spacing w:before="120" w:line="276" w:lineRule="auto"/>
        <w:jc w:val="center"/>
        <w:rPr>
          <w:rFonts w:ascii="Book Antiqua" w:hAnsi="Book Antiqua"/>
          <w:b/>
          <w:bCs/>
          <w:color w:val="000000"/>
          <w:sz w:val="22"/>
          <w:szCs w:val="22"/>
        </w:rPr>
      </w:pPr>
      <w:r w:rsidRPr="007D0FC3">
        <w:rPr>
          <w:rFonts w:ascii="Book Antiqua" w:hAnsi="Book Antiqua"/>
          <w:b/>
          <w:bCs/>
          <w:color w:val="000000"/>
          <w:sz w:val="22"/>
          <w:szCs w:val="22"/>
        </w:rPr>
        <w:t>vybraných vplyvov</w:t>
      </w:r>
    </w:p>
    <w:p w:rsidR="00D128E3" w:rsidRPr="007D0FC3" w:rsidP="0074499A">
      <w:pPr>
        <w:bidi w:val="0"/>
        <w:spacing w:before="120" w:line="276" w:lineRule="auto"/>
        <w:jc w:val="both"/>
        <w:rPr>
          <w:rFonts w:ascii="Book Antiqua" w:hAnsi="Book Antiqua"/>
          <w:color w:val="000000"/>
          <w:sz w:val="22"/>
          <w:szCs w:val="22"/>
        </w:rPr>
      </w:pPr>
    </w:p>
    <w:p w:rsidR="00AA0960" w:rsidRPr="007D0FC3" w:rsidP="0074499A">
      <w:pPr>
        <w:bidi w:val="0"/>
        <w:spacing w:before="120" w:line="276" w:lineRule="auto"/>
        <w:jc w:val="both"/>
        <w:rPr>
          <w:rFonts w:ascii="Book Antiqua" w:hAnsi="Book Antiqua"/>
          <w:bCs/>
          <w:sz w:val="22"/>
          <w:szCs w:val="22"/>
        </w:rPr>
      </w:pPr>
      <w:r w:rsidRPr="007D0FC3" w:rsidR="00D128E3">
        <w:rPr>
          <w:rFonts w:ascii="Book Antiqua" w:hAnsi="Book Antiqua"/>
          <w:b/>
          <w:bCs/>
          <w:color w:val="000000"/>
          <w:sz w:val="22"/>
          <w:szCs w:val="22"/>
        </w:rPr>
        <w:t xml:space="preserve">A.1. Názov materiálu: </w:t>
      </w:r>
      <w:r w:rsidRPr="007D0FC3" w:rsidR="00A66B08">
        <w:rPr>
          <w:rFonts w:ascii="Book Antiqua" w:hAnsi="Book Antiqua"/>
          <w:sz w:val="22"/>
          <w:szCs w:val="22"/>
        </w:rPr>
        <w:t xml:space="preserve">návrh zákona, ktorým sa mení a dopĺňa </w:t>
      </w:r>
      <w:r w:rsidRPr="007D0FC3" w:rsidR="00A66B08">
        <w:rPr>
          <w:rFonts w:ascii="Book Antiqua" w:hAnsi="Book Antiqua"/>
          <w:bCs/>
          <w:iCs/>
          <w:sz w:val="22"/>
          <w:szCs w:val="22"/>
          <w:lang w:eastAsia="cs-CZ"/>
        </w:rPr>
        <w:t xml:space="preserve">zákon č. </w:t>
      </w:r>
      <w:r w:rsidRPr="007D0FC3" w:rsidR="00A66B08">
        <w:rPr>
          <w:rFonts w:ascii="Book Antiqua" w:hAnsi="Book Antiqua"/>
          <w:bCs/>
          <w:sz w:val="22"/>
          <w:szCs w:val="22"/>
        </w:rPr>
        <w:t>448/2008 Z. z. o sociálnych službách a o zmene a doplnení zákona č. 455/1991 Zb. o živnostenskom podnikaní (živnostenský zákon) v znení neskorších predpisov</w:t>
      </w:r>
    </w:p>
    <w:p w:rsidR="00D128E3" w:rsidRPr="007D0FC3" w:rsidP="0074499A">
      <w:pPr>
        <w:bidi w:val="0"/>
        <w:spacing w:before="120" w:line="276" w:lineRule="auto"/>
        <w:jc w:val="both"/>
        <w:rPr>
          <w:rFonts w:ascii="Book Antiqua" w:hAnsi="Book Antiqua"/>
          <w:i/>
          <w:iCs/>
          <w:color w:val="000000"/>
          <w:sz w:val="22"/>
          <w:szCs w:val="22"/>
        </w:rPr>
      </w:pPr>
      <w:r w:rsidRPr="007D0FC3">
        <w:rPr>
          <w:rFonts w:ascii="Book Antiqua" w:hAnsi="Book Antiqua"/>
          <w:b/>
          <w:bCs/>
          <w:color w:val="000000"/>
          <w:sz w:val="22"/>
          <w:szCs w:val="22"/>
        </w:rPr>
        <w:t>Termín začatia a ukončenia PPK:</w:t>
      </w:r>
      <w:r w:rsidRPr="007D0FC3">
        <w:rPr>
          <w:rFonts w:ascii="Book Antiqua" w:hAnsi="Book Antiqua"/>
          <w:color w:val="000000"/>
          <w:sz w:val="22"/>
          <w:szCs w:val="22"/>
        </w:rPr>
        <w:t xml:space="preserve"> </w:t>
      </w:r>
      <w:r w:rsidRPr="007D0FC3">
        <w:rPr>
          <w:rFonts w:ascii="Book Antiqua" w:hAnsi="Book Antiqua"/>
          <w:i/>
          <w:iCs/>
          <w:color w:val="000000"/>
          <w:sz w:val="22"/>
          <w:szCs w:val="22"/>
        </w:rPr>
        <w:t>bezpredmetné</w:t>
      </w:r>
    </w:p>
    <w:p w:rsidR="00536711" w:rsidRPr="007D0FC3" w:rsidP="0074499A">
      <w:pPr>
        <w:bidi w:val="0"/>
        <w:spacing w:before="120" w:line="276" w:lineRule="auto"/>
        <w:jc w:val="both"/>
        <w:rPr>
          <w:rFonts w:ascii="Book Antiqua" w:hAnsi="Book Antiqua"/>
          <w:i/>
          <w:iCs/>
          <w:color w:val="000000"/>
          <w:sz w:val="22"/>
          <w:szCs w:val="22"/>
        </w:rPr>
      </w:pPr>
    </w:p>
    <w:p w:rsidR="00D128E3" w:rsidRPr="007D0FC3" w:rsidP="0074499A">
      <w:pPr>
        <w:bidi w:val="0"/>
        <w:spacing w:before="120" w:line="276" w:lineRule="auto"/>
        <w:jc w:val="both"/>
        <w:rPr>
          <w:rFonts w:ascii="Book Antiqua" w:hAnsi="Book Antiqua"/>
          <w:b/>
          <w:bCs/>
          <w:color w:val="000000"/>
          <w:sz w:val="22"/>
          <w:szCs w:val="22"/>
        </w:rPr>
      </w:pPr>
      <w:r w:rsidRPr="007D0FC3">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1"/>
        <w:gridCol w:w="1197"/>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r w:rsidRPr="007D0FC3">
              <w:rPr>
                <w:rFonts w:ascii="Book Antiqua" w:hAnsi="Book Antiqua"/>
                <w:color w:val="000000"/>
                <w:sz w:val="22"/>
                <w:szCs w:val="22"/>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r w:rsidRPr="007D0FC3">
              <w:rPr>
                <w:rFonts w:ascii="Book Antiqua" w:hAnsi="Book Antiqua"/>
                <w:color w:val="000000"/>
                <w:sz w:val="22"/>
                <w:szCs w:val="22"/>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r w:rsidRPr="007D0FC3">
              <w:rPr>
                <w:rFonts w:ascii="Book Antiqua" w:hAnsi="Book Antiqua"/>
                <w:color w:val="000000"/>
                <w:sz w:val="22"/>
                <w:szCs w:val="22"/>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r w:rsidRPr="007D0FC3">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center"/>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402884">
            <w:pPr>
              <w:bidi w:val="0"/>
              <w:spacing w:before="120" w:after="0" w:line="276" w:lineRule="auto"/>
              <w:jc w:val="center"/>
              <w:rPr>
                <w:rFonts w:ascii="Book Antiqua" w:hAnsi="Book Antiqua"/>
                <w:color w:val="000000"/>
              </w:rPr>
            </w:pPr>
            <w:r w:rsidRPr="007D0FC3" w:rsidR="00402884">
              <w:rPr>
                <w:rFonts w:ascii="Book Antiqua" w:hAnsi="Book Antiqua"/>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r w:rsidRPr="007D0FC3">
              <w:rPr>
                <w:rFonts w:ascii="Book Antiqua" w:hAnsi="Book Antiqua"/>
                <w:color w:val="000000"/>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center"/>
              <w:rPr>
                <w:rFonts w:ascii="Book Antiqua" w:hAnsi="Book Antiqua"/>
                <w:color w:val="000000"/>
              </w:rPr>
            </w:pPr>
            <w:r w:rsidRPr="007D0FC3">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center"/>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r w:rsidRPr="007D0FC3">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center"/>
              <w:rPr>
                <w:rFonts w:ascii="Book Antiqua" w:hAnsi="Book Antiqua"/>
                <w:color w:val="000000"/>
              </w:rPr>
            </w:pPr>
            <w:r w:rsidRPr="007D0FC3" w:rsidR="00EE5578">
              <w:rPr>
                <w:rFonts w:ascii="Book Antiqua" w:hAnsi="Book Antiqua"/>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center"/>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r w:rsidRPr="007D0FC3">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center"/>
              <w:rPr>
                <w:rFonts w:ascii="Book Antiqua" w:hAnsi="Book Antiqua"/>
                <w:color w:val="000000"/>
              </w:rPr>
            </w:pPr>
            <w:r w:rsidRPr="007D0FC3" w:rsidR="00EE5578">
              <w:rPr>
                <w:rFonts w:ascii="Book Antiqua" w:hAnsi="Book Antiqua"/>
                <w:color w:val="000000"/>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center"/>
              <w:rPr>
                <w:rFonts w:ascii="Book Antiqua" w:hAnsi="Book Antiqua"/>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r w:rsidRPr="007D0FC3">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EE5578">
            <w:pPr>
              <w:bidi w:val="0"/>
              <w:spacing w:before="120" w:after="0" w:line="276" w:lineRule="auto"/>
              <w:jc w:val="center"/>
              <w:rPr>
                <w:rFonts w:ascii="Book Antiqua" w:hAnsi="Book Antiqua"/>
                <w:color w:val="000000"/>
              </w:rPr>
            </w:pPr>
            <w:r w:rsidRPr="007D0FC3" w:rsidR="00EE5578">
              <w:rPr>
                <w:rFonts w:ascii="Book Antiqua" w:hAnsi="Book Antiqua"/>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center"/>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r w:rsidRPr="007D0FC3">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EE5578">
            <w:pPr>
              <w:bidi w:val="0"/>
              <w:spacing w:before="120" w:after="0" w:line="276" w:lineRule="auto"/>
              <w:jc w:val="center"/>
              <w:rPr>
                <w:rFonts w:ascii="Book Antiqua" w:hAnsi="Book Antiqua"/>
                <w:color w:val="000000"/>
              </w:rPr>
            </w:pPr>
            <w:r w:rsidRPr="007D0FC3" w:rsidR="00EE5578">
              <w:rPr>
                <w:rFonts w:ascii="Book Antiqua" w:hAnsi="Book Antiqua"/>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center"/>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r w:rsidRPr="007D0FC3">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center"/>
              <w:rPr>
                <w:rFonts w:ascii="Book Antiqua" w:hAnsi="Book Antiqua"/>
                <w:color w:val="000000"/>
              </w:rPr>
            </w:pPr>
            <w:r w:rsidRPr="007D0FC3">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r w:rsidRPr="007D0FC3">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center"/>
              <w:rPr>
                <w:rFonts w:ascii="Book Antiqua" w:hAnsi="Book Antiqua"/>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center"/>
              <w:rPr>
                <w:rFonts w:ascii="Book Antiqua" w:hAnsi="Book Antiqua"/>
                <w:color w:val="000000"/>
              </w:rPr>
            </w:pPr>
            <w:r w:rsidRPr="007D0FC3" w:rsidR="00EE5578">
              <w:rPr>
                <w:rFonts w:ascii="Book Antiqua" w:hAnsi="Book Antiqua"/>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D128E3" w:rsidRPr="007D0FC3" w:rsidP="0074499A">
            <w:pPr>
              <w:bidi w:val="0"/>
              <w:spacing w:before="120" w:after="0" w:line="276" w:lineRule="auto"/>
              <w:jc w:val="both"/>
              <w:rPr>
                <w:rFonts w:ascii="Book Antiqua" w:hAnsi="Book Antiqua"/>
                <w:color w:val="000000"/>
              </w:rPr>
            </w:pPr>
          </w:p>
        </w:tc>
      </w:tr>
    </w:tbl>
    <w:p w:rsidR="00D128E3" w:rsidRPr="007D0FC3" w:rsidP="0074499A">
      <w:pPr>
        <w:bidi w:val="0"/>
        <w:spacing w:before="120" w:line="276" w:lineRule="auto"/>
        <w:jc w:val="both"/>
        <w:rPr>
          <w:rFonts w:ascii="Book Antiqua" w:hAnsi="Book Antiqua"/>
          <w:color w:val="000000"/>
          <w:sz w:val="22"/>
          <w:szCs w:val="22"/>
        </w:rPr>
      </w:pPr>
      <w:r w:rsidRPr="007D0FC3">
        <w:rPr>
          <w:rFonts w:ascii="Book Antiqua" w:hAnsi="Book Antiqua"/>
          <w:color w:val="000000"/>
          <w:sz w:val="22"/>
          <w:szCs w:val="22"/>
        </w:rPr>
        <w:t> </w:t>
      </w:r>
    </w:p>
    <w:p w:rsidR="00D128E3" w:rsidRPr="007D0FC3" w:rsidP="0074499A">
      <w:pPr>
        <w:bidi w:val="0"/>
        <w:spacing w:before="120" w:line="276" w:lineRule="auto"/>
        <w:jc w:val="both"/>
        <w:rPr>
          <w:rFonts w:ascii="Book Antiqua" w:hAnsi="Book Antiqua"/>
          <w:b/>
          <w:bCs/>
          <w:color w:val="000000"/>
          <w:sz w:val="22"/>
          <w:szCs w:val="22"/>
        </w:rPr>
      </w:pPr>
      <w:r w:rsidRPr="007D0FC3">
        <w:rPr>
          <w:rFonts w:ascii="Book Antiqua" w:hAnsi="Book Antiqua"/>
          <w:b/>
          <w:bCs/>
          <w:color w:val="000000"/>
          <w:sz w:val="22"/>
          <w:szCs w:val="22"/>
        </w:rPr>
        <w:t>A.3. Poznámky</w:t>
      </w:r>
    </w:p>
    <w:p w:rsidR="000E5259" w:rsidRPr="007D0FC3" w:rsidP="00CA0237">
      <w:pPr>
        <w:pStyle w:val="Standard"/>
        <w:bidi w:val="0"/>
        <w:spacing w:before="120" w:line="276" w:lineRule="auto"/>
        <w:jc w:val="both"/>
        <w:rPr>
          <w:rFonts w:ascii="Book Antiqua" w:hAnsi="Book Antiqua" w:cs="Book Antiqua"/>
          <w:i/>
          <w:iCs/>
          <w:sz w:val="22"/>
          <w:szCs w:val="22"/>
        </w:rPr>
      </w:pPr>
      <w:r w:rsidRPr="007D0FC3" w:rsidR="00CA0237">
        <w:rPr>
          <w:rFonts w:ascii="Book Antiqua" w:hAnsi="Book Antiqua" w:cs="Book Antiqua"/>
          <w:i/>
          <w:iCs/>
          <w:sz w:val="22"/>
          <w:szCs w:val="22"/>
        </w:rPr>
        <w:t xml:space="preserve">V návrhu zákona možno predpokladať negatívny vplyv na rozpočet verejnej správy spočívajúci v navýšení finančných príspevkov pre neverejných poskytovateľov sociálnych služieb. </w:t>
      </w:r>
      <w:r w:rsidRPr="007D0FC3">
        <w:rPr>
          <w:rFonts w:ascii="Book Antiqua" w:hAnsi="Book Antiqua" w:cs="Book Antiqua"/>
          <w:i/>
          <w:iCs/>
          <w:sz w:val="22"/>
          <w:szCs w:val="22"/>
        </w:rPr>
        <w:t xml:space="preserve">Presné vyčíslenie negatívnych dopadov na rozpočet nie je možný z dôvodu absencie potrebných vstupných údajov pre takýto výpočet, nemal by však presahovať sumu, ktorú je možné pokryť navýšením príjmov štátneho rozpočtu z dôvodu vyššieho odvodu z podnikania v regulovaných odvetviach. </w:t>
      </w:r>
      <w:r w:rsidRPr="007D0FC3">
        <w:rPr>
          <w:rFonts w:ascii="Book Antiqua" w:hAnsi="Book Antiqua"/>
          <w:i/>
          <w:sz w:val="22"/>
          <w:szCs w:val="22"/>
          <w:shd w:val="clear" w:color="auto" w:fill="FFFFFF"/>
        </w:rPr>
        <w:t>Na základe legislatívnych zmien totiž dochádza v roku 2018 k navýšeniu príjmov verejnej správy o 130 mil. eur a to najviac v dôsledku prijatých zmien v zákone č. 235/2012 Z. z. o osobitnom odvode z podnikania v regulovaných odvetviach a o zmene a doplnení niektorých zákonov v znení neskorších predpisov (najmä s prihliadnutím na novelu tohto zákona z roku 2016 – zákon č. 338/2016 Z. z.). Navrhujeme preto využiť zvýšenie týchto príjmov na pokrytie negatívnych dopadov tohto návrhu zákona na rozpočet verejnej správy v roku 2018, ako aj v najbližších rokoch.</w:t>
      </w:r>
    </w:p>
    <w:p w:rsidR="00A66B08" w:rsidRPr="007D0FC3" w:rsidP="00CA0237">
      <w:pPr>
        <w:pStyle w:val="Standard"/>
        <w:bidi w:val="0"/>
        <w:spacing w:before="120" w:line="276" w:lineRule="auto"/>
        <w:jc w:val="both"/>
        <w:rPr>
          <w:rFonts w:ascii="Book Antiqua" w:hAnsi="Book Antiqua" w:cs="Book Antiqua"/>
          <w:i/>
          <w:iCs/>
          <w:sz w:val="22"/>
          <w:szCs w:val="22"/>
        </w:rPr>
      </w:pPr>
      <w:r w:rsidRPr="007D0FC3" w:rsidR="00EE5578">
        <w:rPr>
          <w:rFonts w:ascii="Book Antiqua" w:hAnsi="Book Antiqua" w:cs="Book Antiqua"/>
          <w:i/>
          <w:iCs/>
          <w:sz w:val="22"/>
          <w:szCs w:val="22"/>
        </w:rPr>
        <w:t>Návrh zákona má pozitívny vplyv na špecifickú oblasť podnikateľského prostredia, a to na neverejných po</w:t>
      </w:r>
      <w:r w:rsidRPr="007D0FC3" w:rsidR="000E5259">
        <w:rPr>
          <w:rFonts w:ascii="Book Antiqua" w:hAnsi="Book Antiqua" w:cs="Book Antiqua"/>
          <w:i/>
          <w:iCs/>
          <w:sz w:val="22"/>
          <w:szCs w:val="22"/>
        </w:rPr>
        <w:t xml:space="preserve">skytovateľov sociálnych služieb. </w:t>
      </w:r>
      <w:r w:rsidRPr="007D0FC3" w:rsidR="00EE5578">
        <w:rPr>
          <w:rFonts w:ascii="Book Antiqua" w:hAnsi="Book Antiqua" w:cs="Book Antiqua"/>
          <w:i/>
          <w:iCs/>
          <w:sz w:val="22"/>
          <w:szCs w:val="22"/>
        </w:rPr>
        <w:t>Navrhovanou úpravou sa zníži riziko neschopnosti poskytovať tieto druhy sociálnych služieb pre prijímateľov pomoci. Zo zlepšenia financovania vybraných druhov služieb budú mať úžitok prijímatelia pomoci. Návrh zákona teda zakladá pozitívne sociálne vplyvy. Návrh zákona nemá vplyv na životné prostredie ani na informatizáciu spoločnosti.</w:t>
      </w:r>
    </w:p>
    <w:p w:rsidR="000E5259" w:rsidRPr="007D0FC3" w:rsidP="0074499A">
      <w:pPr>
        <w:bidi w:val="0"/>
        <w:spacing w:before="120" w:line="276" w:lineRule="auto"/>
        <w:jc w:val="both"/>
        <w:rPr>
          <w:rFonts w:ascii="Book Antiqua" w:hAnsi="Book Antiqua"/>
          <w:b/>
          <w:bCs/>
          <w:color w:val="000000"/>
          <w:sz w:val="22"/>
          <w:szCs w:val="22"/>
        </w:rPr>
      </w:pPr>
    </w:p>
    <w:p w:rsidR="00D128E3" w:rsidRPr="007D0FC3" w:rsidP="0074499A">
      <w:pPr>
        <w:bidi w:val="0"/>
        <w:spacing w:before="120" w:line="276" w:lineRule="auto"/>
        <w:jc w:val="both"/>
        <w:rPr>
          <w:rFonts w:ascii="Book Antiqua" w:hAnsi="Book Antiqua"/>
          <w:b/>
          <w:bCs/>
          <w:color w:val="000000"/>
          <w:sz w:val="22"/>
          <w:szCs w:val="22"/>
        </w:rPr>
      </w:pPr>
      <w:r w:rsidRPr="007D0FC3">
        <w:rPr>
          <w:rFonts w:ascii="Book Antiqua" w:hAnsi="Book Antiqua"/>
          <w:b/>
          <w:bCs/>
          <w:color w:val="000000"/>
          <w:sz w:val="22"/>
          <w:szCs w:val="22"/>
        </w:rPr>
        <w:t>A.4. Alternatívne riešenia</w:t>
      </w:r>
    </w:p>
    <w:p w:rsidR="00D128E3" w:rsidP="0074499A">
      <w:pPr>
        <w:bidi w:val="0"/>
        <w:spacing w:before="120" w:line="276" w:lineRule="auto"/>
        <w:jc w:val="both"/>
        <w:rPr>
          <w:rFonts w:ascii="Book Antiqua" w:hAnsi="Book Antiqua"/>
          <w:i/>
          <w:color w:val="000000"/>
          <w:sz w:val="22"/>
          <w:szCs w:val="22"/>
        </w:rPr>
      </w:pPr>
      <w:r w:rsidR="003F4036">
        <w:rPr>
          <w:rFonts w:ascii="Book Antiqua" w:hAnsi="Book Antiqua"/>
          <w:i/>
          <w:color w:val="000000"/>
          <w:sz w:val="22"/>
          <w:szCs w:val="22"/>
        </w:rPr>
        <w:t>bezpredmetné</w:t>
      </w:r>
    </w:p>
    <w:p w:rsidR="003F4036" w:rsidRPr="007D0FC3" w:rsidP="0074499A">
      <w:pPr>
        <w:bidi w:val="0"/>
        <w:spacing w:before="120" w:line="276" w:lineRule="auto"/>
        <w:jc w:val="both"/>
        <w:rPr>
          <w:rFonts w:ascii="Book Antiqua" w:hAnsi="Book Antiqua"/>
          <w:b/>
          <w:bCs/>
          <w:i/>
          <w:color w:val="000000"/>
          <w:sz w:val="22"/>
          <w:szCs w:val="22"/>
        </w:rPr>
      </w:pPr>
    </w:p>
    <w:p w:rsidR="00D128E3" w:rsidRPr="007D0FC3" w:rsidP="0074499A">
      <w:pPr>
        <w:pStyle w:val="NormalWeb"/>
        <w:bidi w:val="0"/>
        <w:spacing w:before="120" w:beforeAutospacing="0" w:after="0" w:afterAutospacing="0" w:line="276" w:lineRule="auto"/>
        <w:ind w:left="567" w:hanging="567"/>
        <w:jc w:val="both"/>
        <w:rPr>
          <w:rFonts w:ascii="Book Antiqua" w:hAnsi="Book Antiqua"/>
          <w:sz w:val="22"/>
          <w:szCs w:val="22"/>
        </w:rPr>
      </w:pPr>
      <w:r w:rsidRPr="007D0FC3">
        <w:rPr>
          <w:rFonts w:ascii="Book Antiqua" w:hAnsi="Book Antiqua"/>
          <w:b/>
          <w:bCs/>
          <w:sz w:val="22"/>
          <w:szCs w:val="22"/>
        </w:rPr>
        <w:t xml:space="preserve">A.5. </w:t>
        <w:tab/>
        <w:t>Stanovisko gestorov</w:t>
      </w:r>
    </w:p>
    <w:p w:rsidR="00D128E3" w:rsidRPr="007D0FC3" w:rsidP="00AA0960">
      <w:pPr>
        <w:pStyle w:val="NormalWeb"/>
        <w:bidi w:val="0"/>
        <w:spacing w:before="120" w:beforeAutospacing="0" w:after="0" w:afterAutospacing="0" w:line="276" w:lineRule="auto"/>
        <w:jc w:val="both"/>
        <w:rPr>
          <w:rFonts w:ascii="Book Antiqua" w:hAnsi="Book Antiqua"/>
          <w:sz w:val="22"/>
          <w:szCs w:val="22"/>
        </w:rPr>
      </w:pPr>
      <w:r w:rsidRPr="007D0FC3">
        <w:rPr>
          <w:rFonts w:ascii="Book Antiqua" w:hAnsi="Book Antiqua"/>
          <w:i/>
          <w:iCs/>
          <w:color w:val="000000"/>
          <w:sz w:val="22"/>
          <w:szCs w:val="22"/>
        </w:rPr>
        <w:t>Návrh zákona bol zaslaný na vyjadrenie Ministerstvu financií SR a stanovisko tohto ministerstva tvorí súčasť predkladaného materiálu.</w:t>
      </w:r>
    </w:p>
    <w:sectPr w:rsidSect="003175B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Book Antiqua">
    <w:altName w:val="Book Antiqua"/>
    <w:panose1 w:val="00000000000000000000"/>
    <w:charset w:val="EE"/>
    <w:family w:val="roman"/>
    <w:pitch w:val="variable"/>
    <w:sig w:usb0="00000000" w:usb1="00000000" w:usb2="00000000" w:usb3="00000000" w:csb0="0000009F" w:csb1="00000000"/>
  </w:font>
  <w:font w:name="Segoe UI">
    <w:panose1 w:val="00000000000000000000"/>
    <w:charset w:val="EE"/>
    <w:family w:val="swiss"/>
    <w:pitch w:val="variable"/>
    <w:sig w:usb0="00000000" w:usb1="00000000" w:usb2="00000000" w:usb3="00000000" w:csb0="000001FF" w:csb1="00000000"/>
  </w:font>
  <w:font w:name="Cambria">
    <w:altName w:val="Palatino Linotype"/>
    <w:panose1 w:val="02040503050406030204"/>
    <w:charset w:val="EE"/>
    <w:family w:val="roman"/>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95C51"/>
    <w:multiLevelType w:val="hybridMultilevel"/>
    <w:tmpl w:val="E8021E8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47926F52"/>
    <w:multiLevelType w:val="hybridMultilevel"/>
    <w:tmpl w:val="4CEC8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736830DC"/>
    <w:multiLevelType w:val="hybridMultilevel"/>
    <w:tmpl w:val="249E4D3A"/>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128E3"/>
    <w:rsid w:val="00040B6B"/>
    <w:rsid w:val="00064F1D"/>
    <w:rsid w:val="000755B8"/>
    <w:rsid w:val="000A7DD6"/>
    <w:rsid w:val="000E3165"/>
    <w:rsid w:val="000E5259"/>
    <w:rsid w:val="000F76E6"/>
    <w:rsid w:val="001D55EA"/>
    <w:rsid w:val="002474E1"/>
    <w:rsid w:val="002A4D1D"/>
    <w:rsid w:val="003175BE"/>
    <w:rsid w:val="003476BA"/>
    <w:rsid w:val="003877C8"/>
    <w:rsid w:val="00395851"/>
    <w:rsid w:val="003E5317"/>
    <w:rsid w:val="003F4036"/>
    <w:rsid w:val="00402884"/>
    <w:rsid w:val="004644A4"/>
    <w:rsid w:val="005141E7"/>
    <w:rsid w:val="005249F2"/>
    <w:rsid w:val="00536711"/>
    <w:rsid w:val="00551C55"/>
    <w:rsid w:val="005C73AE"/>
    <w:rsid w:val="005F027D"/>
    <w:rsid w:val="00662A5A"/>
    <w:rsid w:val="006804F0"/>
    <w:rsid w:val="006A2058"/>
    <w:rsid w:val="006C2F96"/>
    <w:rsid w:val="006F23C8"/>
    <w:rsid w:val="00736670"/>
    <w:rsid w:val="0074499A"/>
    <w:rsid w:val="00766CDE"/>
    <w:rsid w:val="00772128"/>
    <w:rsid w:val="0079152B"/>
    <w:rsid w:val="007D0FC3"/>
    <w:rsid w:val="007D551B"/>
    <w:rsid w:val="007E1711"/>
    <w:rsid w:val="007E7256"/>
    <w:rsid w:val="008C23B8"/>
    <w:rsid w:val="008C6262"/>
    <w:rsid w:val="009015DB"/>
    <w:rsid w:val="00931B67"/>
    <w:rsid w:val="00953B82"/>
    <w:rsid w:val="00972788"/>
    <w:rsid w:val="00973669"/>
    <w:rsid w:val="009C4F7B"/>
    <w:rsid w:val="009F4B9A"/>
    <w:rsid w:val="00A01B13"/>
    <w:rsid w:val="00A03870"/>
    <w:rsid w:val="00A14D12"/>
    <w:rsid w:val="00A2737D"/>
    <w:rsid w:val="00A31785"/>
    <w:rsid w:val="00A5507A"/>
    <w:rsid w:val="00A66B08"/>
    <w:rsid w:val="00AA0960"/>
    <w:rsid w:val="00AD0493"/>
    <w:rsid w:val="00AD53A0"/>
    <w:rsid w:val="00AE60CC"/>
    <w:rsid w:val="00B5115D"/>
    <w:rsid w:val="00BA6609"/>
    <w:rsid w:val="00BC15F1"/>
    <w:rsid w:val="00BD39CF"/>
    <w:rsid w:val="00BE2A52"/>
    <w:rsid w:val="00CA0237"/>
    <w:rsid w:val="00D128E3"/>
    <w:rsid w:val="00D21732"/>
    <w:rsid w:val="00D44FBF"/>
    <w:rsid w:val="00D929B8"/>
    <w:rsid w:val="00E45FD8"/>
    <w:rsid w:val="00E61196"/>
    <w:rsid w:val="00EB12AE"/>
    <w:rsid w:val="00EB5655"/>
    <w:rsid w:val="00EE5578"/>
    <w:rsid w:val="00F11AA5"/>
    <w:rsid w:val="00F133A9"/>
    <w:rsid w:val="00F54CB3"/>
    <w:rsid w:val="00F7021C"/>
    <w:rsid w:val="00F70B03"/>
    <w:rsid w:val="00F74D4C"/>
    <w:rsid w:val="00FC70D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2" w:semiHidden="1" w:unhideWhenUsed="1"/>
    <w:lsdException w:name="List Bullet 5" w:semiHidden="1" w:unhideWhenUsed="1"/>
    <w:lsdException w:name="List Number 2" w:semiHidden="1" w:unhideWhenUsed="1"/>
    <w:lsdException w:name="Title" w:uiPriority="10" w:qFormat="1"/>
    <w:lsdException w:name="Default Paragraph Font" w:semiHidden="1" w:uiPriority="1" w:unhideWhenUsed="1"/>
    <w:lsdException w:name="Subtitle" w:uiPriority="1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8E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D128E3"/>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D128E3"/>
    <w:rPr>
      <w:rFonts w:ascii="Cambria" w:hAnsi="Cambria" w:cs="Times New Roman"/>
      <w:b/>
      <w:bCs/>
      <w:kern w:val="32"/>
      <w:sz w:val="32"/>
      <w:szCs w:val="32"/>
      <w:rtl w:val="0"/>
      <w:cs w:val="0"/>
      <w:lang w:val="x-none" w:eastAsia="sk-SK"/>
    </w:rPr>
  </w:style>
  <w:style w:type="character" w:styleId="PlaceholderText">
    <w:name w:val="Placeholder Text"/>
    <w:basedOn w:val="DefaultParagraphFont"/>
    <w:uiPriority w:val="99"/>
    <w:semiHidden/>
    <w:rsid w:val="00D128E3"/>
    <w:rPr>
      <w:rFonts w:ascii="Times New Roman" w:hAnsi="Times New Roman" w:cs="Times New Roman"/>
      <w:color w:val="808080"/>
      <w:rtl w:val="0"/>
      <w:cs w:val="0"/>
    </w:rPr>
  </w:style>
  <w:style w:type="paragraph" w:styleId="NormalWeb">
    <w:name w:val="Normal (Web)"/>
    <w:basedOn w:val="Normal"/>
    <w:uiPriority w:val="99"/>
    <w:rsid w:val="00D128E3"/>
    <w:pPr>
      <w:spacing w:before="100" w:beforeAutospacing="1" w:after="100" w:afterAutospacing="1"/>
      <w:jc w:val="left"/>
    </w:pPr>
  </w:style>
  <w:style w:type="paragraph" w:styleId="Header">
    <w:name w:val="header"/>
    <w:basedOn w:val="Normal"/>
    <w:link w:val="HlavikaChar"/>
    <w:uiPriority w:val="99"/>
    <w:unhideWhenUsed/>
    <w:rsid w:val="000755B8"/>
    <w:pPr>
      <w:tabs>
        <w:tab w:val="center" w:pos="4536"/>
        <w:tab w:val="right" w:pos="9072"/>
      </w:tabs>
      <w:jc w:val="left"/>
    </w:pPr>
  </w:style>
  <w:style w:type="character" w:customStyle="1" w:styleId="HlavikaChar">
    <w:name w:val="Hlavička Char"/>
    <w:basedOn w:val="DefaultParagraphFont"/>
    <w:link w:val="Header"/>
    <w:uiPriority w:val="99"/>
    <w:locked/>
    <w:rsid w:val="000755B8"/>
    <w:rPr>
      <w:rFonts w:ascii="Times New Roman" w:hAnsi="Times New Roman" w:cs="Times New Roman"/>
      <w:sz w:val="24"/>
      <w:szCs w:val="24"/>
      <w:rtl w:val="0"/>
      <w:cs w:val="0"/>
      <w:lang w:val="x-none" w:eastAsia="sk-SK"/>
    </w:rPr>
  </w:style>
  <w:style w:type="paragraph" w:customStyle="1" w:styleId="Standard">
    <w:name w:val="Standard"/>
    <w:uiPriority w:val="99"/>
    <w:rsid w:val="00F133A9"/>
    <w:pPr>
      <w:framePr w:wrap="auto"/>
      <w:widowControl w:val="0"/>
      <w:suppressAutoHyphens/>
      <w:autoSpaceDE/>
      <w:autoSpaceDN w:val="0"/>
      <w:adjustRightInd/>
      <w:ind w:left="0" w:right="0"/>
      <w:jc w:val="left"/>
      <w:textAlignment w:val="auto"/>
    </w:pPr>
    <w:rPr>
      <w:rFonts w:cs="Times New Roman"/>
      <w:kern w:val="3"/>
      <w:sz w:val="24"/>
      <w:szCs w:val="24"/>
      <w:rtl w:val="0"/>
      <w:cs w:val="0"/>
      <w:lang w:val="sk-SK" w:eastAsia="sk-SK" w:bidi="ar-SA"/>
    </w:rPr>
  </w:style>
  <w:style w:type="paragraph" w:styleId="Footer">
    <w:name w:val="footer"/>
    <w:basedOn w:val="Normal"/>
    <w:link w:val="PtaChar"/>
    <w:uiPriority w:val="99"/>
    <w:unhideWhenUsed/>
    <w:rsid w:val="000755B8"/>
    <w:pPr>
      <w:tabs>
        <w:tab w:val="center" w:pos="4536"/>
        <w:tab w:val="right" w:pos="9072"/>
      </w:tabs>
      <w:jc w:val="left"/>
    </w:pPr>
  </w:style>
  <w:style w:type="character" w:customStyle="1" w:styleId="PtaChar">
    <w:name w:val="Päta Char"/>
    <w:basedOn w:val="DefaultParagraphFont"/>
    <w:link w:val="Footer"/>
    <w:uiPriority w:val="99"/>
    <w:locked/>
    <w:rsid w:val="000755B8"/>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AE60CC"/>
    <w:pPr>
      <w:ind w:left="720"/>
      <w:contextualSpacing/>
      <w:jc w:val="left"/>
    </w:pPr>
  </w:style>
  <w:style w:type="paragraph" w:styleId="BalloonText">
    <w:name w:val="Balloon Text"/>
    <w:basedOn w:val="Normal"/>
    <w:link w:val="TextbublinyChar"/>
    <w:uiPriority w:val="99"/>
    <w:rsid w:val="00AD0493"/>
    <w:pPr>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AD0493"/>
    <w:rPr>
      <w:rFonts w:ascii="Segoe UI" w:hAnsi="Segoe UI" w:cs="Segoe UI"/>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10</Pages>
  <Words>2864</Words>
  <Characters>16325</Characters>
  <Application>Microsoft Office Word</Application>
  <DocSecurity>0</DocSecurity>
  <Lines>0</Lines>
  <Paragraphs>0</Paragraphs>
  <ScaleCrop>false</ScaleCrop>
  <Company>Kancelaria NR SR</Company>
  <LinksUpToDate>false</LinksUpToDate>
  <CharactersWithSpaces>19151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Luk·č, Jozef (asistent)</dc:creator>
  <cp:lastModifiedBy>klub OĽANO</cp:lastModifiedBy>
  <cp:revision>2</cp:revision>
  <cp:lastPrinted>2018-02-23T15:24:00Z</cp:lastPrinted>
  <dcterms:created xsi:type="dcterms:W3CDTF">2018-02-23T15:26:00Z</dcterms:created>
  <dcterms:modified xsi:type="dcterms:W3CDTF">2018-02-23T15:26:00Z</dcterms:modified>
</cp:coreProperties>
</file>