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92725" w:rsidRPr="009A7EE2" w:rsidP="00992725">
      <w:pPr>
        <w:bidi w:val="0"/>
        <w:jc w:val="center"/>
        <w:rPr>
          <w:rFonts w:ascii="Times New Roman" w:hAnsi="Times New Roman"/>
          <w:b/>
          <w:sz w:val="24"/>
          <w:szCs w:val="24"/>
        </w:rPr>
      </w:pPr>
      <w:r w:rsidRPr="0002219A">
        <w:rPr>
          <w:rFonts w:ascii="Times New Roman" w:hAnsi="Times New Roman"/>
          <w:b/>
          <w:sz w:val="24"/>
          <w:szCs w:val="24"/>
        </w:rPr>
        <w:t>Dôvodová správa</w:t>
      </w:r>
    </w:p>
    <w:p w:rsidR="00992725" w:rsidRPr="009A7EE2" w:rsidP="00992725">
      <w:pPr>
        <w:numPr>
          <w:numId w:val="1"/>
        </w:numPr>
        <w:bidi w:val="0"/>
        <w:spacing w:after="0" w:line="240" w:lineRule="auto"/>
        <w:rPr>
          <w:rFonts w:ascii="Times New Roman" w:hAnsi="Times New Roman"/>
          <w:b/>
          <w:sz w:val="24"/>
          <w:szCs w:val="24"/>
        </w:rPr>
      </w:pPr>
      <w:r w:rsidRPr="009A7EE2">
        <w:rPr>
          <w:rFonts w:ascii="Times New Roman" w:hAnsi="Times New Roman"/>
          <w:b/>
          <w:sz w:val="24"/>
          <w:szCs w:val="24"/>
        </w:rPr>
        <w:t>Všeobecná časť</w:t>
      </w:r>
    </w:p>
    <w:p w:rsidR="00992725" w:rsidP="00992725">
      <w:pPr>
        <w:pStyle w:val="BodyText"/>
        <w:widowControl/>
        <w:bidi w:val="0"/>
        <w:spacing w:line="276" w:lineRule="auto"/>
        <w:jc w:val="both"/>
        <w:rPr>
          <w:rFonts w:ascii="Times New Roman" w:hAnsi="Times New Roman"/>
          <w:sz w:val="24"/>
        </w:rPr>
      </w:pPr>
    </w:p>
    <w:p w:rsidR="00992725" w:rsidP="00992725">
      <w:pPr>
        <w:pStyle w:val="BodyText"/>
        <w:widowControl/>
        <w:bidi w:val="0"/>
        <w:spacing w:line="276" w:lineRule="auto"/>
        <w:ind w:left="360" w:firstLine="633"/>
        <w:jc w:val="both"/>
        <w:rPr>
          <w:rFonts w:ascii="Times New Roman" w:hAnsi="Times New Roman"/>
          <w:sz w:val="24"/>
        </w:rPr>
      </w:pPr>
      <w:r>
        <w:rPr>
          <w:rFonts w:ascii="Times New Roman" w:hAnsi="Times New Roman"/>
          <w:sz w:val="24"/>
        </w:rPr>
        <w:t xml:space="preserve">Poslanci Národnej rady Slovenskej republiky Peter Antal a Peter Pamula </w:t>
      </w:r>
      <w:r w:rsidRPr="00DF4F68">
        <w:rPr>
          <w:rFonts w:ascii="Times New Roman" w:hAnsi="Times New Roman"/>
          <w:sz w:val="24"/>
        </w:rPr>
        <w:t>predkladajú</w:t>
      </w:r>
      <w:r>
        <w:rPr>
          <w:rFonts w:ascii="Times New Roman" w:hAnsi="Times New Roman"/>
          <w:sz w:val="24"/>
        </w:rPr>
        <w:t xml:space="preserve"> na schôdzu </w:t>
      </w:r>
      <w:r w:rsidRPr="00DF4F68">
        <w:rPr>
          <w:rFonts w:ascii="Times New Roman" w:hAnsi="Times New Roman"/>
          <w:sz w:val="24"/>
        </w:rPr>
        <w:t xml:space="preserve">Národnej rady Slovenskej republiky návrh novely zákona </w:t>
      </w:r>
      <w:r w:rsidRPr="00DF4F68">
        <w:rPr>
          <w:rFonts w:ascii="Times New Roman" w:hAnsi="Times New Roman"/>
          <w:color w:val="000000"/>
          <w:sz w:val="24"/>
        </w:rPr>
        <w:t>Národnej rady Slovenskej republiky č. 219/1996 Z. z. o ochrane pred zneužívaním alkoholických nápojov a o zriaďovaní a prevádzke protialkoholických záchytných izieb v znení neskorších predpisov</w:t>
      </w:r>
      <w:r>
        <w:rPr>
          <w:rFonts w:ascii="Times New Roman" w:hAnsi="Times New Roman"/>
          <w:color w:val="000000"/>
          <w:sz w:val="24"/>
        </w:rPr>
        <w:t xml:space="preserve"> (ďalej len „</w:t>
      </w:r>
      <w:r>
        <w:rPr>
          <w:rFonts w:ascii="Times New Roman" w:hAnsi="Times New Roman"/>
          <w:sz w:val="24"/>
        </w:rPr>
        <w:t>zákon č. 219/1996 Z. z.</w:t>
      </w:r>
      <w:r>
        <w:rPr>
          <w:rFonts w:ascii="Times New Roman" w:hAnsi="Times New Roman"/>
          <w:color w:val="000000"/>
          <w:sz w:val="24"/>
        </w:rPr>
        <w:t>“).</w:t>
      </w:r>
    </w:p>
    <w:p w:rsidR="00992725" w:rsidP="00992725">
      <w:pPr>
        <w:pStyle w:val="BodyText"/>
        <w:widowControl/>
        <w:bidi w:val="0"/>
        <w:spacing w:line="276" w:lineRule="auto"/>
        <w:jc w:val="both"/>
        <w:rPr>
          <w:rFonts w:ascii="Times New Roman" w:hAnsi="Times New Roman"/>
          <w:sz w:val="24"/>
        </w:rPr>
      </w:pPr>
    </w:p>
    <w:p w:rsidR="00992725" w:rsidP="00992725">
      <w:pPr>
        <w:pStyle w:val="BodyText"/>
        <w:widowControl/>
        <w:bidi w:val="0"/>
        <w:spacing w:line="276" w:lineRule="auto"/>
        <w:ind w:left="360" w:firstLine="633"/>
        <w:jc w:val="both"/>
        <w:rPr>
          <w:rFonts w:ascii="Times New Roman" w:hAnsi="Times New Roman"/>
          <w:sz w:val="24"/>
        </w:rPr>
      </w:pPr>
      <w:r>
        <w:rPr>
          <w:rFonts w:ascii="Times New Roman" w:hAnsi="Times New Roman"/>
          <w:sz w:val="24"/>
        </w:rPr>
        <w:t xml:space="preserve">Cieľom navrhovanej úpravy je odstrániť praktické problémy pri dodržiavaní a uplatňovaní existujúceho zákazu požívania alkoholických a iných návykových látok maloletými a mladistvými osobami. Podľa platného znenia § 2 ods. 2 zákona č. 219/1996 Z. z. osoby maloleté do 15 rokov a osoby mladistvé do 18 rokov nesmú požívať alkoholické a iné návykové látky, pričom sú povinné podrobiť sa orientačnej dychovej skúške alebo orientačnému vyšetreniu testovacím prístrojom na zistenie omamných alebo psychotropných látok. Napriek tomu, že zákon č. 219/1996 Z. z. obsahuje jednoznačný zákaz požívania alkoholu a iných návykových látok maloletými a mladistvými, </w:t>
      </w:r>
      <w:r w:rsidRPr="009C3870">
        <w:rPr>
          <w:rFonts w:ascii="Times New Roman" w:hAnsi="Times New Roman"/>
          <w:sz w:val="24"/>
        </w:rPr>
        <w:t>neoprávňuje</w:t>
      </w:r>
      <w:r>
        <w:rPr>
          <w:rFonts w:ascii="Times New Roman" w:hAnsi="Times New Roman"/>
          <w:sz w:val="24"/>
        </w:rPr>
        <w:t xml:space="preserve"> príslušníkov Policajného zboru, zamestnancov obecnej a mestskej polície ani iný príslušný orgán k tomu, aby v praxi preverili, či maloletá alebo mladistvá osoba požila alkohol alebo návykovú látku a teda či došlo k porušeniu zákona. Takéto oprávnenie neobsahuje ani zákon Národnej rady Slovenskej republiky č. 171/1993 Z. z. o Policajnom zbore v znení neskorších predpisov. Uvedené spôsobuje praktické problémy pri kontrole dodržiavania zákonom stanoveného zákazu a oslabuje vymožiteľnosť právnej normy.</w:t>
      </w:r>
    </w:p>
    <w:p w:rsidR="00992725" w:rsidP="00992725">
      <w:pPr>
        <w:pStyle w:val="BodyText"/>
        <w:widowControl/>
        <w:bidi w:val="0"/>
        <w:spacing w:line="276" w:lineRule="auto"/>
        <w:ind w:left="360" w:firstLine="633"/>
        <w:jc w:val="both"/>
        <w:rPr>
          <w:rFonts w:ascii="Times New Roman" w:hAnsi="Times New Roman"/>
          <w:sz w:val="24"/>
        </w:rPr>
      </w:pPr>
    </w:p>
    <w:p w:rsidR="00992725" w:rsidP="00992725">
      <w:pPr>
        <w:pStyle w:val="BodyText"/>
        <w:widowControl/>
        <w:bidi w:val="0"/>
        <w:spacing w:line="276" w:lineRule="auto"/>
        <w:ind w:left="360" w:firstLine="633"/>
        <w:jc w:val="both"/>
        <w:rPr>
          <w:rFonts w:ascii="Times New Roman" w:hAnsi="Times New Roman"/>
          <w:sz w:val="24"/>
        </w:rPr>
      </w:pPr>
      <w:r>
        <w:rPr>
          <w:rFonts w:ascii="Times New Roman" w:hAnsi="Times New Roman"/>
          <w:sz w:val="24"/>
        </w:rPr>
        <w:t xml:space="preserve"> Z uvedeného dôvodu predkladaný návrh dopĺňa zákon č. 219/1996 Z. z. o výslovné oprávnenie príslušníkov Policajného zboru, zamestnancov mestskej a obecnej polície a ďalších presne vymedzených orgánov vyzvať maloleté a mladistvé osoby na vyšetrenie na zistenie alkoholu alebo iných návykových látok. Koncepčne sa pritom nadväzuje na existujúce oprávnenie uvedených orgánov vyzvať určený okruh osôb na vyšetrenie na zistenie alkoholu alebo iných návykových látok</w:t>
      </w:r>
      <w:r w:rsidRPr="00BA2329">
        <w:rPr>
          <w:rFonts w:ascii="Times New Roman" w:hAnsi="Times New Roman"/>
          <w:sz w:val="24"/>
        </w:rPr>
        <w:t xml:space="preserve"> </w:t>
      </w:r>
      <w:r>
        <w:rPr>
          <w:rFonts w:ascii="Times New Roman" w:hAnsi="Times New Roman"/>
          <w:sz w:val="24"/>
        </w:rPr>
        <w:t>v zmysle § 5 ods. 1 zákona č. 219/1996 Z. z. Oprávnenie vyzvať maloleté a mladistvé osoby sa nestanovuje ako neobmedzené; mladistvú alebo maloletú osobu nie je možné vyzvať kedykoľvek, ale len v prípade, ak vznikne dôvodné podozrenie, že došlo k porušeniu zákonom stanoveného zákazu, teda ak je dôvodné podozrenie, že maloletá alebo mladistvá osoba požila alkohol alebo inú návykovú látku.</w:t>
      </w:r>
    </w:p>
    <w:p w:rsidR="00992725" w:rsidP="00992725">
      <w:pPr>
        <w:pStyle w:val="BodyText"/>
        <w:widowControl/>
        <w:bidi w:val="0"/>
        <w:spacing w:line="276" w:lineRule="auto"/>
        <w:ind w:left="360" w:firstLine="633"/>
        <w:jc w:val="both"/>
        <w:rPr>
          <w:rFonts w:ascii="Times New Roman" w:hAnsi="Times New Roman"/>
          <w:sz w:val="24"/>
        </w:rPr>
      </w:pPr>
    </w:p>
    <w:p w:rsidR="00992725" w:rsidP="00992725">
      <w:pPr>
        <w:bidi w:val="0"/>
        <w:ind w:left="426" w:firstLine="567"/>
        <w:jc w:val="both"/>
        <w:rPr>
          <w:rFonts w:ascii="Times New Roman" w:hAnsi="Times New Roman"/>
          <w:sz w:val="24"/>
          <w:szCs w:val="24"/>
        </w:rPr>
      </w:pPr>
      <w:r w:rsidRPr="009A7EE2">
        <w:rPr>
          <w:rFonts w:ascii="Times New Roman" w:hAnsi="Times New Roman"/>
          <w:sz w:val="24"/>
          <w:szCs w:val="24"/>
        </w:rPr>
        <w:t xml:space="preserve">Návrh zákona je v súlade s Ústavou Slovenskej republiky, zákonmi a ostatnými všeobecne záväznými právnymi predpismi, ako aj s medzinárodnými zmluvami, ktorými je Slovenská republika viazaná. </w:t>
      </w:r>
    </w:p>
    <w:p w:rsidR="00992725" w:rsidRPr="00BA2329" w:rsidP="00992725">
      <w:pPr>
        <w:bidi w:val="0"/>
        <w:ind w:left="426" w:firstLine="567"/>
        <w:jc w:val="both"/>
        <w:rPr>
          <w:rFonts w:ascii="Times New Roman" w:hAnsi="Times New Roman"/>
          <w:sz w:val="24"/>
          <w:szCs w:val="24"/>
        </w:rPr>
      </w:pPr>
      <w:r w:rsidRPr="00847ED7">
        <w:rPr>
          <w:rFonts w:ascii="Times New Roman" w:hAnsi="Times New Roman"/>
          <w:sz w:val="24"/>
          <w:szCs w:val="24"/>
        </w:rPr>
        <w:t xml:space="preserve">Predložený návrh zákona nebude mať dopad na verejné financie. Nebude mať tiež dopad na životné prostredie, zamestnanosť a informatizáciu spoločnosti, </w:t>
      </w:r>
      <w:r>
        <w:rPr>
          <w:rFonts w:ascii="Times New Roman" w:hAnsi="Times New Roman"/>
          <w:sz w:val="24"/>
          <w:szCs w:val="24"/>
        </w:rPr>
        <w:t>ani podnikateľské prostredie, predpokladá sa však jeho pozitívny sociálny vplyv.</w:t>
      </w:r>
    </w:p>
    <w:p w:rsidR="00992725" w:rsidP="00992725">
      <w:pPr>
        <w:bidi w:val="0"/>
        <w:rPr>
          <w:rFonts w:ascii="Times New Roman" w:hAnsi="Times New Roman"/>
          <w:b/>
          <w:sz w:val="24"/>
          <w:szCs w:val="24"/>
        </w:rPr>
      </w:pPr>
      <w:r>
        <w:rPr>
          <w:rFonts w:ascii="Times New Roman" w:hAnsi="Times New Roman"/>
          <w:b/>
          <w:sz w:val="24"/>
          <w:szCs w:val="24"/>
        </w:rPr>
        <w:br w:type="page"/>
      </w:r>
    </w:p>
    <w:p w:rsidR="00992725" w:rsidRPr="0090561C" w:rsidP="00992725">
      <w:pPr>
        <w:bidi w:val="0"/>
        <w:spacing w:after="0"/>
        <w:rPr>
          <w:rFonts w:ascii="Times New Roman" w:hAnsi="Times New Roman"/>
          <w:b/>
          <w:sz w:val="24"/>
          <w:szCs w:val="24"/>
        </w:rPr>
      </w:pPr>
      <w:r w:rsidRPr="0090561C">
        <w:rPr>
          <w:rFonts w:ascii="Times New Roman" w:hAnsi="Times New Roman"/>
          <w:b/>
          <w:sz w:val="24"/>
          <w:szCs w:val="24"/>
        </w:rPr>
        <w:t xml:space="preserve">B. Osobitná časť </w:t>
      </w:r>
    </w:p>
    <w:p w:rsidR="00992725" w:rsidRPr="0090561C" w:rsidP="00992725">
      <w:pPr>
        <w:bidi w:val="0"/>
        <w:spacing w:after="0"/>
        <w:rPr>
          <w:rFonts w:ascii="Times New Roman" w:hAnsi="Times New Roman"/>
          <w:b/>
          <w:sz w:val="24"/>
          <w:szCs w:val="24"/>
          <w:u w:val="single"/>
        </w:rPr>
      </w:pPr>
    </w:p>
    <w:p w:rsidR="00992725" w:rsidRPr="0090561C" w:rsidP="00992725">
      <w:pPr>
        <w:bidi w:val="0"/>
        <w:spacing w:after="0"/>
        <w:rPr>
          <w:rFonts w:ascii="Times New Roman" w:hAnsi="Times New Roman"/>
          <w:b/>
          <w:sz w:val="24"/>
          <w:szCs w:val="24"/>
          <w:u w:val="single"/>
        </w:rPr>
      </w:pPr>
      <w:r w:rsidRPr="0090561C">
        <w:rPr>
          <w:rFonts w:ascii="Times New Roman" w:hAnsi="Times New Roman"/>
          <w:b/>
          <w:sz w:val="24"/>
          <w:szCs w:val="24"/>
          <w:u w:val="single"/>
        </w:rPr>
        <w:t xml:space="preserve">K čl. I, 1. bodu </w:t>
      </w:r>
    </w:p>
    <w:p w:rsidR="00992725" w:rsidP="00992725">
      <w:pPr>
        <w:pStyle w:val="BodyText"/>
        <w:widowControl/>
        <w:bidi w:val="0"/>
        <w:spacing w:line="276" w:lineRule="auto"/>
        <w:ind w:firstLine="708"/>
        <w:jc w:val="both"/>
        <w:rPr>
          <w:rFonts w:ascii="Times New Roman" w:hAnsi="Times New Roman"/>
          <w:sz w:val="24"/>
        </w:rPr>
      </w:pPr>
      <w:r>
        <w:rPr>
          <w:rFonts w:ascii="Times New Roman" w:hAnsi="Times New Roman"/>
          <w:sz w:val="24"/>
        </w:rPr>
        <w:t>Ide o legislatívno-technickú úpravu. Vypúšťa sa tá časť ustanovenia, ktorá pojmovo nekorešponduje s terminológiou použitou v § 5 zákona.</w:t>
      </w:r>
    </w:p>
    <w:p w:rsidR="00992725" w:rsidRPr="001A517F" w:rsidP="00992725">
      <w:pPr>
        <w:bidi w:val="0"/>
        <w:spacing w:after="0"/>
        <w:jc w:val="both"/>
        <w:rPr>
          <w:rFonts w:ascii="Times New Roman" w:hAnsi="Times New Roman"/>
          <w:b/>
          <w:sz w:val="24"/>
          <w:szCs w:val="24"/>
          <w:u w:val="single"/>
        </w:rPr>
      </w:pPr>
    </w:p>
    <w:p w:rsidR="00992725" w:rsidRPr="001A517F" w:rsidP="00992725">
      <w:pPr>
        <w:bidi w:val="0"/>
        <w:spacing w:after="0"/>
        <w:jc w:val="both"/>
        <w:rPr>
          <w:rFonts w:ascii="Times New Roman" w:hAnsi="Times New Roman"/>
          <w:b/>
          <w:sz w:val="24"/>
          <w:szCs w:val="24"/>
          <w:u w:val="single"/>
        </w:rPr>
      </w:pPr>
      <w:r w:rsidRPr="001A517F">
        <w:rPr>
          <w:rFonts w:ascii="Times New Roman" w:hAnsi="Times New Roman"/>
          <w:b/>
          <w:sz w:val="24"/>
          <w:szCs w:val="24"/>
          <w:u w:val="single"/>
        </w:rPr>
        <w:t>K čl. I, 2. bodu</w:t>
      </w:r>
    </w:p>
    <w:p w:rsidR="00992725" w:rsidP="00992725">
      <w:pPr>
        <w:bidi w:val="0"/>
        <w:spacing w:after="0"/>
        <w:jc w:val="both"/>
        <w:rPr>
          <w:rFonts w:ascii="Times New Roman" w:hAnsi="Times New Roman"/>
          <w:sz w:val="24"/>
          <w:szCs w:val="24"/>
        </w:rPr>
      </w:pPr>
      <w:r>
        <w:rPr>
          <w:rFonts w:ascii="Times New Roman" w:hAnsi="Times New Roman"/>
          <w:sz w:val="24"/>
          <w:szCs w:val="24"/>
        </w:rPr>
        <w:tab/>
        <w:t xml:space="preserve">Dopĺňa sa explicitné oprávnenie pre policajný orgán definovaný v § 5 ods. 1 zákona vyzvať </w:t>
      </w:r>
      <w:r w:rsidRPr="009A4AB8">
        <w:rPr>
          <w:rFonts w:ascii="Times New Roman" w:hAnsi="Times New Roman"/>
          <w:sz w:val="24"/>
          <w:szCs w:val="24"/>
        </w:rPr>
        <w:t xml:space="preserve">maloleté a mladistvé osoby na vyšetrenie na zistenie alkoholu alebo inej návykovej látky. Aby nedošlo k zneužitiu tohto oprávnenia zo strany policajného orgánu, je možné ho realizovať iba v tom prípade, ak existuje dôvodné podozrenie, že maloletá alebo mladistvá osoba požila alkohol alebo inú návykovú látku. </w:t>
      </w:r>
      <w:r>
        <w:rPr>
          <w:rFonts w:ascii="Times New Roman" w:hAnsi="Times New Roman"/>
          <w:sz w:val="24"/>
          <w:szCs w:val="24"/>
        </w:rPr>
        <w:t>Nepostačuje pritom všeobecné</w:t>
      </w:r>
      <w:r w:rsidRPr="009A4AB8">
        <w:rPr>
          <w:rFonts w:ascii="Times New Roman" w:hAnsi="Times New Roman"/>
          <w:sz w:val="24"/>
          <w:szCs w:val="24"/>
        </w:rPr>
        <w:t xml:space="preserve"> nekonkrétne podozrenie z porušenia zákona. Podozrenie musí vychádzať z objektívnej informácie, faktu alebo skutočnosti, ktorá ho robí dôvodným aj pre tretie nezúčastnené osoby (napr. správanie maloletej alebo mladistvej osoby vykazuje známky požitia alkoholu alebo inej návykovej látky, maloletá alebo mladistvá osoba sa </w:t>
      </w:r>
      <w:r>
        <w:rPr>
          <w:rFonts w:ascii="Times New Roman" w:hAnsi="Times New Roman"/>
          <w:sz w:val="24"/>
          <w:szCs w:val="24"/>
        </w:rPr>
        <w:t>zdržiava</w:t>
      </w:r>
      <w:r w:rsidRPr="009A4AB8">
        <w:rPr>
          <w:rFonts w:ascii="Times New Roman" w:hAnsi="Times New Roman"/>
          <w:sz w:val="24"/>
          <w:szCs w:val="24"/>
        </w:rPr>
        <w:t xml:space="preserve"> v prevádzke, v ktorej sa podávajú alkoholické nápoje, atď.).</w:t>
      </w:r>
    </w:p>
    <w:p w:rsidR="00992725" w:rsidRPr="0090561C" w:rsidP="00992725">
      <w:pPr>
        <w:bidi w:val="0"/>
        <w:spacing w:after="0"/>
        <w:jc w:val="both"/>
        <w:rPr>
          <w:rFonts w:ascii="Times New Roman" w:hAnsi="Times New Roman"/>
          <w:b/>
          <w:sz w:val="24"/>
          <w:szCs w:val="24"/>
          <w:u w:val="single"/>
        </w:rPr>
      </w:pPr>
    </w:p>
    <w:p w:rsidR="00992725" w:rsidRPr="0090561C" w:rsidP="00992725">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p>
    <w:p w:rsidR="00992725" w:rsidRPr="0090561C" w:rsidP="00992725">
      <w:pPr>
        <w:bidi w:val="0"/>
        <w:spacing w:after="0"/>
        <w:ind w:firstLine="709"/>
        <w:jc w:val="both"/>
        <w:rPr>
          <w:rFonts w:ascii="Times New Roman" w:hAnsi="Times New Roman"/>
          <w:sz w:val="24"/>
          <w:szCs w:val="24"/>
        </w:rPr>
      </w:pPr>
      <w:r w:rsidRPr="0090561C">
        <w:rPr>
          <w:rFonts w:ascii="Times New Roman" w:hAnsi="Times New Roman"/>
          <w:sz w:val="24"/>
          <w:szCs w:val="24"/>
        </w:rPr>
        <w:t>Ustanovuje sa účinnosť návrhu zákona tak, aby termínovo napĺňala všetky lehoty procesu prerokúvania a schvaľovania zákonov Národnou radou Slovenskej republiky.</w:t>
      </w:r>
    </w:p>
    <w:p w:rsidR="00992725" w:rsidRPr="009A7EE2" w:rsidP="00992725">
      <w:pPr>
        <w:pStyle w:val="ListParagraph"/>
        <w:bidi w:val="0"/>
        <w:jc w:val="both"/>
        <w:rPr>
          <w:rFonts w:ascii="Times New Roman" w:hAnsi="Times New Roman"/>
        </w:rPr>
      </w:pPr>
    </w:p>
    <w:p w:rsidR="00992725" w:rsidRPr="009A7EE2" w:rsidP="00992725">
      <w:pPr>
        <w:pStyle w:val="ListParagraph"/>
        <w:bidi w:val="0"/>
        <w:jc w:val="both"/>
        <w:rPr>
          <w:rFonts w:ascii="Times New Roman" w:hAnsi="Times New Roman"/>
          <w:sz w:val="24"/>
          <w:szCs w:val="24"/>
        </w:rPr>
      </w:pPr>
    </w:p>
    <w:p w:rsidR="00992725" w:rsidRPr="00C61B44" w:rsidP="00992725">
      <w:pPr>
        <w:bidi w:val="0"/>
        <w:jc w:val="both"/>
        <w:rPr>
          <w:rFonts w:ascii="Times New Roman" w:hAnsi="Times New Roman"/>
          <w:i/>
          <w:sz w:val="24"/>
          <w:szCs w:val="24"/>
        </w:rPr>
      </w:pPr>
    </w:p>
    <w:p w:rsidR="00992725" w:rsidRPr="00B06366" w:rsidP="00992725">
      <w:pPr>
        <w:pStyle w:val="ListParagraph"/>
        <w:bidi w:val="0"/>
        <w:ind w:left="0"/>
        <w:jc w:val="both"/>
        <w:rPr>
          <w:rFonts w:ascii="Times New Roman" w:hAnsi="Times New Roman"/>
          <w:i/>
          <w:sz w:val="24"/>
          <w:szCs w:val="24"/>
        </w:rPr>
      </w:pPr>
    </w:p>
    <w:p w:rsidR="00992725" w:rsidP="00992725">
      <w:pPr>
        <w:bidi w:val="0"/>
        <w:spacing w:after="0" w:line="240" w:lineRule="auto"/>
        <w:rPr>
          <w:rFonts w:ascii="Times New Roman" w:hAnsi="Times New Roman"/>
          <w:sz w:val="24"/>
          <w:szCs w:val="24"/>
        </w:rPr>
      </w:pPr>
      <w:r>
        <w:rPr>
          <w:rFonts w:ascii="Times New Roman" w:hAnsi="Times New Roman"/>
          <w:sz w:val="24"/>
          <w:szCs w:val="24"/>
        </w:rPr>
        <w:br w:type="page"/>
      </w:r>
    </w:p>
    <w:p w:rsidR="00992725" w:rsidRPr="00B06366" w:rsidP="00992725">
      <w:pPr>
        <w:bidi w:val="0"/>
        <w:jc w:val="center"/>
        <w:rPr>
          <w:rFonts w:ascii="Times New Roman" w:hAnsi="Times New Roman"/>
          <w:b/>
          <w:sz w:val="24"/>
          <w:szCs w:val="24"/>
        </w:rPr>
      </w:pPr>
      <w:r w:rsidRPr="00B06366">
        <w:rPr>
          <w:rFonts w:ascii="Times New Roman" w:hAnsi="Times New Roman"/>
          <w:sz w:val="24"/>
          <w:szCs w:val="24"/>
        </w:rPr>
        <w:t xml:space="preserve"> </w:t>
      </w:r>
      <w:r w:rsidRPr="00B06366">
        <w:rPr>
          <w:rFonts w:ascii="Times New Roman" w:hAnsi="Times New Roman"/>
          <w:b/>
          <w:sz w:val="24"/>
          <w:szCs w:val="24"/>
        </w:rPr>
        <w:t>DOLOŽKA ZLUČITEĽNOSTI</w:t>
      </w:r>
    </w:p>
    <w:p w:rsidR="00992725" w:rsidRPr="00B06366" w:rsidP="00992725">
      <w:pPr>
        <w:bidi w:val="0"/>
        <w:jc w:val="center"/>
        <w:rPr>
          <w:rFonts w:ascii="Times New Roman" w:hAnsi="Times New Roman"/>
          <w:b/>
          <w:sz w:val="24"/>
          <w:szCs w:val="24"/>
        </w:rPr>
      </w:pPr>
      <w:r w:rsidRPr="00B06366">
        <w:rPr>
          <w:rFonts w:ascii="Times New Roman" w:hAnsi="Times New Roman"/>
          <w:b/>
          <w:sz w:val="24"/>
          <w:szCs w:val="24"/>
        </w:rPr>
        <w:t>právneho predpisu s právom Európskej únie</w:t>
      </w:r>
    </w:p>
    <w:p w:rsidR="00992725" w:rsidRPr="00B06366" w:rsidP="00992725">
      <w:pPr>
        <w:bidi w:val="0"/>
        <w:jc w:val="center"/>
        <w:rPr>
          <w:rFonts w:ascii="Times New Roman" w:hAnsi="Times New Roman"/>
          <w:b/>
          <w:sz w:val="24"/>
          <w:szCs w:val="24"/>
        </w:rPr>
      </w:pPr>
    </w:p>
    <w:p w:rsidR="00992725" w:rsidRPr="00B06366" w:rsidP="00992725">
      <w:pPr>
        <w:bidi w:val="0"/>
        <w:jc w:val="both"/>
        <w:rPr>
          <w:rFonts w:ascii="Times New Roman" w:hAnsi="Times New Roman"/>
          <w:b/>
          <w:sz w:val="24"/>
          <w:szCs w:val="24"/>
        </w:rPr>
      </w:pPr>
      <w:r w:rsidRPr="00B06366">
        <w:rPr>
          <w:rFonts w:ascii="Times New Roman" w:hAnsi="Times New Roman"/>
          <w:b/>
          <w:sz w:val="24"/>
          <w:szCs w:val="24"/>
        </w:rPr>
        <w:t>1</w:t>
      </w:r>
      <w:r w:rsidRPr="00B06366">
        <w:rPr>
          <w:rFonts w:ascii="Times New Roman" w:hAnsi="Times New Roman"/>
          <w:sz w:val="24"/>
          <w:szCs w:val="24"/>
        </w:rPr>
        <w:t xml:space="preserve">.  </w:t>
      </w:r>
      <w:r w:rsidRPr="00B06366">
        <w:rPr>
          <w:rFonts w:ascii="Times New Roman" w:hAnsi="Times New Roman"/>
          <w:b/>
          <w:sz w:val="24"/>
          <w:szCs w:val="24"/>
        </w:rPr>
        <w:t xml:space="preserve">Predkladateľ právneho predpisu:         </w:t>
      </w:r>
    </w:p>
    <w:p w:rsidR="00992725" w:rsidRPr="00B06366" w:rsidP="00992725">
      <w:pPr>
        <w:bidi w:val="0"/>
        <w:jc w:val="both"/>
        <w:rPr>
          <w:rFonts w:ascii="Times New Roman" w:hAnsi="Times New Roman"/>
          <w:sz w:val="24"/>
          <w:szCs w:val="24"/>
        </w:rPr>
      </w:pPr>
      <w:r w:rsidRPr="00B06366">
        <w:rPr>
          <w:rFonts w:ascii="Times New Roman" w:hAnsi="Times New Roman"/>
          <w:sz w:val="24"/>
          <w:szCs w:val="24"/>
        </w:rPr>
        <w:t>Poslanci Národnej rady Slo</w:t>
      </w:r>
      <w:r>
        <w:rPr>
          <w:rFonts w:ascii="Times New Roman" w:hAnsi="Times New Roman"/>
          <w:sz w:val="24"/>
          <w:szCs w:val="24"/>
        </w:rPr>
        <w:t>venskej republiky Peter Antal a Peter Pamula.</w:t>
      </w:r>
    </w:p>
    <w:p w:rsidR="00992725" w:rsidRPr="00B06366" w:rsidP="00992725">
      <w:pPr>
        <w:bidi w:val="0"/>
        <w:jc w:val="both"/>
        <w:rPr>
          <w:rFonts w:ascii="Times New Roman" w:hAnsi="Times New Roman"/>
          <w:sz w:val="24"/>
          <w:szCs w:val="24"/>
        </w:rPr>
      </w:pPr>
      <w:r w:rsidRPr="00B06366">
        <w:rPr>
          <w:rFonts w:ascii="Times New Roman" w:hAnsi="Times New Roman"/>
          <w:b/>
          <w:sz w:val="24"/>
          <w:szCs w:val="24"/>
        </w:rPr>
        <w:t>2.</w:t>
      </w:r>
      <w:r w:rsidRPr="00B06366">
        <w:rPr>
          <w:rFonts w:ascii="Times New Roman" w:hAnsi="Times New Roman"/>
          <w:sz w:val="24"/>
          <w:szCs w:val="24"/>
        </w:rPr>
        <w:t xml:space="preserve">  </w:t>
      </w:r>
      <w:r w:rsidRPr="00B06366">
        <w:rPr>
          <w:rFonts w:ascii="Times New Roman" w:hAnsi="Times New Roman"/>
          <w:b/>
          <w:sz w:val="24"/>
          <w:szCs w:val="24"/>
        </w:rPr>
        <w:t>Názov návrhu právneho predpisu</w:t>
      </w:r>
      <w:r w:rsidRPr="00B06366">
        <w:rPr>
          <w:rFonts w:ascii="Times New Roman" w:hAnsi="Times New Roman"/>
          <w:sz w:val="24"/>
          <w:szCs w:val="24"/>
        </w:rPr>
        <w:t xml:space="preserve">: </w:t>
      </w:r>
    </w:p>
    <w:p w:rsidR="00992725" w:rsidRPr="001C0FFE" w:rsidP="00992725">
      <w:pPr>
        <w:bidi w:val="0"/>
        <w:spacing w:after="0"/>
        <w:jc w:val="both"/>
        <w:rPr>
          <w:rFonts w:ascii="Times New Roman" w:hAnsi="Times New Roman"/>
          <w:sz w:val="24"/>
          <w:szCs w:val="24"/>
          <w:highlight w:val="yellow"/>
        </w:rPr>
      </w:pPr>
      <w:r w:rsidRPr="001C0FFE">
        <w:rPr>
          <w:rFonts w:ascii="Times New Roman" w:hAnsi="Times New Roman"/>
          <w:sz w:val="24"/>
          <w:szCs w:val="24"/>
        </w:rPr>
        <w:t xml:space="preserve">Návrh zákona, ktorým sa mení a dopĺňa </w:t>
      </w:r>
      <w:r w:rsidRPr="001C0FFE">
        <w:rPr>
          <w:rFonts w:ascii="Times New Roman" w:hAnsi="Times New Roman"/>
          <w:color w:val="000000"/>
          <w:sz w:val="24"/>
          <w:szCs w:val="24"/>
          <w:lang w:eastAsia="sk-SK"/>
        </w:rPr>
        <w:t>zákon Národnej rady Slovenskej republiky č. 219/1996 Z. z. o ochrane pred zneužívaním alkoholických nápojov a o zriaďovaní a prevádzke protialkoholických záchytných izieb v znení neskorších predpisov.</w:t>
      </w:r>
    </w:p>
    <w:p w:rsidR="00992725" w:rsidRPr="00BE1CD8" w:rsidP="00992725">
      <w:pPr>
        <w:bidi w:val="0"/>
        <w:spacing w:after="0"/>
        <w:jc w:val="both"/>
        <w:rPr>
          <w:rFonts w:ascii="Times New Roman" w:hAnsi="Times New Roman"/>
          <w:sz w:val="24"/>
          <w:szCs w:val="24"/>
        </w:rPr>
      </w:pPr>
      <w:r w:rsidRPr="00BE1CD8">
        <w:rPr>
          <w:rFonts w:ascii="Times New Roman" w:hAnsi="Times New Roman"/>
          <w:sz w:val="24"/>
          <w:szCs w:val="24"/>
        </w:rPr>
        <w:t xml:space="preserve">                                                   </w:t>
      </w:r>
    </w:p>
    <w:p w:rsidR="00992725" w:rsidRPr="00B06366" w:rsidP="00992725">
      <w:pPr>
        <w:bidi w:val="0"/>
        <w:jc w:val="both"/>
        <w:rPr>
          <w:rFonts w:ascii="Times New Roman" w:hAnsi="Times New Roman"/>
          <w:sz w:val="24"/>
          <w:szCs w:val="24"/>
        </w:rPr>
      </w:pPr>
      <w:r w:rsidRPr="00B06366">
        <w:rPr>
          <w:rFonts w:ascii="Times New Roman" w:hAnsi="Times New Roman"/>
          <w:b/>
          <w:sz w:val="24"/>
          <w:szCs w:val="24"/>
        </w:rPr>
        <w:t>3.</w:t>
      </w:r>
      <w:r w:rsidRPr="00B06366">
        <w:rPr>
          <w:rFonts w:ascii="Times New Roman" w:hAnsi="Times New Roman"/>
          <w:sz w:val="24"/>
          <w:szCs w:val="24"/>
        </w:rPr>
        <w:t xml:space="preserve"> </w:t>
      </w:r>
      <w:r w:rsidRPr="00B06366">
        <w:rPr>
          <w:rFonts w:ascii="Times New Roman" w:hAnsi="Times New Roman"/>
          <w:b/>
          <w:sz w:val="24"/>
          <w:szCs w:val="24"/>
        </w:rPr>
        <w:t xml:space="preserve"> Problematika návrhu právneho predpisu:</w:t>
      </w:r>
    </w:p>
    <w:p w:rsidR="00992725" w:rsidP="00992725">
      <w:pPr>
        <w:pStyle w:val="odsek"/>
        <w:keepNext w:val="0"/>
        <w:widowControl w:val="0"/>
        <w:bidi w:val="0"/>
        <w:ind w:firstLine="0"/>
        <w:rPr>
          <w:rFonts w:ascii="Times New Roman" w:hAnsi="Times New Roman"/>
        </w:rPr>
      </w:pPr>
      <w:r>
        <w:rPr>
          <w:rFonts w:ascii="Times New Roman" w:hAnsi="Times New Roman"/>
        </w:rPr>
        <w:t>Je v súlade s právnou úpravou Európskej únie.</w:t>
      </w:r>
    </w:p>
    <w:p w:rsidR="00992725" w:rsidP="00992725">
      <w:pPr>
        <w:pStyle w:val="odsek"/>
        <w:keepNext w:val="0"/>
        <w:widowControl w:val="0"/>
        <w:bidi w:val="0"/>
        <w:ind w:firstLine="0"/>
        <w:rPr>
          <w:rFonts w:ascii="Times New Roman" w:hAnsi="Times New Roman"/>
        </w:rPr>
      </w:pPr>
    </w:p>
    <w:p w:rsidR="00992725" w:rsidP="00992725">
      <w:pPr>
        <w:pStyle w:val="odsek"/>
        <w:keepNext w:val="0"/>
        <w:widowControl w:val="0"/>
        <w:bidi w:val="0"/>
        <w:ind w:firstLine="0"/>
        <w:rPr>
          <w:rFonts w:ascii="Times New Roman" w:hAnsi="Times New Roman"/>
          <w:b/>
        </w:rPr>
      </w:pPr>
      <w:r w:rsidRPr="005B622F">
        <w:rPr>
          <w:rFonts w:ascii="Times New Roman" w:hAnsi="Times New Roman"/>
          <w:b/>
        </w:rPr>
        <w:t>4. Záväzky Slovenskej republiky vo vzťahu k Európskej únii:</w:t>
      </w:r>
    </w:p>
    <w:p w:rsidR="00992725" w:rsidP="00992725">
      <w:pPr>
        <w:pStyle w:val="odsek"/>
        <w:keepNext w:val="0"/>
        <w:widowControl w:val="0"/>
        <w:bidi w:val="0"/>
        <w:ind w:firstLine="0"/>
        <w:rPr>
          <w:rFonts w:ascii="Times New Roman" w:hAnsi="Times New Roman"/>
          <w:b/>
        </w:rPr>
      </w:pPr>
    </w:p>
    <w:p w:rsidR="00992725" w:rsidRPr="00852E26" w:rsidP="00992725">
      <w:pPr>
        <w:pStyle w:val="odsek"/>
        <w:keepNext w:val="0"/>
        <w:widowControl w:val="0"/>
        <w:bidi w:val="0"/>
        <w:ind w:firstLine="0"/>
        <w:rPr>
          <w:rFonts w:ascii="Times New Roman" w:hAnsi="Times New Roman"/>
        </w:rPr>
      </w:pPr>
      <w:r w:rsidRPr="00852E26">
        <w:rPr>
          <w:rFonts w:ascii="Times New Roman" w:hAnsi="Times New Roman"/>
        </w:rPr>
        <w:t>Nie sú predkladaným návrhom dotknuté.</w:t>
      </w:r>
    </w:p>
    <w:p w:rsidR="00992725" w:rsidP="00992725">
      <w:pPr>
        <w:pStyle w:val="odsek"/>
        <w:keepNext w:val="0"/>
        <w:widowControl w:val="0"/>
        <w:bidi w:val="0"/>
        <w:ind w:firstLine="0"/>
        <w:rPr>
          <w:rFonts w:ascii="Times New Roman" w:hAnsi="Times New Roman"/>
        </w:rPr>
      </w:pPr>
    </w:p>
    <w:p w:rsidR="00992725" w:rsidRPr="005B622F" w:rsidP="00992725">
      <w:pPr>
        <w:pStyle w:val="odsek"/>
        <w:keepNext w:val="0"/>
        <w:widowControl w:val="0"/>
        <w:bidi w:val="0"/>
        <w:ind w:firstLine="0"/>
        <w:rPr>
          <w:rFonts w:ascii="Times New Roman" w:hAnsi="Times New Roman"/>
          <w:b/>
        </w:rPr>
      </w:pPr>
      <w:r w:rsidRPr="005B622F">
        <w:rPr>
          <w:rFonts w:ascii="Times New Roman" w:hAnsi="Times New Roman"/>
          <w:b/>
        </w:rPr>
        <w:t>5. Stupeň zlučiteľnosti návrhu právneho predpisu s právom Európskej únie:</w:t>
      </w:r>
    </w:p>
    <w:p w:rsidR="00992725" w:rsidRPr="00B06366" w:rsidP="00992725">
      <w:pPr>
        <w:pStyle w:val="odsek"/>
        <w:keepNext w:val="0"/>
        <w:widowControl w:val="0"/>
        <w:bidi w:val="0"/>
        <w:ind w:firstLine="0"/>
        <w:rPr>
          <w:rFonts w:ascii="Times New Roman" w:hAnsi="Times New Roman"/>
        </w:rPr>
      </w:pPr>
    </w:p>
    <w:p w:rsidR="00992725" w:rsidP="00992725">
      <w:pPr>
        <w:pStyle w:val="odsek"/>
        <w:keepNext w:val="0"/>
        <w:widowControl w:val="0"/>
        <w:bidi w:val="0"/>
        <w:ind w:firstLine="0"/>
        <w:rPr>
          <w:rFonts w:ascii="Times New Roman" w:hAnsi="Times New Roman"/>
        </w:rPr>
      </w:pPr>
      <w:r>
        <w:rPr>
          <w:rFonts w:ascii="Times New Roman" w:hAnsi="Times New Roman"/>
        </w:rPr>
        <w:t>Stupeň zlučiteľnosti – úplný</w:t>
      </w:r>
    </w:p>
    <w:p w:rsidR="00992725" w:rsidP="00992725">
      <w:pPr>
        <w:bidi w:val="0"/>
        <w:spacing w:after="0" w:line="240" w:lineRule="auto"/>
        <w:rPr>
          <w:rFonts w:ascii="Times New Roman" w:hAnsi="Times New Roman"/>
          <w:sz w:val="24"/>
          <w:szCs w:val="24"/>
          <w:lang w:eastAsia="sk-SK"/>
        </w:rPr>
      </w:pPr>
      <w:r>
        <w:br w:type="page"/>
      </w:r>
    </w:p>
    <w:p w:rsidR="00992725" w:rsidRPr="009B3D22" w:rsidP="00992725">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Doložka vybraných vplyvov</w:t>
      </w:r>
    </w:p>
    <w:p w:rsidR="00992725" w:rsidP="00992725">
      <w:pPr>
        <w:pStyle w:val="odsek"/>
        <w:keepNext w:val="0"/>
        <w:widowControl w:val="0"/>
        <w:bidi w:val="0"/>
        <w:ind w:firstLine="0"/>
        <w:rPr>
          <w:rFonts w:ascii="Times New Roman" w:hAnsi="Times New Roman"/>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34"/>
        <w:gridCol w:w="3622"/>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247"/>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autoSpaceDE w:val="0"/>
              <w:autoSpaceDN w:val="0"/>
              <w:bidi w:val="0"/>
              <w:adjustRightInd w:val="0"/>
              <w:spacing w:after="0" w:line="240" w:lineRule="auto"/>
              <w:jc w:val="both"/>
              <w:rPr>
                <w:rFonts w:ascii="Times" w:hAnsi="Times" w:cs="Times"/>
                <w:b/>
                <w:bCs/>
                <w:sz w:val="20"/>
                <w:szCs w:val="20"/>
              </w:rPr>
            </w:pPr>
            <w:r>
              <w:rPr>
                <w:rFonts w:ascii="Times" w:hAnsi="Times" w:cs="Times"/>
                <w:b/>
                <w:bCs/>
                <w:sz w:val="20"/>
                <w:szCs w:val="20"/>
              </w:rPr>
              <w:t xml:space="preserve">  </w:t>
            </w:r>
            <w:r w:rsidRPr="009B3D22">
              <w:rPr>
                <w:rFonts w:ascii="Times" w:hAnsi="Times" w:cs="Times"/>
                <w:b/>
                <w:bCs/>
                <w:sz w:val="20"/>
                <w:szCs w:val="20"/>
              </w:rPr>
              <w:t>1.  Základné údaje</w:t>
            </w:r>
          </w:p>
        </w:tc>
      </w:tr>
      <w:tr>
        <w:tblPrEx>
          <w:tblW w:w="5000" w:type="pct"/>
          <w:jc w:val="center"/>
          <w:tblCellMar>
            <w:left w:w="0" w:type="dxa"/>
            <w:right w:w="0" w:type="dxa"/>
          </w:tblCellMar>
          <w:tblLook w:val="04A0"/>
        </w:tblPrEx>
        <w:trPr>
          <w:trHeight w:val="247"/>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tcPr>
          <w:p w:rsidR="00992725" w:rsidRPr="009B3D22" w:rsidP="00EE7D57">
            <w:pPr>
              <w:autoSpaceDE w:val="0"/>
              <w:autoSpaceDN w:val="0"/>
              <w:bidi w:val="0"/>
              <w:adjustRightInd w:val="0"/>
              <w:spacing w:after="0" w:line="240" w:lineRule="auto"/>
              <w:jc w:val="both"/>
              <w:rPr>
                <w:rFonts w:ascii="Times New Roman" w:hAnsi="Times New Roman"/>
                <w:color w:val="000000"/>
                <w:sz w:val="20"/>
                <w:szCs w:val="20"/>
              </w:rPr>
            </w:pPr>
            <w:r w:rsidRPr="009B3D22">
              <w:rPr>
                <w:rFonts w:ascii="Times" w:hAnsi="Times" w:cs="Times"/>
                <w:b/>
                <w:bCs/>
                <w:sz w:val="20"/>
                <w:szCs w:val="20"/>
              </w:rPr>
              <w:t>  Názov materiálu</w:t>
            </w:r>
            <w:r w:rsidRPr="009B3D22">
              <w:rPr>
                <w:rFonts w:ascii="Times New Roman" w:hAnsi="Times New Roman"/>
                <w:sz w:val="20"/>
                <w:szCs w:val="20"/>
              </w:rPr>
              <w:t xml:space="preserve"> </w:t>
            </w:r>
          </w:p>
          <w:p w:rsidR="00992725" w:rsidRPr="009B3D22" w:rsidP="00EE7D57">
            <w:pPr>
              <w:autoSpaceDE w:val="0"/>
              <w:autoSpaceDN w:val="0"/>
              <w:bidi w:val="0"/>
              <w:adjustRightInd w:val="0"/>
              <w:spacing w:after="0" w:line="240" w:lineRule="auto"/>
              <w:jc w:val="both"/>
              <w:rPr>
                <w:rFonts w:ascii="Times" w:hAnsi="Times" w:cs="Times"/>
                <w:b/>
                <w:bCs/>
                <w:sz w:val="20"/>
                <w:szCs w:val="20"/>
              </w:rPr>
            </w:pPr>
          </w:p>
        </w:tc>
      </w:tr>
      <w:tr>
        <w:tblPrEx>
          <w:tblW w:w="5000" w:type="pct"/>
          <w:jc w:val="center"/>
          <w:tblCellMar>
            <w:left w:w="0" w:type="dxa"/>
            <w:right w:w="0" w:type="dxa"/>
          </w:tblCellMar>
          <w:tblLook w:val="04A0"/>
        </w:tblPrEx>
        <w:trPr>
          <w:trHeight w:val="3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1C0FFE" w:rsidP="00EE7D57">
            <w:pPr>
              <w:bidi w:val="0"/>
              <w:jc w:val="both"/>
              <w:rPr>
                <w:rFonts w:ascii="Times New Roman" w:hAnsi="Times New Roman"/>
                <w:sz w:val="20"/>
                <w:szCs w:val="20"/>
              </w:rPr>
            </w:pPr>
            <w:r w:rsidRPr="001C0FFE">
              <w:rPr>
                <w:rFonts w:ascii="Times New Roman" w:hAnsi="Times New Roman"/>
                <w:sz w:val="20"/>
                <w:szCs w:val="20"/>
              </w:rPr>
              <w:t xml:space="preserve"> Návrh zákona, ktorým sa mení a dopĺňa zákon </w:t>
            </w:r>
            <w:r w:rsidRPr="001C0FFE">
              <w:rPr>
                <w:rFonts w:ascii="Times New Roman" w:hAnsi="Times New Roman"/>
                <w:color w:val="000000"/>
                <w:sz w:val="20"/>
                <w:szCs w:val="20"/>
                <w:lang w:eastAsia="sk-SK"/>
              </w:rPr>
              <w:t>Národnej rady Slovenskej republiky č. 219/1996 Z. z. o ochrane pred zneužívaním alkoholických nápojov a o zriaďovaní a prevádzke protialkoholických záchytných izieb v znení neskorších predpisov</w:t>
            </w:r>
            <w:r w:rsidRPr="001C0FFE">
              <w:rPr>
                <w:rFonts w:ascii="Times New Roman" w:hAnsi="Times New Roman"/>
                <w:sz w:val="20"/>
                <w:szCs w:val="20"/>
              </w:rPr>
              <w:t>.</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sz w:val="20"/>
                <w:szCs w:val="20"/>
              </w:rPr>
            </w:pPr>
            <w:r>
              <w:rPr>
                <w:rFonts w:ascii="Times" w:hAnsi="Times" w:cs="Times"/>
                <w:sz w:val="20"/>
                <w:szCs w:val="20"/>
              </w:rPr>
              <w:t xml:space="preserve"> Peter Antal a Peter Pamula</w:t>
            </w:r>
          </w:p>
        </w:tc>
      </w:tr>
      <w:tr>
        <w:tblPrEx>
          <w:tblW w:w="5000" w:type="pct"/>
          <w:jc w:val="center"/>
          <w:tblCellMar>
            <w:left w:w="0" w:type="dxa"/>
            <w:right w:w="0" w:type="dxa"/>
          </w:tblCellMar>
          <w:tblLook w:val="04A0"/>
        </w:tblPrEx>
        <w:trPr>
          <w:trHeight w:val="255"/>
          <w:jc w:val="center"/>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2C07B8" w:rsidP="00EE7D57">
            <w:pPr>
              <w:bidi w:val="0"/>
              <w:jc w:val="center"/>
              <w:rPr>
                <w:rFonts w:ascii="Times" w:hAnsi="Times" w:cs="Times"/>
                <w:b/>
                <w:bCs/>
                <w:sz w:val="20"/>
                <w:szCs w:val="20"/>
              </w:rPr>
            </w:pPr>
            <w:r w:rsidRPr="002C07B8">
              <w:rPr>
                <w:rFonts w:ascii="Times" w:hAnsi="Times" w:cs="Times"/>
                <w:b/>
                <w:bCs/>
                <w:sz w:val="20"/>
                <w:szCs w:val="20"/>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w:t>
            </w:r>
            <w:r w:rsidRPr="002C07B8">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S</w:t>
            </w:r>
            <w:r w:rsidRPr="002C07B8">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w:t>
            </w:r>
            <w:r w:rsidRPr="002C07B8">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184"/>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sz w:val="20"/>
                <w:szCs w:val="20"/>
              </w:rPr>
            </w:pPr>
          </w:p>
        </w:tc>
      </w:tr>
      <w:tr>
        <w:tblPrEx>
          <w:tblW w:w="5000" w:type="pct"/>
          <w:jc w:val="center"/>
          <w:tblCellMar>
            <w:left w:w="0" w:type="dxa"/>
            <w:right w:w="0" w:type="dxa"/>
          </w:tblCellMar>
          <w:tblLook w:val="04A0"/>
        </w:tblPrEx>
        <w:trPr>
          <w:trHeight w:val="275"/>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New Roman" w:hAnsi="Times New Roman"/>
                <w:sz w:val="20"/>
                <w:szCs w:val="20"/>
              </w:rPr>
            </w:pPr>
            <w:r w:rsidRPr="002C07B8">
              <w:rPr>
                <w:rFonts w:ascii="Times New Roman" w:hAnsi="Times New Roman"/>
                <w:bCs/>
                <w:sz w:val="20"/>
                <w:szCs w:val="20"/>
              </w:rPr>
              <w:t>Materiál nebol predmetom PPK</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New Roman" w:hAnsi="Times New Roman"/>
                <w:sz w:val="20"/>
                <w:szCs w:val="20"/>
              </w:rPr>
            </w:pPr>
            <w:r w:rsidRPr="002C07B8">
              <w:rPr>
                <w:rFonts w:ascii="Times New Roman" w:hAnsi="Times New Roman"/>
                <w:bCs/>
                <w:sz w:val="20"/>
                <w:szCs w:val="20"/>
              </w:rPr>
              <w:t>Materiál nebol predmetom MPK</w:t>
            </w:r>
          </w:p>
        </w:tc>
      </w:tr>
      <w:tr>
        <w:tblPrEx>
          <w:tblW w:w="5000" w:type="pct"/>
          <w:jc w:val="center"/>
          <w:tblCellMar>
            <w:left w:w="0" w:type="dxa"/>
            <w:right w:w="0" w:type="dxa"/>
          </w:tblCellMar>
          <w:tblLook w:val="04A0"/>
        </w:tblPrEx>
        <w:trPr>
          <w:trHeight w:val="152"/>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New Roman" w:hAnsi="Times New Roman"/>
                <w:sz w:val="20"/>
                <w:szCs w:val="20"/>
              </w:rPr>
            </w:pPr>
            <w:r w:rsidRPr="002C07B8">
              <w:rPr>
                <w:rFonts w:ascii="Times New Roman" w:hAnsi="Times New Roman"/>
                <w:sz w:val="20"/>
                <w:szCs w:val="20"/>
              </w:rPr>
              <w:t>Materiál nebol predkladaný na 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2.  Definícia problému</w:t>
            </w:r>
          </w:p>
        </w:tc>
      </w:tr>
      <w:tr>
        <w:tblPrEx>
          <w:tblW w:w="5000" w:type="pct"/>
          <w:jc w:val="center"/>
          <w:tblCellMar>
            <w:left w:w="0" w:type="dxa"/>
            <w:right w:w="0" w:type="dxa"/>
          </w:tblCellMar>
          <w:tblLook w:val="04A0"/>
        </w:tblPrEx>
        <w:trPr>
          <w:trHeight w:val="55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autoSpaceDE w:val="0"/>
              <w:autoSpaceDN w:val="0"/>
              <w:bidi w:val="0"/>
              <w:spacing w:after="0" w:line="240" w:lineRule="auto"/>
              <w:rPr>
                <w:rFonts w:ascii="Times" w:hAnsi="Times" w:cs="Times"/>
                <w:sz w:val="20"/>
                <w:szCs w:val="20"/>
              </w:rPr>
            </w:pPr>
            <w:r>
              <w:rPr>
                <w:rFonts w:ascii="Times" w:hAnsi="Times" w:cs="Times"/>
                <w:sz w:val="20"/>
                <w:szCs w:val="20"/>
              </w:rPr>
              <w:t xml:space="preserve"> Aplikačné problémy pri uplatňovaní zákazu podľa § 2 ods. 2 zákona.</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P="00EE7D57">
            <w:pPr>
              <w:autoSpaceDE w:val="0"/>
              <w:autoSpaceDN w:val="0"/>
              <w:bidi w:val="0"/>
              <w:spacing w:after="0" w:line="240" w:lineRule="auto"/>
              <w:rPr>
                <w:rFonts w:ascii="Times" w:hAnsi="Times" w:cs="Times"/>
                <w:sz w:val="20"/>
                <w:szCs w:val="20"/>
              </w:rPr>
            </w:pPr>
            <w:r>
              <w:rPr>
                <w:rFonts w:ascii="Times" w:hAnsi="Times" w:cs="Times"/>
                <w:sz w:val="20"/>
                <w:szCs w:val="20"/>
              </w:rPr>
              <w:t xml:space="preserve"> Oprávnenie policajného orgánu definovaného v § 5 ods. 1 zákona kontrolovať dodržiavanie zákazu uvedeného v ustanovení § 2 ods. 2 zákona.</w:t>
            </w:r>
          </w:p>
          <w:p w:rsidR="00992725" w:rsidRPr="00D02C93" w:rsidP="00EE7D57">
            <w:pPr>
              <w:autoSpaceDE w:val="0"/>
              <w:autoSpaceDN w:val="0"/>
              <w:bidi w:val="0"/>
              <w:spacing w:after="0" w:line="240" w:lineRule="auto"/>
              <w:rPr>
                <w:rFonts w:ascii="Times New Roman" w:hAnsi="Times New Roman"/>
                <w:bCs/>
                <w:sz w:val="20"/>
                <w:szCs w:val="20"/>
                <w:lang w:eastAsia="sk-SK"/>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4.  Dotknuté subjekty</w:t>
            </w:r>
          </w:p>
        </w:tc>
      </w:tr>
      <w:tr>
        <w:tblPrEx>
          <w:tblW w:w="5000" w:type="pct"/>
          <w:jc w:val="center"/>
          <w:tblCellMar>
            <w:left w:w="0" w:type="dxa"/>
            <w:right w:w="0" w:type="dxa"/>
          </w:tblCellMar>
          <w:tblLook w:val="04A0"/>
        </w:tblPrEx>
        <w:trPr>
          <w:trHeight w:val="319"/>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sz w:val="20"/>
                <w:szCs w:val="20"/>
              </w:rPr>
            </w:pPr>
            <w:r>
              <w:rPr>
                <w:rFonts w:ascii="Times" w:hAnsi="Times" w:cs="Times"/>
                <w:sz w:val="20"/>
                <w:szCs w:val="20"/>
              </w:rPr>
              <w:t xml:space="preserve"> Maloleté a mladistvé osoby, policajný orgán v zmysle § 5 ods. 1 zákona. </w:t>
            </w:r>
          </w:p>
        </w:tc>
      </w:tr>
      <w:tr>
        <w:tblPrEx>
          <w:tblW w:w="5000" w:type="pct"/>
          <w:jc w:val="center"/>
          <w:tblCellMar>
            <w:left w:w="0" w:type="dxa"/>
            <w:right w:w="0" w:type="dxa"/>
          </w:tblCellMar>
          <w:tblLook w:val="04A0"/>
        </w:tblPrEx>
        <w:trPr>
          <w:trHeight w:val="12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5.  Alternatívne riešenia                          -  nepredkladajú sa</w:t>
            </w:r>
          </w:p>
        </w:tc>
      </w:tr>
      <w:tr>
        <w:tblPrEx>
          <w:tblW w:w="5000" w:type="pct"/>
          <w:jc w:val="center"/>
          <w:tblCellMar>
            <w:left w:w="0" w:type="dxa"/>
            <w:right w:w="0" w:type="dxa"/>
          </w:tblCellMar>
          <w:tblLook w:val="04A0"/>
        </w:tblPrEx>
        <w:trPr>
          <w:trHeight w:val="72"/>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b/>
                <w:bCs/>
                <w:sz w:val="20"/>
                <w:szCs w:val="20"/>
              </w:rPr>
            </w:pPr>
          </w:p>
        </w:tc>
      </w:tr>
      <w:tr>
        <w:tblPrEx>
          <w:tblW w:w="5000" w:type="pct"/>
          <w:jc w:val="center"/>
          <w:tblCellMar>
            <w:left w:w="0" w:type="dxa"/>
            <w:right w:w="0" w:type="dxa"/>
          </w:tblCellMar>
          <w:tblLook w:val="04A0"/>
        </w:tblPrEx>
        <w:trPr>
          <w:trHeight w:val="114"/>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6.  Vykonávacie predpisy</w:t>
            </w:r>
          </w:p>
        </w:tc>
      </w:tr>
      <w:tr>
        <w:tblPrEx>
          <w:tblW w:w="5000" w:type="pct"/>
          <w:jc w:val="center"/>
          <w:tblCellMar>
            <w:left w:w="0" w:type="dxa"/>
            <w:right w:w="0" w:type="dxa"/>
          </w:tblCellMar>
          <w:tblLook w:val="04A0"/>
        </w:tblPrEx>
        <w:trPr>
          <w:trHeight w:val="1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sz w:val="20"/>
                <w:szCs w:val="20"/>
              </w:rPr>
            </w:pPr>
            <w:r>
              <w:rPr>
                <w:rFonts w:ascii="Times" w:hAnsi="Times" w:cs="Times"/>
                <w:sz w:val="20"/>
                <w:szCs w:val="20"/>
              </w:rPr>
              <w:t xml:space="preserve"> </w:t>
            </w:r>
            <w:r w:rsidRPr="002C07B8">
              <w:rPr>
                <w:rFonts w:ascii="Times" w:hAnsi="Times" w:cs="Times"/>
                <w:sz w:val="20"/>
                <w:szCs w:val="20"/>
              </w:rPr>
              <w:t>Predpokladá sa prijatie/zmena vykonávacích predpisov?                          </w:t>
            </w:r>
            <w:r w:rsidRPr="002C07B8">
              <w:rPr>
                <w:rFonts w:ascii="Wingdings 2" w:hAnsi="Wingdings 2" w:cs="Times"/>
                <w:sz w:val="20"/>
                <w:szCs w:val="20"/>
              </w:rPr>
              <w:t>*</w:t>
            </w:r>
            <w:r w:rsidRPr="002C07B8">
              <w:rPr>
                <w:rFonts w:ascii="Times" w:hAnsi="Times" w:cs="Times"/>
                <w:sz w:val="20"/>
                <w:szCs w:val="20"/>
              </w:rPr>
              <w:t xml:space="preserve">   Áno            </w:t>
            </w:r>
            <w:r w:rsidRPr="002C07B8">
              <w:rPr>
                <w:rFonts w:ascii="Wingdings 2" w:hAnsi="Wingdings 2" w:cs="Times"/>
                <w:sz w:val="20"/>
                <w:szCs w:val="20"/>
              </w:rPr>
              <w:t>S</w:t>
            </w:r>
            <w:r w:rsidRPr="002C07B8">
              <w:rPr>
                <w:rFonts w:ascii="Times" w:hAnsi="Times" w:cs="Times"/>
                <w:sz w:val="20"/>
                <w:szCs w:val="20"/>
              </w:rPr>
              <w:t>  Nie</w:t>
            </w:r>
          </w:p>
        </w:tc>
      </w:tr>
      <w:tr>
        <w:tblPrEx>
          <w:tblW w:w="5000" w:type="pct"/>
          <w:jc w:val="center"/>
          <w:tblCellMar>
            <w:left w:w="0" w:type="dxa"/>
            <w:right w:w="0" w:type="dxa"/>
          </w:tblCellMar>
          <w:tblLook w:val="04A0"/>
        </w:tblPrEx>
        <w:trPr>
          <w:trHeight w:val="172"/>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b/>
                <w:bCs/>
                <w:sz w:val="20"/>
                <w:szCs w:val="20"/>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8.  Preskúmanie účelnosti**</w:t>
            </w:r>
          </w:p>
        </w:tc>
      </w:tr>
    </w:tbl>
    <w:p w:rsidR="00992725" w:rsidP="00992725">
      <w:pPr>
        <w:pStyle w:val="odsek"/>
        <w:keepNext w:val="0"/>
        <w:widowControl w:val="0"/>
        <w:bidi w:val="0"/>
        <w:ind w:firstLine="0"/>
        <w:rPr>
          <w:rFonts w:ascii="Times New Roman" w:hAnsi="Times New Roman"/>
        </w:rPr>
      </w:pPr>
    </w:p>
    <w:p w:rsidR="00992725" w:rsidRPr="00B06366" w:rsidP="00992725">
      <w:pPr>
        <w:bidi w:val="0"/>
        <w:spacing w:after="0" w:line="240" w:lineRule="auto"/>
        <w:rPr>
          <w:rFonts w:ascii="Times New Roman" w:hAnsi="Times New Roman"/>
          <w:sz w:val="24"/>
          <w:szCs w:val="24"/>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21"/>
        <w:gridCol w:w="1813"/>
        <w:gridCol w:w="1811"/>
        <w:gridCol w:w="1811"/>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27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b/>
                <w:bCs/>
                <w:sz w:val="20"/>
                <w:szCs w:val="20"/>
              </w:rPr>
              <w:t xml:space="preserve">9.   </w:t>
            </w:r>
            <w:r w:rsidRPr="006D75BA">
              <w:rPr>
                <w:rFonts w:ascii="Times New Roman" w:hAnsi="Times New Roman"/>
                <w:b/>
                <w:bCs/>
                <w:sz w:val="20"/>
                <w:szCs w:val="20"/>
              </w:rPr>
              <w:t>Vplyvy navrhovaného materiálu</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6D75BA" w:rsidP="00EE7D57">
            <w:pPr>
              <w:bidi w:val="0"/>
              <w:spacing w:line="240" w:lineRule="auto"/>
              <w:contextualSpacing/>
              <w:rPr>
                <w:rFonts w:ascii="Times New Roman" w:hAnsi="Times New Roman"/>
                <w:b/>
                <w:bCs/>
                <w:sz w:val="20"/>
                <w:szCs w:val="20"/>
              </w:rPr>
            </w:pPr>
            <w:r>
              <w:rPr>
                <w:rFonts w:ascii="Times New Roman" w:hAnsi="Times New Roman"/>
                <w:b/>
                <w:bCs/>
                <w:sz w:val="20"/>
                <w:szCs w:val="20"/>
              </w:rPr>
              <w:t xml:space="preserve">  </w:t>
            </w:r>
            <w:r w:rsidRPr="006D75BA">
              <w:rPr>
                <w:rFonts w:ascii="Times New Roman" w:hAnsi="Times New Roman"/>
                <w:b/>
                <w:bCs/>
                <w:sz w:val="20"/>
                <w:szCs w:val="20"/>
              </w:rPr>
              <w:t>Vplyvy na rozpočet verejnej správy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    </w:t>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x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Pr>
                <w:rFonts w:ascii="Times New Roman" w:hAnsi="Times New Roman"/>
                <w:sz w:val="20"/>
                <w:szCs w:val="20"/>
              </w:rPr>
              <w:t xml:space="preserve">  </w:t>
            </w:r>
            <w:r w:rsidRPr="009B3D22">
              <w:rPr>
                <w:rFonts w:ascii="Times New Roman" w:hAnsi="Times New Roman"/>
                <w:sz w:val="20"/>
                <w:szCs w:val="20"/>
              </w:rPr>
              <w:sym w:font="Times New Roman" w:char="F02A"/>
            </w:r>
            <w:r w:rsidRPr="009B3D22">
              <w:rPr>
                <w:rFonts w:ascii="Times New Roman" w:hAnsi="Times New Roman"/>
                <w:sz w:val="20"/>
                <w:szCs w:val="20"/>
              </w:rPr>
              <w:sym w:font="Times New Roman" w:char="0020"/>
            </w:r>
            <w:r w:rsidRPr="009B3D22">
              <w:rPr>
                <w:rFonts w:ascii="Times New Roman" w:hAnsi="Times New Roman"/>
                <w:sz w:val="20"/>
                <w:szCs w:val="20"/>
              </w:rPr>
              <w:sym w:font="Times New Roman" w:char="0020"/>
            </w:r>
            <w:r>
              <w:rPr>
                <w:rFonts w:ascii="Times New Roman" w:hAnsi="Times New Roman"/>
                <w:sz w:val="20"/>
                <w:szCs w:val="20"/>
              </w:rPr>
              <w:t xml:space="preserve"> </w:t>
            </w:r>
            <w:r w:rsidRPr="009B3D22">
              <w:rPr>
                <w:rFonts w:ascii="Times New Roman" w:hAnsi="Times New Roman"/>
                <w:sz w:val="20"/>
                <w:szCs w:val="20"/>
              </w:rPr>
              <w:t>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6D75BA" w:rsidP="00EE7D57">
            <w:pPr>
              <w:bidi w:val="0"/>
              <w:spacing w:line="240" w:lineRule="auto"/>
              <w:contextualSpacing/>
              <w:rPr>
                <w:rFonts w:ascii="Times New Roman" w:hAnsi="Times New Roman"/>
                <w:bCs/>
                <w:sz w:val="20"/>
                <w:szCs w:val="20"/>
              </w:rPr>
            </w:pPr>
            <w:r>
              <w:rPr>
                <w:rFonts w:ascii="Times New Roman" w:hAnsi="Times New Roman"/>
                <w:bCs/>
                <w:sz w:val="20"/>
                <w:szCs w:val="20"/>
              </w:rPr>
              <w:t xml:space="preserve">- </w:t>
            </w:r>
            <w:r w:rsidRPr="006D75BA">
              <w:rPr>
                <w:rFonts w:ascii="Times New Roman" w:hAnsi="Times New Roman"/>
                <w:bCs/>
                <w:sz w:val="20"/>
                <w:szCs w:val="20"/>
              </w:rPr>
              <w:t>z toho rozpočtovo zabezpečené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t xml:space="preserve"> </w:t>
            </w:r>
            <w:r>
              <w:rPr>
                <w:rFonts w:ascii="Times New Roman" w:hAnsi="Times New Roman"/>
                <w:sz w:val="20"/>
                <w:szCs w:val="20"/>
              </w:rPr>
              <w:t>x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9B3D22" w:rsidP="00EE7D57">
            <w:pPr>
              <w:bidi w:val="0"/>
              <w:spacing w:line="240" w:lineRule="auto"/>
              <w:contextualSpacing/>
              <w:rPr>
                <w:rFonts w:ascii="Times New Roman" w:hAnsi="Times New Roman"/>
                <w:b/>
                <w:bCs/>
                <w:sz w:val="20"/>
                <w:szCs w:val="20"/>
              </w:rPr>
            </w:pPr>
            <w:r>
              <w:rPr>
                <w:rFonts w:ascii="Times New Roman" w:hAnsi="Times New Roman"/>
                <w:b/>
                <w:bCs/>
                <w:sz w:val="20"/>
                <w:szCs w:val="20"/>
              </w:rPr>
              <w:t xml:space="preserve">  Vplyvy na podnikateľské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sym w:font="Times New Roman" w:char="F02A"/>
            </w:r>
            <w:r w:rsidRPr="009B3D22">
              <w:rPr>
                <w:rFonts w:ascii="Times New Roman" w:hAnsi="Times New Roman"/>
                <w:sz w:val="20"/>
                <w:szCs w:val="20"/>
              </w:rPr>
              <w:sym w:font="Times New Roman" w:char="0020"/>
            </w:r>
            <w:r w:rsidRPr="009B3D22">
              <w:rPr>
                <w:rFonts w:ascii="Times New Roman" w:hAnsi="Times New Roman"/>
                <w:sz w:val="20"/>
                <w:szCs w:val="20"/>
              </w:rPr>
              <w:sym w:font="Times New Roman" w:char="00A0"/>
            </w:r>
            <w:r w:rsidRPr="009B3D22">
              <w:rPr>
                <w:rFonts w:ascii="Times New Roman" w:hAnsi="Times New Roman"/>
                <w:sz w:val="20"/>
                <w:szCs w:val="20"/>
              </w:rPr>
              <w:sym w:font="Times New Roman" w:char="0020"/>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x</w:t>
            </w:r>
            <w:r w:rsidRPr="009B3D22">
              <w:rPr>
                <w:rFonts w:ascii="Times New Roman" w:hAnsi="Times New Roman"/>
                <w:sz w:val="20"/>
                <w:szCs w:val="20"/>
              </w:rPr>
              <w:t xml:space="preserve">  </w:t>
            </w:r>
            <w:r>
              <w:rPr>
                <w:rFonts w:ascii="Times New Roman" w:hAnsi="Times New Roman"/>
                <w:sz w:val="20"/>
                <w:szCs w:val="20"/>
              </w:rPr>
              <w:t xml:space="preserve"> </w:t>
            </w:r>
            <w:r w:rsidRPr="009B3D22">
              <w:rPr>
                <w:rFonts w:ascii="Times New Roman" w:hAnsi="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6D75BA" w:rsidP="00EE7D57">
            <w:pPr>
              <w:bidi w:val="0"/>
              <w:spacing w:after="0" w:line="240" w:lineRule="auto"/>
              <w:ind w:left="129" w:hanging="129"/>
              <w:contextualSpacing/>
              <w:rPr>
                <w:rFonts w:ascii="Times New Roman" w:hAnsi="Times New Roman"/>
                <w:bCs/>
                <w:sz w:val="20"/>
                <w:szCs w:val="20"/>
              </w:rPr>
            </w:pPr>
            <w:r>
              <w:rPr>
                <w:rFonts w:ascii="Times New Roman" w:hAnsi="Times New Roman"/>
                <w:b/>
                <w:bCs/>
                <w:sz w:val="20"/>
                <w:szCs w:val="20"/>
              </w:rPr>
              <w:t xml:space="preserve">  </w:t>
            </w:r>
            <w:r w:rsidRPr="006D75BA">
              <w:rPr>
                <w:rFonts w:ascii="Times New Roman" w:hAnsi="Times New Roman"/>
                <w:bCs/>
                <w:sz w:val="20"/>
                <w:szCs w:val="20"/>
              </w:rPr>
              <w:t xml:space="preserve">- </w:t>
            </w:r>
            <w:r>
              <w:rPr>
                <w:rFonts w:ascii="Times New Roman" w:hAnsi="Times New Roman"/>
                <w:bCs/>
                <w:sz w:val="20"/>
                <w:szCs w:val="20"/>
              </w:rPr>
              <w:t>z toho vplyvy na MSP</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sym w:font="Times New Roman" w:char="F02A"/>
            </w:r>
            <w:r>
              <w:rPr>
                <w:rFonts w:ascii="Times New Roman" w:hAnsi="Times New Roman"/>
                <w:sz w:val="20"/>
                <w:szCs w:val="20"/>
              </w:rPr>
              <w:t xml:space="preserve">  </w:t>
            </w:r>
            <w:r w:rsidRPr="009B3D22">
              <w:rPr>
                <w:rFonts w:ascii="Times New Roman" w:hAnsi="Times New Roman"/>
                <w:sz w:val="20"/>
                <w:szCs w:val="20"/>
              </w:rPr>
              <w:t xml:space="preserve"> </w:t>
            </w:r>
            <w:r>
              <w:rPr>
                <w:rFonts w:ascii="Times New Roman" w:hAnsi="Times New Roman"/>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x</w:t>
            </w:r>
            <w:r w:rsidRPr="009B3D22">
              <w:rPr>
                <w:rFonts w:ascii="Times New Roman" w:hAnsi="Times New Roman"/>
                <w:sz w:val="20"/>
                <w:szCs w:val="20"/>
              </w:rPr>
              <w:t xml:space="preserve">   </w:t>
            </w:r>
            <w:r>
              <w:rPr>
                <w:rFonts w:ascii="Times New Roman" w:hAnsi="Times New Roman"/>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   Čiastočne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spacing w:line="240" w:lineRule="auto"/>
              <w:contextualSpacing/>
              <w:rPr>
                <w:rFonts w:ascii="Times New Roman" w:hAnsi="Times New Roman"/>
                <w:sz w:val="20"/>
                <w:szCs w:val="20"/>
              </w:rPr>
            </w:pPr>
            <w:r w:rsidRPr="009B3D22">
              <w:rPr>
                <w:rFonts w:ascii="Times New Roman" w:hAnsi="Times New Roman"/>
                <w:b/>
                <w:bCs/>
                <w:sz w:val="20"/>
                <w:szCs w:val="20"/>
              </w:rPr>
              <w:t>  Sociálne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w:t>
            </w:r>
            <w:r>
              <w:rPr>
                <w:rFonts w:ascii="Times New Roman" w:hAnsi="Times New Roman"/>
                <w:sz w:val="20"/>
                <w:szCs w:val="20"/>
              </w:rPr>
              <w:t xml:space="preserve">x </w:t>
            </w:r>
            <w:r w:rsidRPr="009B3D22">
              <w:rPr>
                <w:rFonts w:ascii="Times New Roman" w:hAnsi="Times New Roman"/>
                <w:sz w:val="20"/>
                <w:szCs w:val="20"/>
              </w:rPr>
              <w:t xml:space="preserve">    </w:t>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w:t>
            </w:r>
            <w:r>
              <w:rPr>
                <w:rFonts w:ascii="Times New Roman" w:hAnsi="Times New Roman"/>
                <w:sz w:val="20"/>
                <w:szCs w:val="20"/>
              </w:rPr>
              <w:t xml:space="preserve"> </w:t>
            </w:r>
            <w:r w:rsidRPr="009B3D22">
              <w:rPr>
                <w:rFonts w:ascii="Times New Roman" w:hAnsi="Times New Roman"/>
                <w:sz w:val="20"/>
                <w:szCs w:val="20"/>
              </w:rPr>
              <w:sym w:font="Times New Roman" w:char="F02A"/>
            </w:r>
            <w:r w:rsidRPr="009B3D22">
              <w:rPr>
                <w:rFonts w:ascii="Times New Roman" w:hAnsi="Times New Roman"/>
                <w:sz w:val="20"/>
                <w:szCs w:val="20"/>
              </w:rPr>
              <w:sym w:font="Times New Roman" w:char="0020"/>
            </w:r>
            <w:r>
              <w:rPr>
                <w:rFonts w:ascii="Times New Roman" w:hAnsi="Times New Roman"/>
                <w:sz w:val="20"/>
                <w:szCs w:val="20"/>
              </w:rPr>
              <w:t xml:space="preserve">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spacing w:line="240" w:lineRule="auto"/>
              <w:contextualSpacing/>
              <w:rPr>
                <w:rFonts w:ascii="Times New Roman" w:hAnsi="Times New Roman"/>
                <w:sz w:val="20"/>
                <w:szCs w:val="20"/>
              </w:rPr>
            </w:pPr>
            <w:r w:rsidRPr="009B3D22">
              <w:rPr>
                <w:rFonts w:ascii="Times New Roman" w:hAnsi="Times New Roman"/>
                <w:b/>
                <w:bCs/>
                <w:sz w:val="20"/>
                <w:szCs w:val="20"/>
              </w:rPr>
              <w:t>  Vplyvy na životné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   </w:t>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x   </w:t>
            </w:r>
            <w:r w:rsidRPr="009B3D22">
              <w:rPr>
                <w:rFonts w:ascii="Times New Roman" w:hAnsi="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b/>
                <w:bCs/>
                <w:sz w:val="20"/>
                <w:szCs w:val="20"/>
              </w:rPr>
              <w:t>  Vplyvy na informatizáciu</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t xml:space="preserve"> </w:t>
            </w:r>
            <w:r>
              <w:rPr>
                <w:rFonts w:ascii="Times New Roman" w:hAnsi="Times New Roman"/>
                <w:sz w:val="20"/>
                <w:szCs w:val="20"/>
              </w:rPr>
              <w:t xml:space="preserve">x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b/>
                <w:bCs/>
                <w:sz w:val="20"/>
                <w:szCs w:val="20"/>
              </w:rPr>
              <w:t>  Vplyvy na služby pre občana z toho</w:t>
            </w:r>
            <w:r w:rsidRPr="009B3D22">
              <w:rPr>
                <w:rFonts w:ascii="Times New Roman" w:hAnsi="Times New Roman"/>
                <w:sz w:val="20"/>
                <w:szCs w:val="20"/>
              </w:rPr>
              <w:br/>
              <w:t>    vplyvy služieb verejnej správy na občana</w:t>
              <w:br/>
              <w:t>    vplyvy na procesy služieb vo verejnej</w:t>
              <w:br/>
              <w:t>    správe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b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br/>
              <w:t xml:space="preserve">  </w:t>
            </w:r>
            <w:r>
              <w:rPr>
                <w:rFonts w:ascii="Times New Roman" w:hAnsi="Times New Roman"/>
                <w:sz w:val="20"/>
                <w:szCs w:val="20"/>
              </w:rPr>
              <w:t xml:space="preserve">  x </w:t>
            </w:r>
            <w:r w:rsidRPr="009B3D22">
              <w:rPr>
                <w:rFonts w:ascii="Times New Roman" w:hAnsi="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br/>
              <w:t>  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spacing w:after="0" w:line="240" w:lineRule="auto"/>
              <w:rPr>
                <w:rFonts w:ascii="Times New Roman" w:hAnsi="Times New Roman"/>
                <w:sz w:val="20"/>
                <w:szCs w:val="20"/>
              </w:rPr>
            </w:pP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w:t>
            </w:r>
            <w:r>
              <w:rPr>
                <w:rFonts w:ascii="Times New Roman" w:hAnsi="Times New Roman"/>
                <w:sz w:val="20"/>
                <w:szCs w:val="20"/>
              </w:rPr>
              <w:t xml:space="preserve">  x</w:t>
            </w:r>
            <w:r w:rsidRPr="009B3D22">
              <w:rPr>
                <w:rFonts w:ascii="Times New Roman" w:hAnsi="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9B3D22" w:rsidP="00EE7D57">
            <w:pPr>
              <w:bidi w:val="0"/>
              <w:rPr>
                <w:rFonts w:ascii="Times New Roman" w:hAnsi="Times New Roman"/>
                <w:b/>
                <w:bCs/>
                <w:sz w:val="20"/>
                <w:szCs w:val="20"/>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9B3D22" w:rsidP="00EE7D57">
            <w:pPr>
              <w:bidi w:val="0"/>
              <w:rPr>
                <w:rFonts w:ascii="Times New Roman" w:hAnsi="Times New Roman"/>
                <w:b/>
                <w:bCs/>
                <w:sz w:val="20"/>
                <w:szCs w:val="20"/>
              </w:rPr>
            </w:pPr>
            <w:r>
              <w:rPr>
                <w:rFonts w:ascii="Times New Roman" w:hAnsi="Times New Roman"/>
                <w:bCs/>
                <w:sz w:val="20"/>
                <w:szCs w:val="20"/>
              </w:rPr>
              <w:t xml:space="preserve"> peter.antal</w:t>
            </w:r>
            <w:r w:rsidRPr="009B3D22">
              <w:rPr>
                <w:rFonts w:ascii="Times New Roman" w:hAnsi="Times New Roman"/>
                <w:sz w:val="20"/>
                <w:szCs w:val="20"/>
              </w:rPr>
              <w:t>@nrsr.sk</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9B3D22" w:rsidP="00EE7D57">
            <w:pPr>
              <w:bidi w:val="0"/>
              <w:rPr>
                <w:rFonts w:ascii="Times New Roman" w:hAnsi="Times New Roman"/>
                <w:b/>
                <w:bCs/>
                <w:sz w:val="20"/>
                <w:szCs w:val="20"/>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9B3D22" w:rsidP="00EE7D57">
            <w:pPr>
              <w:bidi w:val="0"/>
              <w:rPr>
                <w:rFonts w:ascii="Times New Roman" w:hAnsi="Times New Roman"/>
                <w:bCs/>
                <w:sz w:val="20"/>
                <w:szCs w:val="20"/>
              </w:rPr>
            </w:pPr>
            <w:r>
              <w:rPr>
                <w:rFonts w:ascii="Times New Roman" w:hAnsi="Times New Roman"/>
                <w:bCs/>
                <w:sz w:val="20"/>
                <w:szCs w:val="20"/>
              </w:rPr>
              <w:t xml:space="preserve"> </w:t>
            </w:r>
            <w:r w:rsidRPr="009B3D22">
              <w:rPr>
                <w:rFonts w:ascii="Times New Roman" w:hAnsi="Times New Roman"/>
                <w:bCs/>
                <w:sz w:val="20"/>
                <w:szCs w:val="20"/>
              </w:rPr>
              <w:t>Materiál nebol predmetom PPK</w:t>
            </w:r>
            <w:r>
              <w:rPr>
                <w:rFonts w:ascii="Times New Roman" w:hAnsi="Times New Roman"/>
                <w:bCs/>
                <w:sz w:val="20"/>
                <w:szCs w:val="20"/>
              </w:rPr>
              <w:t>.</w:t>
            </w:r>
          </w:p>
        </w:tc>
      </w:tr>
    </w:tbl>
    <w:p w:rsidR="002E0627">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FF"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5424F"/>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92725"/>
    <w:rsid w:val="0002219A"/>
    <w:rsid w:val="001A517F"/>
    <w:rsid w:val="001C0FFE"/>
    <w:rsid w:val="002C07B8"/>
    <w:rsid w:val="002E0627"/>
    <w:rsid w:val="005B622F"/>
    <w:rsid w:val="006D75BA"/>
    <w:rsid w:val="00707761"/>
    <w:rsid w:val="00847ED7"/>
    <w:rsid w:val="00852E26"/>
    <w:rsid w:val="0090561C"/>
    <w:rsid w:val="00992725"/>
    <w:rsid w:val="009A4AB8"/>
    <w:rsid w:val="009A7EE2"/>
    <w:rsid w:val="009B3D22"/>
    <w:rsid w:val="009C3870"/>
    <w:rsid w:val="00B06366"/>
    <w:rsid w:val="00BA2329"/>
    <w:rsid w:val="00BE1CD8"/>
    <w:rsid w:val="00C61B44"/>
    <w:rsid w:val="00D02C93"/>
    <w:rsid w:val="00DF4F68"/>
    <w:rsid w:val="00EE7D5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725"/>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
    <w:name w:val="odsek"/>
    <w:basedOn w:val="Normal"/>
    <w:uiPriority w:val="99"/>
    <w:qFormat/>
    <w:rsid w:val="00992725"/>
    <w:pPr>
      <w:keepNext/>
      <w:spacing w:after="0" w:line="240" w:lineRule="auto"/>
      <w:ind w:firstLine="709"/>
      <w:jc w:val="both"/>
    </w:pPr>
    <w:rPr>
      <w:rFonts w:ascii="Times New Roman" w:hAnsi="Times New Roman"/>
      <w:sz w:val="24"/>
      <w:szCs w:val="24"/>
      <w:lang w:eastAsia="sk-SK"/>
    </w:rPr>
  </w:style>
  <w:style w:type="paragraph" w:styleId="ListParagraph">
    <w:name w:val="List Paragraph"/>
    <w:aliases w:val="Odsek zoznamu2,body"/>
    <w:basedOn w:val="Normal"/>
    <w:link w:val="OdsekzoznamuChar"/>
    <w:uiPriority w:val="34"/>
    <w:qFormat/>
    <w:rsid w:val="00992725"/>
    <w:pPr>
      <w:spacing w:after="200" w:line="276" w:lineRule="auto"/>
      <w:ind w:left="720"/>
      <w:contextualSpacing/>
      <w:jc w:val="left"/>
    </w:pPr>
    <w:rPr>
      <w:rFonts w:ascii="Calibri" w:hAnsi="Calibri"/>
    </w:rPr>
  </w:style>
  <w:style w:type="paragraph" w:styleId="BodyText">
    <w:name w:val="Body Text"/>
    <w:basedOn w:val="Normal"/>
    <w:link w:val="ZkladntextChar"/>
    <w:uiPriority w:val="99"/>
    <w:unhideWhenUsed/>
    <w:rsid w:val="00992725"/>
    <w:pPr>
      <w:widowControl w:val="0"/>
      <w:autoSpaceDE w:val="0"/>
      <w:autoSpaceDN w:val="0"/>
      <w:adjustRightInd w:val="0"/>
      <w:spacing w:after="0" w:line="240" w:lineRule="auto"/>
      <w:jc w:val="left"/>
    </w:pPr>
    <w:rPr>
      <w:rFonts w:ascii="Times New Roman" w:hAnsi="Times New Roman"/>
      <w:sz w:val="28"/>
      <w:szCs w:val="24"/>
      <w:lang w:eastAsia="sk-SK"/>
    </w:rPr>
  </w:style>
  <w:style w:type="character" w:customStyle="1" w:styleId="ZkladntextChar">
    <w:name w:val="Základný text Char"/>
    <w:basedOn w:val="DefaultParagraphFont"/>
    <w:link w:val="BodyText"/>
    <w:uiPriority w:val="99"/>
    <w:locked/>
    <w:rsid w:val="00992725"/>
    <w:rPr>
      <w:rFonts w:ascii="Times New Roman" w:hAnsi="Times New Roman" w:cs="Times New Roman"/>
      <w:sz w:val="24"/>
      <w:szCs w:val="24"/>
      <w:rtl w:val="0"/>
      <w:cs w:val="0"/>
      <w:lang w:val="x-none" w:eastAsia="sk-SK"/>
    </w:rPr>
  </w:style>
  <w:style w:type="character" w:customStyle="1" w:styleId="OdsekzoznamuChar">
    <w:name w:val="Odsek zoznamu Char"/>
    <w:aliases w:val="Odsek zoznamu2 Char,body Char"/>
    <w:link w:val="ListParagraph"/>
    <w:uiPriority w:val="34"/>
    <w:locked/>
    <w:rsid w:val="00992725"/>
    <w:rPr>
      <w:rFonts w:ascii="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1089</Words>
  <Characters>6212</Characters>
  <Application>Microsoft Office Word</Application>
  <DocSecurity>0</DocSecurity>
  <Lines>0</Lines>
  <Paragraphs>0</Paragraphs>
  <ScaleCrop>false</ScaleCrop>
  <Company>Kancelaria NRSR</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Mifková, Miroslava</dc:creator>
  <cp:lastModifiedBy>Mifková, Miroslava</cp:lastModifiedBy>
  <cp:revision>2</cp:revision>
  <dcterms:created xsi:type="dcterms:W3CDTF">2018-02-23T14:35:00Z</dcterms:created>
  <dcterms:modified xsi:type="dcterms:W3CDTF">2018-02-23T14:35:00Z</dcterms:modified>
</cp:coreProperties>
</file>