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477A" w:rsidRPr="0017622F" w:rsidP="004F477A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4F477A" w:rsidRPr="0017622F" w:rsidP="004F477A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4F477A" w:rsidRPr="0017622F" w:rsidP="004F477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4F477A" w:rsidRPr="0017622F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poslanec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</w:p>
    <w:p w:rsidR="004F477A" w:rsidRPr="0017622F" w:rsidP="004F477A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F477A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703C33">
        <w:rPr>
          <w:rFonts w:eastAsia="Times New Roman" w:cs="Times New Roman"/>
          <w:lang w:eastAsia="en-US" w:bidi="ar-SA"/>
        </w:rPr>
        <w:t>ktorým sa mení a dopĺňa zákon č. 595/2003 Z. z. o dani z príjmov v znení neskorších predpisov</w:t>
      </w:r>
    </w:p>
    <w:p w:rsidR="004F477A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4F477A" w:rsidRPr="008D47D8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4F477A" w:rsidRPr="00977F5D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4F477A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4F477A" w:rsidRPr="00977F5D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4F477A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4F477A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4F477A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4F477A" w:rsidP="004F477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4F477A" w:rsidP="004F477A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/>
        </w:rPr>
        <w:t xml:space="preserve"> nie je</w:t>
      </w:r>
      <w:r>
        <w:rPr>
          <w:rFonts w:cs="Times New Roman" w:hint="default"/>
        </w:rPr>
        <w:t xml:space="preserve">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4F477A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E3768C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703C33" w:rsidR="00703C33">
        <w:rPr>
          <w:rFonts w:eastAsiaTheme="minorEastAsia" w:cs="Times New Roman" w:hint="default"/>
          <w:lang w:eastAsia="en-US" w:bidi="ar-SA"/>
        </w:rPr>
        <w:t>ktorý</w:t>
      </w:r>
      <w:r w:rsidRPr="00703C33" w:rsidR="00703C33">
        <w:rPr>
          <w:rFonts w:eastAsiaTheme="minorEastAsia" w:cs="Times New Roman" w:hint="default"/>
          <w:lang w:eastAsia="en-US" w:bidi="ar-SA"/>
        </w:rPr>
        <w:t>m sa mení</w:t>
      </w:r>
      <w:r w:rsidRPr="00703C33" w:rsidR="00703C33">
        <w:rPr>
          <w:rFonts w:eastAsiaTheme="minorEastAsia" w:cs="Times New Roman" w:hint="default"/>
          <w:lang w:eastAsia="en-US" w:bidi="ar-SA"/>
        </w:rPr>
        <w:t xml:space="preserve"> a dopĺň</w:t>
      </w:r>
      <w:r w:rsidRPr="00703C33" w:rsidR="00703C33">
        <w:rPr>
          <w:rFonts w:eastAsiaTheme="minorEastAsia" w:cs="Times New Roman" w:hint="default"/>
          <w:lang w:eastAsia="en-US" w:bidi="ar-SA"/>
        </w:rPr>
        <w:t>a zá</w:t>
      </w:r>
      <w:r w:rsidRPr="00703C33" w:rsidR="00703C33">
        <w:rPr>
          <w:rFonts w:eastAsiaTheme="minorEastAsia" w:cs="Times New Roman" w:hint="default"/>
          <w:lang w:eastAsia="en-US" w:bidi="ar-SA"/>
        </w:rPr>
        <w:t>kon č</w:t>
      </w:r>
      <w:r w:rsidRPr="00703C33" w:rsidR="00703C33">
        <w:rPr>
          <w:rFonts w:eastAsiaTheme="minorEastAsia" w:cs="Times New Roman" w:hint="default"/>
          <w:lang w:eastAsia="en-US" w:bidi="ar-SA"/>
        </w:rPr>
        <w:t>. 595/2003 Z. z. o dani z prí</w:t>
      </w:r>
      <w:r w:rsidRPr="00703C33" w:rsidR="00703C33">
        <w:rPr>
          <w:rFonts w:eastAsiaTheme="minorEastAsia" w:cs="Times New Roman" w:hint="default"/>
          <w:lang w:eastAsia="en-US" w:bidi="ar-SA"/>
        </w:rPr>
        <w:t>jmov v znení</w:t>
      </w:r>
      <w:r w:rsidRPr="00703C33" w:rsidR="00703C33">
        <w:rPr>
          <w:rFonts w:eastAsiaTheme="minorEastAsia" w:cs="Times New Roman" w:hint="default"/>
          <w:lang w:eastAsia="en-US" w:bidi="ar-SA"/>
        </w:rPr>
        <w:t xml:space="preserve"> neskorší</w:t>
      </w:r>
      <w:r w:rsidRPr="00703C33" w:rsidR="00703C33">
        <w:rPr>
          <w:rFonts w:eastAsiaTheme="minorEastAsia" w:cs="Times New Roman" w:hint="default"/>
          <w:lang w:eastAsia="en-US" w:bidi="ar-SA"/>
        </w:rPr>
        <w:t>ch predpisov</w:t>
      </w:r>
      <w:r w:rsidR="00703C33">
        <w:rPr>
          <w:rFonts w:eastAsiaTheme="minorEastAsia" w:cs="Times New Roman"/>
          <w:lang w:eastAsia="en-US" w:bidi="ar-SA"/>
        </w:rPr>
        <w:t>.</w:t>
      </w:r>
    </w:p>
    <w:p w:rsidR="000C4783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2D1F44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853C6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2D1F44" w:rsidP="002D1F44">
      <w:pPr>
        <w:keepNext/>
        <w:keepLines/>
        <w:widowControl/>
        <w:suppressAutoHyphens w:val="0"/>
        <w:bidi w:val="0"/>
        <w:jc w:val="both"/>
        <w:outlineLvl w:val="0"/>
        <w:rPr>
          <w:rFonts w:eastAsia="Times New Roman" w:cs="Times New Roman"/>
          <w:kern w:val="0"/>
          <w:lang w:eastAsia="en-US" w:bidi="ar-SA"/>
        </w:rPr>
      </w:pPr>
      <w:r w:rsidRPr="002D1F44">
        <w:rPr>
          <w:rFonts w:eastAsia="Times New Roman" w:cs="Times New Roman"/>
          <w:kern w:val="0"/>
          <w:lang w:eastAsia="en-US" w:bidi="ar-SA"/>
        </w:rPr>
        <w:t>Fiškálne dôsledky zavedenia nulovej sadzby na reinvestovaný zisk</w:t>
      </w:r>
    </w:p>
    <w:p w:rsidR="002D1F44" w:rsidP="002D1F44">
      <w:pPr>
        <w:keepNext/>
        <w:keepLines/>
        <w:widowControl/>
        <w:suppressAutoHyphens w:val="0"/>
        <w:bidi w:val="0"/>
        <w:jc w:val="both"/>
        <w:outlineLvl w:val="0"/>
        <w:rPr>
          <w:rFonts w:eastAsia="Times New Roman" w:cs="Times New Roman"/>
          <w:kern w:val="0"/>
          <w:lang w:eastAsia="en-US" w:bidi="ar-SA"/>
        </w:rPr>
      </w:pPr>
    </w:p>
    <w:p w:rsidR="002D1F44" w:rsidP="002D1F44">
      <w:pPr>
        <w:keepNext/>
        <w:keepLines/>
        <w:widowControl/>
        <w:suppressAutoHyphens w:val="0"/>
        <w:bidi w:val="0"/>
        <w:jc w:val="both"/>
        <w:outlineLvl w:val="0"/>
        <w:rPr>
          <w:rFonts w:eastAsia="Calibri" w:cs="Times New Roman"/>
          <w:kern w:val="0"/>
          <w:lang w:eastAsia="en-US" w:bidi="ar-SA"/>
        </w:rPr>
      </w:pPr>
      <w:r w:rsidRPr="002D1F44">
        <w:rPr>
          <w:rFonts w:eastAsia="Calibri" w:cs="Times New Roman" w:hint="default"/>
          <w:kern w:val="0"/>
          <w:lang w:eastAsia="en-US" w:bidi="ar-SA"/>
        </w:rPr>
        <w:t>Zavedenie nulovej sadzby na reinvestovaný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zisk bude znamenať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krá</w:t>
      </w:r>
      <w:r w:rsidRPr="002D1F44">
        <w:rPr>
          <w:rFonts w:eastAsia="Calibri" w:cs="Times New Roman" w:hint="default"/>
          <w:kern w:val="0"/>
          <w:lang w:eastAsia="en-US" w:bidi="ar-SA"/>
        </w:rPr>
        <w:t>tkodobý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vý</w:t>
      </w:r>
      <w:r w:rsidRPr="002D1F44">
        <w:rPr>
          <w:rFonts w:eastAsia="Calibri" w:cs="Times New Roman" w:hint="default"/>
          <w:kern w:val="0"/>
          <w:lang w:eastAsia="en-US" w:bidi="ar-SA"/>
        </w:rPr>
        <w:t>padok hotovostný</w:t>
      </w:r>
      <w:r w:rsidRPr="002D1F44">
        <w:rPr>
          <w:rFonts w:eastAsia="Calibri" w:cs="Times New Roman" w:hint="default"/>
          <w:kern w:val="0"/>
          <w:lang w:eastAsia="en-US" w:bidi="ar-SA"/>
        </w:rPr>
        <w:t>ch prí</w:t>
      </w:r>
      <w:r w:rsidRPr="002D1F44">
        <w:rPr>
          <w:rFonts w:eastAsia="Calibri" w:cs="Times New Roman" w:hint="default"/>
          <w:kern w:val="0"/>
          <w:lang w:eastAsia="en-US" w:bidi="ar-SA"/>
        </w:rPr>
        <w:t>jmov Š</w:t>
      </w:r>
      <w:r w:rsidRPr="002D1F44">
        <w:rPr>
          <w:rFonts w:eastAsia="Calibri" w:cs="Times New Roman" w:hint="default"/>
          <w:kern w:val="0"/>
          <w:lang w:eastAsia="en-US" w:bidi="ar-SA"/>
        </w:rPr>
        <w:t>tá</w:t>
      </w:r>
      <w:r w:rsidRPr="002D1F44">
        <w:rPr>
          <w:rFonts w:eastAsia="Calibri" w:cs="Times New Roman" w:hint="default"/>
          <w:kern w:val="0"/>
          <w:lang w:eastAsia="en-US" w:bidi="ar-SA"/>
        </w:rPr>
        <w:t>tneho rozpoč</w:t>
      </w:r>
      <w:r w:rsidRPr="002D1F44">
        <w:rPr>
          <w:rFonts w:eastAsia="Calibri" w:cs="Times New Roman" w:hint="default"/>
          <w:kern w:val="0"/>
          <w:lang w:eastAsia="en-US" w:bidi="ar-SA"/>
        </w:rPr>
        <w:t>tu. Z </w:t>
      </w:r>
      <w:r w:rsidRPr="002D1F44">
        <w:rPr>
          <w:rFonts w:eastAsia="Calibri" w:cs="Times New Roman" w:hint="default"/>
          <w:kern w:val="0"/>
          <w:lang w:eastAsia="en-US" w:bidi="ar-SA"/>
        </w:rPr>
        <w:t>dlhodobé</w:t>
      </w:r>
      <w:r w:rsidRPr="002D1F44">
        <w:rPr>
          <w:rFonts w:eastAsia="Calibri" w:cs="Times New Roman" w:hint="default"/>
          <w:kern w:val="0"/>
          <w:lang w:eastAsia="en-US" w:bidi="ar-SA"/>
        </w:rPr>
        <w:t>ho hľ</w:t>
      </w:r>
      <w:r w:rsidRPr="002D1F44">
        <w:rPr>
          <w:rFonts w:eastAsia="Calibri" w:cs="Times New Roman" w:hint="default"/>
          <w:kern w:val="0"/>
          <w:lang w:eastAsia="en-US" w:bidi="ar-SA"/>
        </w:rPr>
        <w:t>adiska je predpokladaný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vplyv 0% sadzby neutrá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lny, </w:t>
      </w:r>
      <w:r w:rsidRPr="002D1F44">
        <w:rPr>
          <w:rFonts w:eastAsia="Calibri" w:cs="Times New Roman" w:hint="default"/>
          <w:kern w:val="0"/>
          <w:lang w:eastAsia="en-US" w:bidi="ar-SA"/>
        </w:rPr>
        <w:t>pretož</w:t>
      </w:r>
      <w:r w:rsidRPr="002D1F44">
        <w:rPr>
          <w:rFonts w:eastAsia="Calibri" w:cs="Times New Roman" w:hint="default"/>
          <w:kern w:val="0"/>
          <w:lang w:eastAsia="en-US" w:bidi="ar-SA"/>
        </w:rPr>
        <w:t>e vlastní</w:t>
      </w:r>
      <w:r w:rsidRPr="002D1F44">
        <w:rPr>
          <w:rFonts w:eastAsia="Calibri" w:cs="Times New Roman" w:hint="default"/>
          <w:kern w:val="0"/>
          <w:lang w:eastAsia="en-US" w:bidi="ar-SA"/>
        </w:rPr>
        <w:t>ci investujú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s </w:t>
      </w:r>
      <w:r w:rsidRPr="002D1F44">
        <w:rPr>
          <w:rFonts w:eastAsia="Calibri" w:cs="Times New Roman" w:hint="default"/>
          <w:kern w:val="0"/>
          <w:lang w:eastAsia="en-US" w:bidi="ar-SA"/>
        </w:rPr>
        <w:t>cieľ</w:t>
      </w:r>
      <w:r w:rsidRPr="002D1F44">
        <w:rPr>
          <w:rFonts w:eastAsia="Calibri" w:cs="Times New Roman" w:hint="default"/>
          <w:kern w:val="0"/>
          <w:lang w:eastAsia="en-US" w:bidi="ar-SA"/>
        </w:rPr>
        <w:t>om inkasovať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prí</w:t>
      </w:r>
      <w:r w:rsidRPr="002D1F44">
        <w:rPr>
          <w:rFonts w:eastAsia="Calibri" w:cs="Times New Roman" w:hint="default"/>
          <w:kern w:val="0"/>
          <w:lang w:eastAsia="en-US" w:bidi="ar-SA"/>
        </w:rPr>
        <w:t>jem z </w:t>
      </w:r>
      <w:r w:rsidRPr="002D1F44">
        <w:rPr>
          <w:rFonts w:eastAsia="Calibri" w:cs="Times New Roman" w:hint="default"/>
          <w:kern w:val="0"/>
          <w:lang w:eastAsia="en-US" w:bidi="ar-SA"/>
        </w:rPr>
        <w:t>investované</w:t>
      </w:r>
      <w:r w:rsidRPr="002D1F44">
        <w:rPr>
          <w:rFonts w:eastAsia="Calibri" w:cs="Times New Roman" w:hint="default"/>
          <w:kern w:val="0"/>
          <w:lang w:eastAsia="en-US" w:bidi="ar-SA"/>
        </w:rPr>
        <w:t>ho kapitá</w:t>
      </w:r>
      <w:r w:rsidRPr="002D1F44">
        <w:rPr>
          <w:rFonts w:eastAsia="Calibri" w:cs="Times New Roman" w:hint="default"/>
          <w:kern w:val="0"/>
          <w:lang w:eastAsia="en-US" w:bidi="ar-SA"/>
        </w:rPr>
        <w:t>lu. Dô</w:t>
      </w:r>
      <w:r w:rsidRPr="002D1F44">
        <w:rPr>
          <w:rFonts w:eastAsia="Calibri" w:cs="Times New Roman" w:hint="default"/>
          <w:kern w:val="0"/>
          <w:lang w:eastAsia="en-US" w:bidi="ar-SA"/>
        </w:rPr>
        <w:t>jde tak len k </w:t>
      </w:r>
      <w:r w:rsidRPr="002D1F44">
        <w:rPr>
          <w:rFonts w:eastAsia="Calibri" w:cs="Times New Roman" w:hint="default"/>
          <w:kern w:val="0"/>
          <w:lang w:eastAsia="en-US" w:bidi="ar-SA"/>
        </w:rPr>
        <w:t>posunu vý</w:t>
      </w:r>
      <w:r w:rsidRPr="002D1F44">
        <w:rPr>
          <w:rFonts w:eastAsia="Calibri" w:cs="Times New Roman" w:hint="default"/>
          <w:kern w:val="0"/>
          <w:lang w:eastAsia="en-US" w:bidi="ar-SA"/>
        </w:rPr>
        <w:t>nosu DPPO v </w:t>
      </w:r>
      <w:r w:rsidRPr="002D1F44">
        <w:rPr>
          <w:rFonts w:eastAsia="Calibri" w:cs="Times New Roman" w:hint="default"/>
          <w:kern w:val="0"/>
          <w:lang w:eastAsia="en-US" w:bidi="ar-SA"/>
        </w:rPr>
        <w:t>č</w:t>
      </w:r>
      <w:r w:rsidRPr="002D1F44">
        <w:rPr>
          <w:rFonts w:eastAsia="Calibri" w:cs="Times New Roman" w:hint="default"/>
          <w:kern w:val="0"/>
          <w:lang w:eastAsia="en-US" w:bidi="ar-SA"/>
        </w:rPr>
        <w:t>ase.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2D1F44">
        <w:rPr>
          <w:rFonts w:eastAsia="Calibri" w:cs="Times New Roman" w:hint="default"/>
          <w:kern w:val="0"/>
          <w:lang w:eastAsia="en-US" w:bidi="ar-SA"/>
        </w:rPr>
        <w:t>Hodnotu vý</w:t>
      </w:r>
      <w:r w:rsidRPr="002D1F44">
        <w:rPr>
          <w:rFonts w:eastAsia="Calibri" w:cs="Times New Roman" w:hint="default"/>
          <w:kern w:val="0"/>
          <w:lang w:eastAsia="en-US" w:bidi="ar-SA"/>
        </w:rPr>
        <w:t>padku je veľ</w:t>
      </w:r>
      <w:r w:rsidRPr="002D1F44">
        <w:rPr>
          <w:rFonts w:eastAsia="Calibri" w:cs="Times New Roman" w:hint="default"/>
          <w:kern w:val="0"/>
          <w:lang w:eastAsia="en-US" w:bidi="ar-SA"/>
        </w:rPr>
        <w:t>mi ť</w:t>
      </w:r>
      <w:r w:rsidRPr="002D1F44">
        <w:rPr>
          <w:rFonts w:eastAsia="Calibri" w:cs="Times New Roman" w:hint="default"/>
          <w:kern w:val="0"/>
          <w:lang w:eastAsia="en-US" w:bidi="ar-SA"/>
        </w:rPr>
        <w:t>až</w:t>
      </w:r>
      <w:r w:rsidRPr="002D1F44">
        <w:rPr>
          <w:rFonts w:eastAsia="Calibri" w:cs="Times New Roman" w:hint="default"/>
          <w:kern w:val="0"/>
          <w:lang w:eastAsia="en-US" w:bidi="ar-SA"/>
        </w:rPr>
        <w:t>ké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predví</w:t>
      </w:r>
      <w:r w:rsidRPr="002D1F44">
        <w:rPr>
          <w:rFonts w:eastAsia="Calibri" w:cs="Times New Roman" w:hint="default"/>
          <w:kern w:val="0"/>
          <w:lang w:eastAsia="en-US" w:bidi="ar-SA"/>
        </w:rPr>
        <w:t>dať</w:t>
      </w:r>
      <w:r w:rsidRPr="002D1F44">
        <w:rPr>
          <w:rFonts w:eastAsia="Calibri" w:cs="Times New Roman" w:hint="default"/>
          <w:kern w:val="0"/>
          <w:lang w:eastAsia="en-US" w:bidi="ar-SA"/>
        </w:rPr>
        <w:t>, keďž</w:t>
      </w:r>
      <w:r w:rsidRPr="002D1F44">
        <w:rPr>
          <w:rFonts w:eastAsia="Calibri" w:cs="Times New Roman" w:hint="default"/>
          <w:kern w:val="0"/>
          <w:lang w:eastAsia="en-US" w:bidi="ar-SA"/>
        </w:rPr>
        <w:t>e nepozná</w:t>
      </w:r>
      <w:r w:rsidRPr="002D1F44">
        <w:rPr>
          <w:rFonts w:eastAsia="Calibri" w:cs="Times New Roman" w:hint="default"/>
          <w:kern w:val="0"/>
          <w:lang w:eastAsia="en-US" w:bidi="ar-SA"/>
        </w:rPr>
        <w:t>me motivá</w:t>
      </w:r>
      <w:r w:rsidRPr="002D1F44">
        <w:rPr>
          <w:rFonts w:eastAsia="Calibri" w:cs="Times New Roman" w:hint="default"/>
          <w:kern w:val="0"/>
          <w:lang w:eastAsia="en-US" w:bidi="ar-SA"/>
        </w:rPr>
        <w:t>cia a ciele investorov. V </w:t>
      </w:r>
      <w:r w:rsidRPr="002D1F44">
        <w:rPr>
          <w:rFonts w:eastAsia="Calibri" w:cs="Times New Roman" w:hint="default"/>
          <w:kern w:val="0"/>
          <w:lang w:eastAsia="en-US" w:bidi="ar-SA"/>
        </w:rPr>
        <w:t>roku 2016 bola ziskovosť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firiem na ú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rovni </w:t>
      </w:r>
      <w:r w:rsidRPr="002D1F44">
        <w:rPr>
          <w:rFonts w:eastAsia="Calibri" w:cs="Times New Roman" w:hint="default"/>
          <w:kern w:val="0"/>
          <w:lang w:eastAsia="en-US" w:bidi="ar-SA"/>
        </w:rPr>
        <w:t>necelý</w:t>
      </w:r>
      <w:r w:rsidRPr="002D1F44">
        <w:rPr>
          <w:rFonts w:eastAsia="Calibri" w:cs="Times New Roman" w:hint="default"/>
          <w:kern w:val="0"/>
          <w:lang w:eastAsia="en-US" w:bidi="ar-SA"/>
        </w:rPr>
        <w:t>ch 10 mld. Eur, prič</w:t>
      </w:r>
      <w:r w:rsidRPr="002D1F44">
        <w:rPr>
          <w:rFonts w:eastAsia="Calibri" w:cs="Times New Roman" w:hint="default"/>
          <w:kern w:val="0"/>
          <w:lang w:eastAsia="en-US" w:bidi="ar-SA"/>
        </w:rPr>
        <w:t>om vyplatené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dividendy dosiahli 4,5 mld.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D1F44">
        <w:rPr>
          <w:rFonts w:eastAsia="Calibri" w:cs="Times New Roman" w:hint="default"/>
          <w:kern w:val="0"/>
          <w:lang w:eastAsia="en-US" w:bidi="ar-SA"/>
        </w:rPr>
        <w:t>eur, z </w:t>
      </w:r>
      <w:r w:rsidRPr="002D1F44">
        <w:rPr>
          <w:rFonts w:eastAsia="Calibri" w:cs="Times New Roman" w:hint="default"/>
          <w:kern w:val="0"/>
          <w:lang w:eastAsia="en-US" w:bidi="ar-SA"/>
        </w:rPr>
        <w:t>toho 2,5 mld. Eur bolo vyplatený</w:t>
      </w:r>
      <w:r w:rsidRPr="002D1F44">
        <w:rPr>
          <w:rFonts w:eastAsia="Calibri" w:cs="Times New Roman" w:hint="default"/>
          <w:kern w:val="0"/>
          <w:lang w:eastAsia="en-US" w:bidi="ar-SA"/>
        </w:rPr>
        <w:t>ch do zahranič</w:t>
      </w:r>
      <w:r w:rsidRPr="002D1F44">
        <w:rPr>
          <w:rFonts w:eastAsia="Calibri" w:cs="Times New Roman" w:hint="default"/>
          <w:kern w:val="0"/>
          <w:lang w:eastAsia="en-US" w:bidi="ar-SA"/>
        </w:rPr>
        <w:t>ia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(dividendy nemusia sú</w:t>
      </w:r>
      <w:r w:rsidRPr="002D1F44">
        <w:rPr>
          <w:rFonts w:eastAsia="Calibri" w:cs="Times New Roman" w:hint="default"/>
          <w:kern w:val="0"/>
          <w:lang w:eastAsia="en-US" w:bidi="ar-SA"/>
        </w:rPr>
        <w:t>visieť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so ziskom roku 2016)</w:t>
      </w:r>
      <w:r w:rsidRPr="002D1F44">
        <w:rPr>
          <w:rFonts w:eastAsia="Calibri" w:cs="Times New Roman" w:hint="default"/>
          <w:kern w:val="0"/>
          <w:lang w:eastAsia="en-US" w:bidi="ar-SA"/>
        </w:rPr>
        <w:t>. Prá</w:t>
      </w:r>
      <w:r w:rsidRPr="002D1F44">
        <w:rPr>
          <w:rFonts w:eastAsia="Calibri" w:cs="Times New Roman" w:hint="default"/>
          <w:kern w:val="0"/>
          <w:lang w:eastAsia="en-US" w:bidi="ar-SA"/>
        </w:rPr>
        <w:t>ve v </w:t>
      </w:r>
      <w:r w:rsidRPr="002D1F44">
        <w:rPr>
          <w:rFonts w:eastAsia="Calibri" w:cs="Times New Roman" w:hint="default"/>
          <w:kern w:val="0"/>
          <w:lang w:eastAsia="en-US" w:bidi="ar-SA"/>
        </w:rPr>
        <w:t>prí</w:t>
      </w:r>
      <w:r w:rsidRPr="002D1F44">
        <w:rPr>
          <w:rFonts w:eastAsia="Calibri" w:cs="Times New Roman" w:hint="default"/>
          <w:kern w:val="0"/>
          <w:lang w:eastAsia="en-US" w:bidi="ar-SA"/>
        </w:rPr>
        <w:t>pade zahranič</w:t>
      </w:r>
      <w:r w:rsidRPr="002D1F44">
        <w:rPr>
          <w:rFonts w:eastAsia="Calibri" w:cs="Times New Roman" w:hint="default"/>
          <w:kern w:val="0"/>
          <w:lang w:eastAsia="en-US" w:bidi="ar-SA"/>
        </w:rPr>
        <w:t>ný</w:t>
      </w:r>
      <w:r w:rsidRPr="002D1F44">
        <w:rPr>
          <w:rFonts w:eastAsia="Calibri" w:cs="Times New Roman" w:hint="default"/>
          <w:kern w:val="0"/>
          <w:lang w:eastAsia="en-US" w:bidi="ar-SA"/>
        </w:rPr>
        <w:t>ch vlastní</w:t>
      </w:r>
      <w:r w:rsidRPr="002D1F44">
        <w:rPr>
          <w:rFonts w:eastAsia="Calibri" w:cs="Times New Roman" w:hint="default"/>
          <w:kern w:val="0"/>
          <w:lang w:eastAsia="en-US" w:bidi="ar-SA"/>
        </w:rPr>
        <w:t>kov môž</w:t>
      </w:r>
      <w:r w:rsidRPr="002D1F44">
        <w:rPr>
          <w:rFonts w:eastAsia="Calibri" w:cs="Times New Roman" w:hint="default"/>
          <w:kern w:val="0"/>
          <w:lang w:eastAsia="en-US" w:bidi="ar-SA"/>
        </w:rPr>
        <w:t>eme predpokladať</w:t>
      </w:r>
      <w:r w:rsidRPr="002D1F44">
        <w:rPr>
          <w:rFonts w:eastAsia="Calibri" w:cs="Times New Roman" w:hint="default"/>
          <w:kern w:val="0"/>
          <w:lang w:eastAsia="en-US" w:bidi="ar-SA"/>
        </w:rPr>
        <w:t>, ž</w:t>
      </w:r>
      <w:r w:rsidRPr="002D1F44">
        <w:rPr>
          <w:rFonts w:eastAsia="Calibri" w:cs="Times New Roman" w:hint="default"/>
          <w:kern w:val="0"/>
          <w:lang w:eastAsia="en-US" w:bidi="ar-SA"/>
        </w:rPr>
        <w:t>e ich investič</w:t>
      </w:r>
      <w:r w:rsidRPr="002D1F44">
        <w:rPr>
          <w:rFonts w:eastAsia="Calibri" w:cs="Times New Roman" w:hint="default"/>
          <w:kern w:val="0"/>
          <w:lang w:eastAsia="en-US" w:bidi="ar-SA"/>
        </w:rPr>
        <w:t>né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oč</w:t>
      </w:r>
      <w:r w:rsidRPr="002D1F44">
        <w:rPr>
          <w:rFonts w:eastAsia="Calibri" w:cs="Times New Roman" w:hint="default"/>
          <w:kern w:val="0"/>
          <w:lang w:eastAsia="en-US" w:bidi="ar-SA"/>
        </w:rPr>
        <w:t>ak</w:t>
      </w:r>
      <w:r w:rsidRPr="002D1F44">
        <w:rPr>
          <w:rFonts w:eastAsia="Calibri" w:cs="Times New Roman" w:hint="default"/>
          <w:kern w:val="0"/>
          <w:lang w:eastAsia="en-US" w:bidi="ar-SA"/>
        </w:rPr>
        <w:t>á</w:t>
      </w:r>
      <w:r w:rsidRPr="002D1F44">
        <w:rPr>
          <w:rFonts w:eastAsia="Calibri" w:cs="Times New Roman" w:hint="default"/>
          <w:kern w:val="0"/>
          <w:lang w:eastAsia="en-US" w:bidi="ar-SA"/>
        </w:rPr>
        <w:t>vania (ohľ</w:t>
      </w:r>
      <w:r w:rsidRPr="002D1F44">
        <w:rPr>
          <w:rFonts w:eastAsia="Calibri" w:cs="Times New Roman" w:hint="default"/>
          <w:kern w:val="0"/>
          <w:lang w:eastAsia="en-US" w:bidi="ar-SA"/>
        </w:rPr>
        <w:t>adne vý</w:t>
      </w:r>
      <w:r w:rsidRPr="002D1F44">
        <w:rPr>
          <w:rFonts w:eastAsia="Calibri" w:cs="Times New Roman" w:hint="default"/>
          <w:kern w:val="0"/>
          <w:lang w:eastAsia="en-US" w:bidi="ar-SA"/>
        </w:rPr>
        <w:t>platy zisku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2D1F44">
        <w:rPr>
          <w:rFonts w:eastAsia="Calibri" w:cs="Times New Roman" w:hint="default"/>
          <w:kern w:val="0"/>
          <w:lang w:eastAsia="en-US" w:bidi="ar-SA"/>
        </w:rPr>
        <w:t>zdrojov skupinové</w:t>
      </w:r>
      <w:r w:rsidRPr="002D1F44">
        <w:rPr>
          <w:rFonts w:eastAsia="Calibri" w:cs="Times New Roman" w:hint="default"/>
          <w:kern w:val="0"/>
          <w:lang w:eastAsia="en-US" w:bidi="ar-SA"/>
        </w:rPr>
        <w:t>ho financovania</w:t>
      </w:r>
      <w:r w:rsidRPr="002D1F44">
        <w:rPr>
          <w:rFonts w:eastAsia="Calibri" w:cs="Times New Roman" w:hint="default"/>
          <w:kern w:val="0"/>
          <w:lang w:eastAsia="en-US" w:bidi="ar-SA"/>
        </w:rPr>
        <w:t>)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sa </w:t>
      </w:r>
      <w:r>
        <w:rPr>
          <w:rFonts w:eastAsia="Calibri" w:cs="Times New Roman" w:hint="default"/>
          <w:kern w:val="0"/>
          <w:lang w:eastAsia="en-US" w:bidi="ar-SA"/>
        </w:rPr>
        <w:t>veľ</w:t>
      </w:r>
      <w:r>
        <w:rPr>
          <w:rFonts w:eastAsia="Calibri" w:cs="Times New Roman" w:hint="default"/>
          <w:kern w:val="0"/>
          <w:lang w:eastAsia="en-US" w:bidi="ar-SA"/>
        </w:rPr>
        <w:t xml:space="preserve">mi </w:t>
      </w:r>
      <w:r w:rsidRPr="002D1F44">
        <w:rPr>
          <w:rFonts w:eastAsia="Calibri" w:cs="Times New Roman"/>
          <w:kern w:val="0"/>
          <w:lang w:eastAsia="en-US" w:bidi="ar-SA"/>
        </w:rPr>
        <w:t>nezmenia, a </w:t>
      </w:r>
      <w:r w:rsidRPr="002D1F44">
        <w:rPr>
          <w:rFonts w:eastAsia="Calibri" w:cs="Times New Roman" w:hint="default"/>
          <w:kern w:val="0"/>
          <w:lang w:eastAsia="en-US" w:bidi="ar-SA"/>
        </w:rPr>
        <w:t>preto budú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mať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D1F44">
        <w:rPr>
          <w:rFonts w:eastAsia="Calibri" w:cs="Times New Roman" w:hint="default"/>
          <w:kern w:val="0"/>
          <w:lang w:eastAsia="en-US" w:bidi="ar-SA"/>
        </w:rPr>
        <w:t>ujem na vý</w:t>
      </w:r>
      <w:r w:rsidRPr="002D1F44">
        <w:rPr>
          <w:rFonts w:eastAsia="Calibri" w:cs="Times New Roman" w:hint="default"/>
          <w:kern w:val="0"/>
          <w:lang w:eastAsia="en-US" w:bidi="ar-SA"/>
        </w:rPr>
        <w:t>plate podielov na zisku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2D1F44">
        <w:rPr>
          <w:rFonts w:eastAsia="Calibri" w:cs="Times New Roman"/>
          <w:kern w:val="0"/>
          <w:lang w:eastAsia="en-US" w:bidi="ar-SA"/>
        </w:rPr>
        <w:t>- a </w:t>
      </w:r>
      <w:r w:rsidRPr="002D1F44">
        <w:rPr>
          <w:rFonts w:eastAsia="Calibri" w:cs="Times New Roman" w:hint="default"/>
          <w:kern w:val="0"/>
          <w:lang w:eastAsia="en-US" w:bidi="ar-SA"/>
        </w:rPr>
        <w:t>teda aj prizná</w:t>
      </w:r>
      <w:r w:rsidRPr="002D1F44">
        <w:rPr>
          <w:rFonts w:eastAsia="Calibri" w:cs="Times New Roman" w:hint="default"/>
          <w:kern w:val="0"/>
          <w:lang w:eastAsia="en-US" w:bidi="ar-SA"/>
        </w:rPr>
        <w:t>vaní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dane z prí</w:t>
      </w:r>
      <w:r w:rsidRPr="002D1F44">
        <w:rPr>
          <w:rFonts w:eastAsia="Calibri" w:cs="Times New Roman" w:hint="default"/>
          <w:kern w:val="0"/>
          <w:lang w:eastAsia="en-US" w:bidi="ar-SA"/>
        </w:rPr>
        <w:t>jmov aj naď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alej. </w:t>
      </w:r>
    </w:p>
    <w:p w:rsidR="002D1F44" w:rsidP="002D1F44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2D1F44" w:rsidP="002D1F44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  <w:r w:rsidRPr="002D1F44">
        <w:rPr>
          <w:rFonts w:eastAsia="Calibri" w:cs="Times New Roman" w:hint="default"/>
          <w:kern w:val="0"/>
          <w:lang w:eastAsia="en-US" w:bidi="ar-SA"/>
        </w:rPr>
        <w:t>Vý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padok DPPO </w:t>
      </w:r>
      <w:r w:rsidRPr="002D1F44">
        <w:rPr>
          <w:rFonts w:eastAsia="Calibri" w:cs="Times New Roman" w:hint="default"/>
          <w:kern w:val="0"/>
          <w:lang w:eastAsia="en-US" w:bidi="ar-SA"/>
        </w:rPr>
        <w:t>v </w:t>
      </w:r>
      <w:r w:rsidRPr="002D1F44">
        <w:rPr>
          <w:rFonts w:eastAsia="Calibri" w:cs="Times New Roman" w:hint="default"/>
          <w:kern w:val="0"/>
          <w:lang w:eastAsia="en-US" w:bidi="ar-SA"/>
        </w:rPr>
        <w:t>hotovostnej metodike (prognó</w:t>
      </w:r>
      <w:r w:rsidRPr="002D1F44">
        <w:rPr>
          <w:rFonts w:eastAsia="Calibri" w:cs="Times New Roman" w:hint="default"/>
          <w:kern w:val="0"/>
          <w:lang w:eastAsia="en-US" w:bidi="ar-SA"/>
        </w:rPr>
        <w:t>za daň</w:t>
      </w:r>
      <w:r w:rsidRPr="002D1F44">
        <w:rPr>
          <w:rFonts w:eastAsia="Calibri" w:cs="Times New Roman" w:hint="default"/>
          <w:kern w:val="0"/>
          <w:lang w:eastAsia="en-US" w:bidi="ar-SA"/>
        </w:rPr>
        <w:t>ový</w:t>
      </w:r>
      <w:r w:rsidRPr="002D1F44">
        <w:rPr>
          <w:rFonts w:eastAsia="Calibri" w:cs="Times New Roman" w:hint="default"/>
          <w:kern w:val="0"/>
          <w:lang w:eastAsia="en-US" w:bidi="ar-SA"/>
        </w:rPr>
        <w:t>ch prí</w:t>
      </w:r>
      <w:r w:rsidRPr="002D1F44">
        <w:rPr>
          <w:rFonts w:eastAsia="Calibri" w:cs="Times New Roman" w:hint="default"/>
          <w:kern w:val="0"/>
          <w:lang w:eastAsia="en-US" w:bidi="ar-SA"/>
        </w:rPr>
        <w:t>jmov februá</w:t>
      </w:r>
      <w:r w:rsidRPr="002D1F44">
        <w:rPr>
          <w:rFonts w:eastAsia="Calibri" w:cs="Times New Roman" w:hint="default"/>
          <w:kern w:val="0"/>
          <w:lang w:eastAsia="en-US" w:bidi="ar-SA"/>
        </w:rPr>
        <w:t>r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2018)</w:t>
      </w:r>
    </w:p>
    <w:p w:rsidR="002D1F44" w:rsidRPr="002D1F44" w:rsidP="002D1F44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tbl>
      <w:tblPr>
        <w:tblStyle w:val="Tabukasmriekou21"/>
        <w:tblW w:w="9356" w:type="dxa"/>
        <w:tblLook w:val="04A0"/>
      </w:tblPr>
      <w:tblGrid>
        <w:gridCol w:w="1853"/>
        <w:gridCol w:w="1266"/>
        <w:gridCol w:w="1134"/>
        <w:gridCol w:w="1134"/>
        <w:gridCol w:w="1559"/>
        <w:gridCol w:w="2410"/>
      </w:tblGrid>
      <w:tr>
        <w:tblPrEx>
          <w:tblW w:w="9356" w:type="dxa"/>
          <w:tblLook w:val="04A0"/>
        </w:tblPrEx>
        <w:tc>
          <w:tcPr>
            <w:tcW w:w="1853" w:type="dxa"/>
            <w:tcBorders>
              <w:top w:val="nil"/>
              <w:left w:val="none" w:sz="0" w:space="0" w:color="auto"/>
              <w:bottom w:val="single" w:sz="12" w:space="0" w:color="666666"/>
              <w:right w:val="nil"/>
            </w:tcBorders>
            <w:shd w:val="clear" w:color="auto" w:fill="FFFFFF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Rok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 w:rsidRPr="002D1F44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666666"/>
              <w:right w:val="none" w:sz="0" w:space="0" w:color="auto"/>
            </w:tcBorders>
            <w:shd w:val="clear" w:color="auto" w:fill="FFFFFF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jc w:val="center"/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val="en-US" w:eastAsia="en-US" w:bidi="ar-SA"/>
              </w:rPr>
              <w:t>Podiel  vý</w:t>
            </w: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val="en-US" w:eastAsia="en-US" w:bidi="ar-SA"/>
              </w:rPr>
              <w:t>padku naHDP</w:t>
            </w:r>
          </w:p>
        </w:tc>
      </w:tr>
      <w:tr>
        <w:tblPrEx>
          <w:tblW w:w="9356" w:type="dxa"/>
          <w:tblLook w:val="04A0"/>
        </w:tblPrEx>
        <w:tc>
          <w:tcPr>
            <w:tcW w:w="1853" w:type="dxa"/>
            <w:tcBorders>
              <w:top w:val="single" w:sz="2" w:space="0" w:color="666666"/>
              <w:left w:val="none" w:sz="0" w:space="0" w:color="auto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  <w:t>Vý</w:t>
            </w: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  <w:t>nos DPPO v mil. eur</w:t>
            </w:r>
          </w:p>
        </w:tc>
        <w:tc>
          <w:tcPr>
            <w:tcW w:w="12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3187</w:t>
            </w: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2612</w:t>
            </w: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2454</w:t>
            </w:r>
          </w:p>
        </w:tc>
        <w:tc>
          <w:tcPr>
            <w:tcW w:w="15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2634</w:t>
            </w:r>
          </w:p>
        </w:tc>
        <w:tc>
          <w:tcPr>
            <w:tcW w:w="24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one" w:sz="0" w:space="0" w:color="auto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>
        <w:tblPrEx>
          <w:tblW w:w="9356" w:type="dxa"/>
          <w:tblLook w:val="04A0"/>
        </w:tblPrEx>
        <w:trPr>
          <w:gridAfter w:val="1"/>
          <w:wAfter w:w="2410" w:type="dxa"/>
          <w:trHeight w:val="283"/>
        </w:trPr>
        <w:tc>
          <w:tcPr>
            <w:tcW w:w="1853" w:type="dxa"/>
            <w:tcBorders>
              <w:top w:val="single" w:sz="2" w:space="0" w:color="666666"/>
              <w:left w:val="none" w:sz="0" w:space="0" w:color="auto"/>
              <w:bottom w:val="single" w:sz="2" w:space="0" w:color="666666"/>
              <w:right w:val="single" w:sz="2" w:space="0" w:color="666666"/>
            </w:tcBorders>
            <w:noWrap/>
            <w:textDirection w:val="lrTb"/>
            <w:vAlign w:val="top"/>
            <w:hideMark/>
          </w:tcPr>
          <w:p w:rsidR="002D1F44" w:rsidRPr="002D1F44" w:rsidP="002D1F44">
            <w:pPr>
              <w:widowControl/>
              <w:suppressAutoHyphens w:val="0"/>
              <w:bidi w:val="0"/>
              <w:jc w:val="right"/>
              <w:rPr>
                <w:rFonts w:ascii="Arial Narrow" w:hAnsi="Arial Narrow" w:cs="Times New Roman"/>
                <w:b/>
                <w:bCs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2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noWrap/>
            <w:textDirection w:val="lrTb"/>
            <w:vAlign w:val="top"/>
            <w:hideMark/>
          </w:tcPr>
          <w:p w:rsidR="002D1F44" w:rsidRPr="002D1F44" w:rsidP="002D1F44">
            <w:pPr>
              <w:widowControl/>
              <w:suppressAutoHyphens w:val="0"/>
              <w:bidi w:val="0"/>
              <w:jc w:val="right"/>
              <w:rPr>
                <w:rFonts w:ascii="Arial Narrow" w:hAnsi="Arial Narrow" w:cs="Times New Roman"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noWrap/>
            <w:textDirection w:val="lrTb"/>
            <w:vAlign w:val="top"/>
            <w:hideMark/>
          </w:tcPr>
          <w:p w:rsidR="002D1F44" w:rsidRPr="002D1F44" w:rsidP="002D1F44">
            <w:pPr>
              <w:widowControl/>
              <w:suppressAutoHyphens w:val="0"/>
              <w:bidi w:val="0"/>
              <w:jc w:val="right"/>
              <w:rPr>
                <w:rFonts w:ascii="Arial Narrow" w:hAnsi="Arial Narrow" w:cs="Times New Roman"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noWrap/>
            <w:textDirection w:val="lrTb"/>
            <w:vAlign w:val="top"/>
            <w:hideMark/>
          </w:tcPr>
          <w:p w:rsidR="002D1F44" w:rsidRPr="002D1F44" w:rsidP="002D1F44">
            <w:pPr>
              <w:widowControl/>
              <w:suppressAutoHyphens w:val="0"/>
              <w:bidi w:val="0"/>
              <w:jc w:val="right"/>
              <w:rPr>
                <w:rFonts w:ascii="Arial Narrow" w:hAnsi="Arial Narrow" w:cs="Times New Roman"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5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one" w:sz="0" w:space="0" w:color="auto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jc w:val="right"/>
              <w:rPr>
                <w:rFonts w:ascii="Arial Narrow" w:hAnsi="Arial Narrow" w:cs="Times New Roman"/>
                <w:kern w:val="0"/>
                <w:sz w:val="16"/>
                <w:szCs w:val="16"/>
                <w:lang w:eastAsia="sk-SK" w:bidi="ar-SA"/>
              </w:rPr>
            </w:pPr>
          </w:p>
        </w:tc>
      </w:tr>
      <w:tr>
        <w:tblPrEx>
          <w:tblW w:w="9356" w:type="dxa"/>
          <w:tblLook w:val="04A0"/>
        </w:tblPrEx>
        <w:tc>
          <w:tcPr>
            <w:tcW w:w="1853" w:type="dxa"/>
            <w:tcBorders>
              <w:top w:val="single" w:sz="2" w:space="0" w:color="666666"/>
              <w:left w:val="none" w:sz="0" w:space="0" w:color="auto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val="cs-CZ" w:eastAsia="en-US" w:bidi="ar-SA"/>
              </w:rPr>
            </w:pPr>
            <w:r w:rsidRPr="002D1F44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V</w:t>
            </w: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val="cs-CZ" w:eastAsia="en-US" w:bidi="ar-SA"/>
              </w:rPr>
              <w:t>ý</w:t>
            </w: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val="cs-CZ" w:eastAsia="en-US" w:bidi="ar-SA"/>
              </w:rPr>
              <w:t>padok 10%</w:t>
            </w:r>
          </w:p>
        </w:tc>
        <w:tc>
          <w:tcPr>
            <w:tcW w:w="12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263</w:t>
            </w:r>
          </w:p>
        </w:tc>
        <w:tc>
          <w:tcPr>
            <w:tcW w:w="24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one" w:sz="0" w:space="0" w:color="auto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0,3%</w:t>
            </w:r>
          </w:p>
        </w:tc>
      </w:tr>
      <w:tr>
        <w:tblPrEx>
          <w:tblW w:w="9356" w:type="dxa"/>
          <w:tblLook w:val="04A0"/>
        </w:tblPrEx>
        <w:tc>
          <w:tcPr>
            <w:tcW w:w="1853" w:type="dxa"/>
            <w:tcBorders>
              <w:top w:val="single" w:sz="2" w:space="0" w:color="666666"/>
              <w:left w:val="none" w:sz="0" w:space="0" w:color="auto"/>
              <w:bottom w:val="single" w:sz="2" w:space="0" w:color="666666"/>
              <w:right w:val="single" w:sz="2" w:space="0" w:color="666666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  <w:t>Vý</w:t>
            </w: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  <w:t>padok 20%</w:t>
            </w:r>
          </w:p>
        </w:tc>
        <w:tc>
          <w:tcPr>
            <w:tcW w:w="12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527</w:t>
            </w:r>
          </w:p>
        </w:tc>
        <w:tc>
          <w:tcPr>
            <w:tcW w:w="24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one" w:sz="0" w:space="0" w:color="auto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0,5%</w:t>
            </w:r>
          </w:p>
        </w:tc>
      </w:tr>
      <w:tr>
        <w:tblPrEx>
          <w:tblW w:w="9356" w:type="dxa"/>
          <w:tblLook w:val="04A0"/>
        </w:tblPrEx>
        <w:tc>
          <w:tcPr>
            <w:tcW w:w="1853" w:type="dxa"/>
            <w:tcBorders>
              <w:top w:val="single" w:sz="2" w:space="0" w:color="666666"/>
              <w:left w:val="none" w:sz="0" w:space="0" w:color="auto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  <w:t>Vý</w:t>
            </w: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  <w:t>padok 30%</w:t>
            </w:r>
          </w:p>
        </w:tc>
        <w:tc>
          <w:tcPr>
            <w:tcW w:w="12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790</w:t>
            </w:r>
          </w:p>
        </w:tc>
        <w:tc>
          <w:tcPr>
            <w:tcW w:w="24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one" w:sz="0" w:space="0" w:color="auto"/>
            </w:tcBorders>
            <w:shd w:val="clear" w:color="auto" w:fill="CCCCCC"/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0,8%</w:t>
            </w:r>
          </w:p>
        </w:tc>
      </w:tr>
      <w:tr>
        <w:tblPrEx>
          <w:tblW w:w="9356" w:type="dxa"/>
          <w:tblLook w:val="04A0"/>
        </w:tblPrEx>
        <w:tc>
          <w:tcPr>
            <w:tcW w:w="1853" w:type="dxa"/>
            <w:tcBorders>
              <w:top w:val="single" w:sz="2" w:space="0" w:color="666666"/>
              <w:left w:val="none" w:sz="0" w:space="0" w:color="auto"/>
              <w:bottom w:val="single" w:sz="2" w:space="0" w:color="666666"/>
              <w:right w:val="single" w:sz="2" w:space="0" w:color="666666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  <w:t>Vý</w:t>
            </w:r>
            <w:r w:rsidRPr="002D1F44">
              <w:rPr>
                <w:rFonts w:ascii="Calibri" w:eastAsia="Calibri" w:hAnsi="Calibri" w:cs="Times New Roman" w:hint="default"/>
                <w:b/>
                <w:bCs/>
                <w:kern w:val="0"/>
                <w:sz w:val="22"/>
                <w:szCs w:val="22"/>
                <w:lang w:eastAsia="en-US" w:bidi="ar-SA"/>
              </w:rPr>
              <w:t>padok 40%</w:t>
            </w:r>
          </w:p>
        </w:tc>
        <w:tc>
          <w:tcPr>
            <w:tcW w:w="126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1053,6</w:t>
            </w:r>
          </w:p>
        </w:tc>
        <w:tc>
          <w:tcPr>
            <w:tcW w:w="24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one" w:sz="0" w:space="0" w:color="auto"/>
            </w:tcBorders>
            <w:textDirection w:val="lrTb"/>
            <w:vAlign w:val="top"/>
          </w:tcPr>
          <w:p w:rsidR="002D1F44" w:rsidRPr="002D1F44" w:rsidP="002D1F44">
            <w:pPr>
              <w:widowControl/>
              <w:suppressAutoHyphens w:val="0"/>
              <w:bidi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2D1F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1,1%</w:t>
            </w:r>
          </w:p>
        </w:tc>
      </w:tr>
    </w:tbl>
    <w:p w:rsidR="002D1F44" w:rsidRPr="002D1F44" w:rsidP="002D1F44">
      <w:pPr>
        <w:widowControl/>
        <w:suppressAutoHyphens w:val="0"/>
        <w:bidi w:val="0"/>
        <w:spacing w:after="16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2D1F44" w:rsidRPr="002D1F44" w:rsidP="002D1F44">
      <w:pPr>
        <w:widowControl/>
        <w:suppressAutoHyphens w:val="0"/>
        <w:bidi w:val="0"/>
        <w:spacing w:after="160" w:line="259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D1F44">
        <w:rPr>
          <w:rFonts w:eastAsia="Calibri" w:cs="Times New Roman" w:hint="default"/>
          <w:kern w:val="0"/>
          <w:lang w:eastAsia="en-US" w:bidi="ar-SA"/>
        </w:rPr>
        <w:t>Vplyv potenciá</w:t>
      </w:r>
      <w:r w:rsidRPr="002D1F44">
        <w:rPr>
          <w:rFonts w:eastAsia="Calibri" w:cs="Times New Roman" w:hint="default"/>
          <w:kern w:val="0"/>
          <w:lang w:eastAsia="en-US" w:bidi="ar-SA"/>
        </w:rPr>
        <w:t>lneho vý</w:t>
      </w:r>
      <w:r w:rsidRPr="002D1F44">
        <w:rPr>
          <w:rFonts w:eastAsia="Calibri" w:cs="Times New Roman" w:hint="default"/>
          <w:kern w:val="0"/>
          <w:lang w:eastAsia="en-US" w:bidi="ar-SA"/>
        </w:rPr>
        <w:t>padku DPPO na potrebu dodatoč</w:t>
      </w:r>
      <w:r w:rsidRPr="002D1F44">
        <w:rPr>
          <w:rFonts w:eastAsia="Calibri" w:cs="Times New Roman" w:hint="default"/>
          <w:kern w:val="0"/>
          <w:lang w:eastAsia="en-US" w:bidi="ar-SA"/>
        </w:rPr>
        <w:t>né</w:t>
      </w:r>
      <w:r w:rsidRPr="002D1F44">
        <w:rPr>
          <w:rFonts w:eastAsia="Calibri" w:cs="Times New Roman" w:hint="default"/>
          <w:kern w:val="0"/>
          <w:lang w:eastAsia="en-US" w:bidi="ar-SA"/>
        </w:rPr>
        <w:t>ho zadĺž</w:t>
      </w:r>
      <w:r w:rsidRPr="002D1F44">
        <w:rPr>
          <w:rFonts w:eastAsia="Calibri" w:cs="Times New Roman" w:hint="default"/>
          <w:kern w:val="0"/>
          <w:lang w:eastAsia="en-US" w:bidi="ar-SA"/>
        </w:rPr>
        <w:t>enia:</w:t>
      </w:r>
    </w:p>
    <w:p w:rsid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2D1F44">
        <w:rPr>
          <w:rFonts w:eastAsia="Calibri" w:cs="Times New Roman"/>
          <w:kern w:val="0"/>
          <w:lang w:eastAsia="en-US" w:bidi="ar-SA"/>
        </w:rPr>
        <w:t>Predpoklad podielu dlhu k </w:t>
      </w:r>
      <w:r w:rsidRPr="002D1F44">
        <w:rPr>
          <w:rFonts w:eastAsia="Calibri" w:cs="Times New Roman" w:hint="default"/>
          <w:kern w:val="0"/>
          <w:lang w:eastAsia="en-US" w:bidi="ar-SA"/>
        </w:rPr>
        <w:t>31.12.2018, to jest na zač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iatku roka 2019 je </w:t>
      </w:r>
      <w:r w:rsidRPr="002D1F44">
        <w:rPr>
          <w:rFonts w:eastAsia="Calibri" w:cs="Times New Roman" w:hint="default"/>
          <w:kern w:val="0"/>
          <w:lang w:eastAsia="en-US" w:bidi="ar-SA"/>
        </w:rPr>
        <w:t>–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49,9% HDP. </w:t>
      </w:r>
    </w:p>
    <w:p w:rsidR="002D1F44" w:rsidRP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2D1F44">
        <w:rPr>
          <w:rFonts w:eastAsia="Calibri" w:cs="Times New Roman" w:hint="default"/>
          <w:kern w:val="0"/>
          <w:lang w:eastAsia="en-US" w:bidi="ar-SA"/>
        </w:rPr>
        <w:t>Od 1.1.2019 bude platiť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</w:t>
      </w:r>
      <w:hyperlink r:id="rId6" w:history="1">
        <w:r w:rsidRPr="002D1F44">
          <w:rPr>
            <w:rFonts w:eastAsia="Calibri" w:cs="Times New Roman" w:hint="default"/>
            <w:color w:val="0563C1"/>
            <w:kern w:val="0"/>
            <w:u w:val="single"/>
            <w:lang w:eastAsia="en-US" w:bidi="ar-SA"/>
          </w:rPr>
          <w:t>obmedzenie pre výš</w:t>
        </w:r>
        <w:r w:rsidRPr="002D1F44">
          <w:rPr>
            <w:rFonts w:eastAsia="Calibri" w:cs="Times New Roman" w:hint="default"/>
            <w:color w:val="0563C1"/>
            <w:kern w:val="0"/>
            <w:u w:val="single"/>
            <w:lang w:eastAsia="en-US" w:bidi="ar-SA"/>
          </w:rPr>
          <w:t>ku d</w:t>
        </w:r>
        <w:r w:rsidRPr="002D1F44">
          <w:rPr>
            <w:rFonts w:eastAsia="Calibri" w:cs="Times New Roman" w:hint="default"/>
            <w:color w:val="0563C1"/>
            <w:kern w:val="0"/>
            <w:u w:val="single"/>
            <w:lang w:eastAsia="en-US" w:bidi="ar-SA"/>
          </w:rPr>
          <w:t>lhu</w:t>
        </w:r>
      </w:hyperlink>
      <w:r w:rsidRPr="002D1F44">
        <w:rPr>
          <w:rFonts w:eastAsia="Calibri" w:cs="Times New Roman"/>
          <w:kern w:val="0"/>
          <w:lang w:eastAsia="en-US" w:bidi="ar-SA"/>
        </w:rPr>
        <w:t xml:space="preserve"> v </w:t>
      </w:r>
      <w:r w:rsidRPr="002D1F44">
        <w:rPr>
          <w:rFonts w:eastAsia="Calibri" w:cs="Times New Roman" w:hint="default"/>
          <w:kern w:val="0"/>
          <w:lang w:eastAsia="en-US" w:bidi="ar-SA"/>
        </w:rPr>
        <w:t>prvom pá</w:t>
      </w:r>
      <w:r w:rsidRPr="002D1F44">
        <w:rPr>
          <w:rFonts w:eastAsia="Calibri" w:cs="Times New Roman" w:hint="default"/>
          <w:kern w:val="0"/>
          <w:lang w:eastAsia="en-US" w:bidi="ar-SA"/>
        </w:rPr>
        <w:t>sme 49%-52%</w:t>
      </w:r>
      <w:r>
        <w:rPr>
          <w:rFonts w:eastAsia="Calibri" w:cs="Times New Roman"/>
          <w:kern w:val="0"/>
          <w:vertAlign w:val="superscript"/>
          <w:rtl w:val="0"/>
          <w:lang w:eastAsia="en-US" w:bidi="ar-SA"/>
        </w:rPr>
        <w:footnoteReference w:id="2"/>
      </w:r>
      <w:r w:rsidRPr="002D1F44">
        <w:rPr>
          <w:rFonts w:eastAsia="Calibri" w:cs="Times New Roman"/>
          <w:kern w:val="0"/>
          <w:lang w:eastAsia="en-US" w:bidi="ar-SA"/>
        </w:rPr>
        <w:t xml:space="preserve">. </w:t>
      </w:r>
    </w:p>
    <w:p w:rsidR="002D1F44" w:rsidRP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2D1F44">
        <w:rPr>
          <w:rFonts w:eastAsia="Calibri" w:cs="Times New Roman"/>
          <w:kern w:val="0"/>
          <w:lang w:eastAsia="en-US" w:bidi="ar-SA"/>
        </w:rPr>
        <w:t>Aj v </w:t>
      </w:r>
      <w:r w:rsidRPr="002D1F44">
        <w:rPr>
          <w:rFonts w:eastAsia="Calibri" w:cs="Times New Roman" w:hint="default"/>
          <w:kern w:val="0"/>
          <w:lang w:eastAsia="en-US" w:bidi="ar-SA"/>
        </w:rPr>
        <w:t>prí</w:t>
      </w:r>
      <w:r w:rsidRPr="002D1F44">
        <w:rPr>
          <w:rFonts w:eastAsia="Calibri" w:cs="Times New Roman" w:hint="default"/>
          <w:kern w:val="0"/>
          <w:lang w:eastAsia="en-US" w:bidi="ar-SA"/>
        </w:rPr>
        <w:t>pade najpesimistickejš</w:t>
      </w:r>
      <w:r w:rsidRPr="002D1F44">
        <w:rPr>
          <w:rFonts w:eastAsia="Calibri" w:cs="Times New Roman" w:hint="default"/>
          <w:kern w:val="0"/>
          <w:lang w:eastAsia="en-US" w:bidi="ar-SA"/>
        </w:rPr>
        <w:t>ieho scená</w:t>
      </w:r>
      <w:r w:rsidRPr="002D1F44">
        <w:rPr>
          <w:rFonts w:eastAsia="Calibri" w:cs="Times New Roman" w:hint="default"/>
          <w:kern w:val="0"/>
          <w:lang w:eastAsia="en-US" w:bidi="ar-SA"/>
        </w:rPr>
        <w:t>ra, potreby financovania 40% vý</w:t>
      </w:r>
      <w:r w:rsidRPr="002D1F44">
        <w:rPr>
          <w:rFonts w:eastAsia="Calibri" w:cs="Times New Roman" w:hint="default"/>
          <w:kern w:val="0"/>
          <w:lang w:eastAsia="en-US" w:bidi="ar-SA"/>
        </w:rPr>
        <w:t>padku hotovostné</w:t>
      </w:r>
      <w:r w:rsidRPr="002D1F44">
        <w:rPr>
          <w:rFonts w:eastAsia="Calibri" w:cs="Times New Roman" w:hint="default"/>
          <w:kern w:val="0"/>
          <w:lang w:eastAsia="en-US" w:bidi="ar-SA"/>
        </w:rPr>
        <w:t>ho plnenia DPPO by dlh SR dosiahol 51% a </w:t>
      </w:r>
      <w:r w:rsidRPr="002D1F44">
        <w:rPr>
          <w:rFonts w:eastAsia="Calibri" w:cs="Times New Roman" w:hint="default"/>
          <w:kern w:val="0"/>
          <w:lang w:eastAsia="en-US" w:bidi="ar-SA"/>
        </w:rPr>
        <w:t>neprekroč</w:t>
      </w:r>
      <w:r w:rsidRPr="002D1F44">
        <w:rPr>
          <w:rFonts w:eastAsia="Calibri" w:cs="Times New Roman" w:hint="default"/>
          <w:kern w:val="0"/>
          <w:lang w:eastAsia="en-US" w:bidi="ar-SA"/>
        </w:rPr>
        <w:t>il by tak hranicu prvé</w:t>
      </w:r>
      <w:r w:rsidRPr="002D1F44">
        <w:rPr>
          <w:rFonts w:eastAsia="Calibri" w:cs="Times New Roman" w:hint="default"/>
          <w:kern w:val="0"/>
          <w:lang w:eastAsia="en-US" w:bidi="ar-SA"/>
        </w:rPr>
        <w:t>ho pá</w:t>
      </w:r>
      <w:r w:rsidRPr="002D1F44">
        <w:rPr>
          <w:rFonts w:eastAsia="Calibri" w:cs="Times New Roman" w:hint="default"/>
          <w:kern w:val="0"/>
          <w:lang w:eastAsia="en-US" w:bidi="ar-SA"/>
        </w:rPr>
        <w:t>sma dlhovej brzdy.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Tú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by prekroč</w:t>
      </w:r>
      <w:r w:rsidRPr="002D1F44">
        <w:rPr>
          <w:rFonts w:eastAsia="Calibri" w:cs="Times New Roman" w:hint="default"/>
          <w:kern w:val="0"/>
          <w:lang w:eastAsia="en-US" w:bidi="ar-SA"/>
        </w:rPr>
        <w:t>il až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pri takmer 80% vý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padku DPPO. </w:t>
      </w:r>
    </w:p>
    <w:p w:rsidR="002D1F44" w:rsidRP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/>
          <w:i/>
          <w:kern w:val="0"/>
          <w:lang w:eastAsia="en-US" w:bidi="ar-SA"/>
        </w:rPr>
      </w:pPr>
      <w:r w:rsidRPr="002D1F44">
        <w:rPr>
          <w:rFonts w:eastAsia="Calibri" w:cs="Times New Roman"/>
          <w:kern w:val="0"/>
          <w:lang w:eastAsia="en-US" w:bidi="ar-SA"/>
        </w:rPr>
        <w:t>V </w:t>
      </w:r>
      <w:r w:rsidRPr="002D1F44">
        <w:rPr>
          <w:rFonts w:eastAsia="Calibri" w:cs="Times New Roman" w:hint="default"/>
          <w:kern w:val="0"/>
          <w:lang w:eastAsia="en-US" w:bidi="ar-SA"/>
        </w:rPr>
        <w:t>tomto pá</w:t>
      </w:r>
      <w:r w:rsidRPr="002D1F44">
        <w:rPr>
          <w:rFonts w:eastAsia="Calibri" w:cs="Times New Roman" w:hint="default"/>
          <w:kern w:val="0"/>
          <w:lang w:eastAsia="en-US" w:bidi="ar-SA"/>
        </w:rPr>
        <w:t>sme sa nachá</w:t>
      </w:r>
      <w:r w:rsidRPr="002D1F44">
        <w:rPr>
          <w:rFonts w:eastAsia="Calibri" w:cs="Times New Roman" w:hint="default"/>
          <w:kern w:val="0"/>
          <w:lang w:eastAsia="en-US" w:bidi="ar-SA"/>
        </w:rPr>
        <w:t>dza dlh aj dnes. Veľ</w:t>
      </w:r>
      <w:r w:rsidRPr="002D1F44">
        <w:rPr>
          <w:rFonts w:eastAsia="Calibri" w:cs="Times New Roman" w:hint="default"/>
          <w:kern w:val="0"/>
          <w:lang w:eastAsia="en-US" w:bidi="ar-SA"/>
        </w:rPr>
        <w:t>kosť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dlhu v </w:t>
      </w:r>
      <w:r w:rsidRPr="002D1F44">
        <w:rPr>
          <w:rFonts w:eastAsia="Calibri" w:cs="Times New Roman" w:hint="default"/>
          <w:kern w:val="0"/>
          <w:lang w:eastAsia="en-US" w:bidi="ar-SA"/>
        </w:rPr>
        <w:t>rozmedzí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prvé</w:t>
      </w:r>
      <w:r w:rsidRPr="002D1F44">
        <w:rPr>
          <w:rFonts w:eastAsia="Calibri" w:cs="Times New Roman" w:hint="default"/>
          <w:kern w:val="0"/>
          <w:lang w:eastAsia="en-US" w:bidi="ar-SA"/>
        </w:rPr>
        <w:t>ho pá</w:t>
      </w:r>
      <w:r w:rsidRPr="002D1F44">
        <w:rPr>
          <w:rFonts w:eastAsia="Calibri" w:cs="Times New Roman" w:hint="default"/>
          <w:kern w:val="0"/>
          <w:lang w:eastAsia="en-US" w:bidi="ar-SA"/>
        </w:rPr>
        <w:t>sma znamená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formá</w:t>
      </w:r>
      <w:r w:rsidRPr="002D1F44">
        <w:rPr>
          <w:rFonts w:eastAsia="Calibri" w:cs="Times New Roman" w:hint="default"/>
          <w:kern w:val="0"/>
          <w:lang w:eastAsia="en-US" w:bidi="ar-SA"/>
        </w:rPr>
        <w:t>lnu penalizá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ciu: 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>Ministerstvo financií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 xml:space="preserve"> (MF SR) zasiela ná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>rodnej rade (NR SR) pí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>somné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 xml:space="preserve"> zdô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>vodnenie výš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>ky dlhu vrá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>tane n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>á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>vrhu opatrení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 xml:space="preserve"> na jeho zníž</w:t>
      </w:r>
      <w:r w:rsidRPr="002D1F44">
        <w:rPr>
          <w:rFonts w:eastAsia="Calibri" w:cs="Times New Roman" w:hint="default"/>
          <w:i/>
          <w:kern w:val="0"/>
          <w:lang w:eastAsia="en-US" w:bidi="ar-SA"/>
        </w:rPr>
        <w:t>enie.</w:t>
      </w:r>
    </w:p>
    <w:p w:rsidR="002D1F44" w:rsidRP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D1F44" w:rsidRP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D1F44">
        <w:rPr>
          <w:rFonts w:eastAsia="Calibri" w:cs="Times New Roman"/>
          <w:kern w:val="0"/>
          <w:lang w:eastAsia="en-US" w:bidi="ar-SA"/>
        </w:rPr>
        <w:t>Financovanie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vý</w:t>
      </w:r>
      <w:r w:rsidRPr="002D1F44">
        <w:rPr>
          <w:rFonts w:eastAsia="Calibri" w:cs="Times New Roman" w:hint="default"/>
          <w:kern w:val="0"/>
          <w:lang w:eastAsia="en-US" w:bidi="ar-SA"/>
        </w:rPr>
        <w:t>padku prí</w:t>
      </w:r>
      <w:r w:rsidRPr="002D1F44">
        <w:rPr>
          <w:rFonts w:eastAsia="Calibri" w:cs="Times New Roman" w:hint="default"/>
          <w:kern w:val="0"/>
          <w:lang w:eastAsia="en-US" w:bidi="ar-SA"/>
        </w:rPr>
        <w:t>jmov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emisiou cenný</w:t>
      </w:r>
      <w:r w:rsidRPr="002D1F44">
        <w:rPr>
          <w:rFonts w:eastAsia="Calibri" w:cs="Times New Roman" w:hint="default"/>
          <w:kern w:val="0"/>
          <w:lang w:eastAsia="en-US" w:bidi="ar-SA"/>
        </w:rPr>
        <w:t>ch papierov</w:t>
      </w:r>
    </w:p>
    <w:p w:rsidR="002D1F44" w:rsidRPr="002D1F44" w:rsidP="002D1F44">
      <w:pPr>
        <w:widowControl/>
        <w:suppressAutoHyphens w:val="0"/>
        <w:bidi w:val="0"/>
        <w:spacing w:line="259" w:lineRule="auto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D1F44" w:rsidRPr="002D1F44" w:rsidP="002D1F44">
      <w:pPr>
        <w:widowControl/>
        <w:suppressAutoHyphens w:val="0"/>
        <w:bidi w:val="0"/>
        <w:spacing w:line="259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a) </w:t>
      </w:r>
      <w:r w:rsidRPr="002D1F44">
        <w:rPr>
          <w:rFonts w:eastAsia="Calibri" w:cs="Times New Roman" w:hint="default"/>
          <w:kern w:val="0"/>
          <w:lang w:eastAsia="en-US" w:bidi="ar-SA"/>
        </w:rPr>
        <w:t>Š</w:t>
      </w:r>
      <w:r w:rsidRPr="002D1F44">
        <w:rPr>
          <w:rFonts w:eastAsia="Calibri" w:cs="Times New Roman" w:hint="default"/>
          <w:kern w:val="0"/>
          <w:lang w:eastAsia="en-US" w:bidi="ar-SA"/>
        </w:rPr>
        <w:t>tá</w:t>
      </w:r>
      <w:r w:rsidRPr="002D1F44">
        <w:rPr>
          <w:rFonts w:eastAsia="Calibri" w:cs="Times New Roman" w:hint="default"/>
          <w:kern w:val="0"/>
          <w:lang w:eastAsia="en-US" w:bidi="ar-SA"/>
        </w:rPr>
        <w:t>tne pokladnič</w:t>
      </w:r>
      <w:r w:rsidRPr="002D1F44">
        <w:rPr>
          <w:rFonts w:eastAsia="Calibri" w:cs="Times New Roman" w:hint="default"/>
          <w:kern w:val="0"/>
          <w:lang w:eastAsia="en-US" w:bidi="ar-SA"/>
        </w:rPr>
        <w:t>né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poukáž</w:t>
      </w:r>
      <w:r w:rsidRPr="002D1F44">
        <w:rPr>
          <w:rFonts w:eastAsia="Calibri" w:cs="Times New Roman" w:hint="default"/>
          <w:kern w:val="0"/>
          <w:lang w:eastAsia="en-US" w:bidi="ar-SA"/>
        </w:rPr>
        <w:t>ky</w:t>
      </w:r>
    </w:p>
    <w:p w:rsidR="002D1F44" w:rsidRP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D1F44">
        <w:rPr>
          <w:rFonts w:eastAsia="Calibri" w:cs="Times New Roman" w:hint="default"/>
          <w:kern w:val="0"/>
          <w:lang w:eastAsia="en-US" w:bidi="ar-SA"/>
        </w:rPr>
        <w:t>Posledná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emisia v objeme 300 mil. eur z </w:t>
      </w:r>
      <w:r w:rsidRPr="002D1F44">
        <w:rPr>
          <w:rFonts w:eastAsia="Calibri" w:cs="Times New Roman" w:hint="default"/>
          <w:kern w:val="0"/>
          <w:lang w:eastAsia="en-US" w:bidi="ar-SA"/>
        </w:rPr>
        <w:t>februá</w:t>
      </w:r>
      <w:r w:rsidRPr="002D1F44">
        <w:rPr>
          <w:rFonts w:eastAsia="Calibri" w:cs="Times New Roman" w:hint="default"/>
          <w:kern w:val="0"/>
          <w:lang w:eastAsia="en-US" w:bidi="ar-SA"/>
        </w:rPr>
        <w:t>ra 2018 predaná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so zá</w:t>
      </w:r>
      <w:r w:rsidRPr="002D1F44">
        <w:rPr>
          <w:rFonts w:eastAsia="Calibri" w:cs="Times New Roman" w:hint="default"/>
          <w:kern w:val="0"/>
          <w:lang w:eastAsia="en-US" w:bidi="ar-SA"/>
        </w:rPr>
        <w:t>porný</w:t>
      </w:r>
      <w:r w:rsidRPr="002D1F44">
        <w:rPr>
          <w:rFonts w:eastAsia="Calibri" w:cs="Times New Roman" w:hint="default"/>
          <w:kern w:val="0"/>
          <w:lang w:eastAsia="en-US" w:bidi="ar-SA"/>
        </w:rPr>
        <w:t>m ú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rokom 0,25% p.a. </w:t>
      </w:r>
    </w:p>
    <w:p w:rsidR="002D1F44" w:rsidP="002D1F44">
      <w:pPr>
        <w:widowControl/>
        <w:suppressAutoHyphens w:val="0"/>
        <w:bidi w:val="0"/>
        <w:spacing w:line="259" w:lineRule="auto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2D1F44" w:rsidRPr="002D1F44" w:rsidP="002D1F44">
      <w:pPr>
        <w:widowControl/>
        <w:suppressAutoHyphens w:val="0"/>
        <w:bidi w:val="0"/>
        <w:spacing w:line="259" w:lineRule="auto"/>
        <w:contextualSpacing/>
        <w:jc w:val="both"/>
        <w:rPr>
          <w:rFonts w:eastAsia="Calibri" w:cs="Times New Roman" w:hint="default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b) </w:t>
      </w:r>
      <w:r w:rsidRPr="002D1F44">
        <w:rPr>
          <w:rFonts w:eastAsia="Calibri" w:cs="Times New Roman" w:hint="default"/>
          <w:kern w:val="0"/>
          <w:lang w:eastAsia="en-US" w:bidi="ar-SA"/>
        </w:rPr>
        <w:t>Š</w:t>
      </w:r>
      <w:r w:rsidRPr="002D1F44">
        <w:rPr>
          <w:rFonts w:eastAsia="Calibri" w:cs="Times New Roman" w:hint="default"/>
          <w:kern w:val="0"/>
          <w:lang w:eastAsia="en-US" w:bidi="ar-SA"/>
        </w:rPr>
        <w:t>tá</w:t>
      </w:r>
      <w:r w:rsidRPr="002D1F44">
        <w:rPr>
          <w:rFonts w:eastAsia="Calibri" w:cs="Times New Roman" w:hint="default"/>
          <w:kern w:val="0"/>
          <w:lang w:eastAsia="en-US" w:bidi="ar-SA"/>
        </w:rPr>
        <w:t>tne dlhopisy</w:t>
      </w:r>
    </w:p>
    <w:p w:rsid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/>
          <w:kern w:val="0"/>
          <w:lang w:eastAsia="en-US" w:bidi="ar-SA"/>
        </w:rPr>
      </w:pPr>
      <w:r w:rsidRPr="002D1F44">
        <w:rPr>
          <w:rFonts w:eastAsia="Calibri" w:cs="Times New Roman" w:hint="default"/>
          <w:kern w:val="0"/>
          <w:lang w:eastAsia="en-US" w:bidi="ar-SA"/>
        </w:rPr>
        <w:t>Posledná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emisia </w:t>
      </w:r>
      <w:r w:rsidRPr="002D1F44">
        <w:rPr>
          <w:rFonts w:eastAsia="Calibri" w:cs="Times New Roman" w:hint="default"/>
          <w:kern w:val="0"/>
          <w:lang w:eastAsia="en-US" w:bidi="ar-SA"/>
        </w:rPr>
        <w:t>z </w:t>
      </w:r>
      <w:r w:rsidRPr="002D1F44">
        <w:rPr>
          <w:rFonts w:eastAsia="Calibri" w:cs="Times New Roman" w:hint="default"/>
          <w:kern w:val="0"/>
          <w:lang w:eastAsia="en-US" w:bidi="ar-SA"/>
        </w:rPr>
        <w:t>februá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ra 2018 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v objeme </w:t>
      </w:r>
      <w:r w:rsidRPr="002D1F44">
        <w:rPr>
          <w:rFonts w:eastAsia="Calibri" w:cs="Times New Roman" w:hint="default"/>
          <w:kern w:val="0"/>
          <w:lang w:eastAsia="en-US" w:bidi="ar-SA"/>
        </w:rPr>
        <w:t>85 mil. eur so splatnosť</w:t>
      </w:r>
      <w:r w:rsidRPr="002D1F44">
        <w:rPr>
          <w:rFonts w:eastAsia="Calibri" w:cs="Times New Roman" w:hint="default"/>
          <w:kern w:val="0"/>
          <w:lang w:eastAsia="en-US" w:bidi="ar-SA"/>
        </w:rPr>
        <w:t>ou o 13 rokov s </w:t>
      </w:r>
      <w:r w:rsidRPr="002D1F44">
        <w:rPr>
          <w:rFonts w:eastAsia="Calibri" w:cs="Times New Roman" w:hint="default"/>
          <w:kern w:val="0"/>
          <w:lang w:eastAsia="en-US" w:bidi="ar-SA"/>
        </w:rPr>
        <w:t>ú</w:t>
      </w:r>
      <w:r w:rsidRPr="002D1F44">
        <w:rPr>
          <w:rFonts w:eastAsia="Calibri" w:cs="Times New Roman" w:hint="default"/>
          <w:kern w:val="0"/>
          <w:lang w:eastAsia="en-US" w:bidi="ar-SA"/>
        </w:rPr>
        <w:t>rokom 1,4%.</w:t>
      </w:r>
    </w:p>
    <w:p w:rsidR="002D1F44" w:rsidRPr="002D1F44" w:rsidP="002D1F44">
      <w:pPr>
        <w:widowControl/>
        <w:suppressAutoHyphens w:val="0"/>
        <w:bidi w:val="0"/>
        <w:spacing w:line="259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D1F44" w:rsidP="002D1F44">
      <w:pPr>
        <w:widowControl/>
        <w:suppressAutoHyphens w:val="0"/>
        <w:bidi w:val="0"/>
        <w:spacing w:line="259" w:lineRule="auto"/>
        <w:jc w:val="both"/>
        <w:rPr>
          <w:rFonts w:cs="Times New Roman"/>
          <w:b/>
          <w:color w:val="000000"/>
        </w:rPr>
      </w:pPr>
      <w:r w:rsidRPr="002D1F44">
        <w:rPr>
          <w:rFonts w:eastAsia="Calibri" w:cs="Times New Roman" w:hint="default"/>
          <w:kern w:val="0"/>
          <w:lang w:eastAsia="en-US" w:bidi="ar-SA"/>
        </w:rPr>
        <w:t>Roč</w:t>
      </w:r>
      <w:r w:rsidRPr="002D1F44">
        <w:rPr>
          <w:rFonts w:eastAsia="Calibri" w:cs="Times New Roman" w:hint="default"/>
          <w:kern w:val="0"/>
          <w:lang w:eastAsia="en-US" w:bidi="ar-SA"/>
        </w:rPr>
        <w:t>né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2D1F44">
        <w:rPr>
          <w:rFonts w:eastAsia="Calibri" w:cs="Times New Roman" w:hint="default"/>
          <w:kern w:val="0"/>
          <w:lang w:eastAsia="en-US" w:bidi="ar-SA"/>
        </w:rPr>
        <w:t>klady na financovanie ú</w:t>
      </w:r>
      <w:r w:rsidRPr="002D1F44">
        <w:rPr>
          <w:rFonts w:eastAsia="Calibri" w:cs="Times New Roman" w:hint="default"/>
          <w:kern w:val="0"/>
          <w:lang w:eastAsia="en-US" w:bidi="ar-SA"/>
        </w:rPr>
        <w:t>rokový</w:t>
      </w:r>
      <w:r w:rsidRPr="002D1F44">
        <w:rPr>
          <w:rFonts w:eastAsia="Calibri" w:cs="Times New Roman" w:hint="default"/>
          <w:kern w:val="0"/>
          <w:lang w:eastAsia="en-US" w:bidi="ar-SA"/>
        </w:rPr>
        <w:t>ch ná</w:t>
      </w:r>
      <w:r w:rsidRPr="002D1F44">
        <w:rPr>
          <w:rFonts w:eastAsia="Calibri" w:cs="Times New Roman" w:hint="default"/>
          <w:kern w:val="0"/>
          <w:lang w:eastAsia="en-US" w:bidi="ar-SA"/>
        </w:rPr>
        <w:t>kladov by sa pri súč</w:t>
      </w:r>
      <w:r w:rsidRPr="002D1F44">
        <w:rPr>
          <w:rFonts w:eastAsia="Calibri" w:cs="Times New Roman" w:hint="default"/>
          <w:kern w:val="0"/>
          <w:lang w:eastAsia="en-US" w:bidi="ar-SA"/>
        </w:rPr>
        <w:t>asný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ch </w:t>
      </w:r>
      <w:r>
        <w:rPr>
          <w:rFonts w:eastAsia="Calibri" w:cs="Times New Roman" w:hint="default"/>
          <w:kern w:val="0"/>
          <w:lang w:eastAsia="en-US" w:bidi="ar-SA"/>
        </w:rPr>
        <w:t>sadzbá</w:t>
      </w:r>
      <w:r>
        <w:rPr>
          <w:rFonts w:eastAsia="Calibri" w:cs="Times New Roman" w:hint="default"/>
          <w:kern w:val="0"/>
          <w:lang w:eastAsia="en-US" w:bidi="ar-SA"/>
        </w:rPr>
        <w:t xml:space="preserve">ch pohybovali od 5 do </w:t>
      </w:r>
      <w:r w:rsidRPr="002D1F44">
        <w:rPr>
          <w:rFonts w:eastAsia="Calibri" w:cs="Times New Roman"/>
          <w:kern w:val="0"/>
          <w:lang w:eastAsia="en-US" w:bidi="ar-SA"/>
        </w:rPr>
        <w:t>15</w:t>
      </w:r>
      <w:r w:rsidRPr="002D1F44">
        <w:rPr>
          <w:rFonts w:eastAsia="Calibri" w:cs="Times New Roman"/>
          <w:kern w:val="0"/>
          <w:lang w:eastAsia="en-US" w:bidi="ar-SA"/>
        </w:rPr>
        <w:t xml:space="preserve"> </w:t>
      </w:r>
      <w:r w:rsidRPr="002D1F44">
        <w:rPr>
          <w:rFonts w:eastAsia="Calibri" w:cs="Times New Roman"/>
          <w:kern w:val="0"/>
          <w:lang w:eastAsia="en-US" w:bidi="ar-SA"/>
        </w:rPr>
        <w:t>mil. eur</w:t>
      </w:r>
      <w:r w:rsidRPr="002D1F44">
        <w:rPr>
          <w:rFonts w:eastAsia="Calibri" w:cs="Times New Roman" w:hint="default"/>
          <w:kern w:val="0"/>
          <w:lang w:eastAsia="en-US" w:bidi="ar-SA"/>
        </w:rPr>
        <w:t>. Tieto ná</w:t>
      </w:r>
      <w:r w:rsidRPr="002D1F44">
        <w:rPr>
          <w:rFonts w:eastAsia="Calibri" w:cs="Times New Roman" w:hint="default"/>
          <w:kern w:val="0"/>
          <w:lang w:eastAsia="en-US" w:bidi="ar-SA"/>
        </w:rPr>
        <w:t>klady by boli iba doč</w:t>
      </w:r>
      <w:r w:rsidRPr="002D1F44">
        <w:rPr>
          <w:rFonts w:eastAsia="Calibri" w:cs="Times New Roman" w:hint="default"/>
          <w:kern w:val="0"/>
          <w:lang w:eastAsia="en-US" w:bidi="ar-SA"/>
        </w:rPr>
        <w:t>asné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(max niekoľ</w:t>
      </w:r>
      <w:r w:rsidRPr="002D1F44">
        <w:rPr>
          <w:rFonts w:eastAsia="Calibri" w:cs="Times New Roman" w:hint="default"/>
          <w:kern w:val="0"/>
          <w:lang w:eastAsia="en-US" w:bidi="ar-SA"/>
        </w:rPr>
        <w:t>ko rokov) a </w:t>
      </w:r>
      <w:r w:rsidRPr="002D1F44">
        <w:rPr>
          <w:rFonts w:eastAsia="Calibri" w:cs="Times New Roman" w:hint="default"/>
          <w:kern w:val="0"/>
          <w:lang w:eastAsia="en-US" w:bidi="ar-SA"/>
        </w:rPr>
        <w:t>boli by splatené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zvýš</w:t>
      </w:r>
      <w:r w:rsidRPr="002D1F44">
        <w:rPr>
          <w:rFonts w:eastAsia="Calibri" w:cs="Times New Roman" w:hint="default"/>
          <w:kern w:val="0"/>
          <w:lang w:eastAsia="en-US" w:bidi="ar-SA"/>
        </w:rPr>
        <w:t>ený</w:t>
      </w:r>
      <w:r w:rsidRPr="002D1F44">
        <w:rPr>
          <w:rFonts w:eastAsia="Calibri" w:cs="Times New Roman" w:hint="default"/>
          <w:kern w:val="0"/>
          <w:lang w:eastAsia="en-US" w:bidi="ar-SA"/>
        </w:rPr>
        <w:t>mi vý</w:t>
      </w:r>
      <w:r w:rsidRPr="002D1F44">
        <w:rPr>
          <w:rFonts w:eastAsia="Calibri" w:cs="Times New Roman" w:hint="default"/>
          <w:kern w:val="0"/>
          <w:lang w:eastAsia="en-US" w:bidi="ar-SA"/>
        </w:rPr>
        <w:t>nosmi v </w:t>
      </w:r>
      <w:r w:rsidRPr="002D1F44">
        <w:rPr>
          <w:rFonts w:eastAsia="Calibri" w:cs="Times New Roman" w:hint="default"/>
          <w:kern w:val="0"/>
          <w:lang w:eastAsia="en-US" w:bidi="ar-SA"/>
        </w:rPr>
        <w:t>budú</w:t>
      </w:r>
      <w:r w:rsidRPr="002D1F44">
        <w:rPr>
          <w:rFonts w:eastAsia="Calibri" w:cs="Times New Roman" w:hint="default"/>
          <w:kern w:val="0"/>
          <w:lang w:eastAsia="en-US" w:bidi="ar-SA"/>
        </w:rPr>
        <w:t>cnosti.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V </w:t>
      </w:r>
      <w:r w:rsidRPr="002D1F44">
        <w:rPr>
          <w:rFonts w:eastAsia="Calibri" w:cs="Times New Roman" w:hint="default"/>
          <w:kern w:val="0"/>
          <w:lang w:eastAsia="en-US" w:bidi="ar-SA"/>
        </w:rPr>
        <w:t>kalkulá</w:t>
      </w:r>
      <w:r w:rsidRPr="002D1F44">
        <w:rPr>
          <w:rFonts w:eastAsia="Calibri" w:cs="Times New Roman" w:hint="default"/>
          <w:kern w:val="0"/>
          <w:lang w:eastAsia="en-US" w:bidi="ar-SA"/>
        </w:rPr>
        <w:t>cii nie sú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zahrnuté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pozití</w:t>
      </w:r>
      <w:r w:rsidRPr="002D1F44">
        <w:rPr>
          <w:rFonts w:eastAsia="Calibri" w:cs="Times New Roman" w:hint="default"/>
          <w:kern w:val="0"/>
          <w:lang w:eastAsia="en-US" w:bidi="ar-SA"/>
        </w:rPr>
        <w:t>vne prí</w:t>
      </w:r>
      <w:r w:rsidRPr="002D1F44">
        <w:rPr>
          <w:rFonts w:eastAsia="Calibri" w:cs="Times New Roman" w:hint="default"/>
          <w:kern w:val="0"/>
          <w:lang w:eastAsia="en-US" w:bidi="ar-SA"/>
        </w:rPr>
        <w:t>nosy tohto opatrenia na ekonomický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rast a </w:t>
      </w:r>
      <w:r w:rsidRPr="002D1F44">
        <w:rPr>
          <w:rFonts w:eastAsia="Calibri" w:cs="Times New Roman" w:hint="default"/>
          <w:kern w:val="0"/>
          <w:lang w:eastAsia="en-US" w:bidi="ar-SA"/>
        </w:rPr>
        <w:t>tý</w:t>
      </w:r>
      <w:r w:rsidRPr="002D1F44">
        <w:rPr>
          <w:rFonts w:eastAsia="Calibri" w:cs="Times New Roman" w:hint="default"/>
          <w:kern w:val="0"/>
          <w:lang w:eastAsia="en-US" w:bidi="ar-SA"/>
        </w:rPr>
        <w:t>m aj predpokladané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dyn</w:t>
      </w:r>
      <w:r w:rsidRPr="002D1F44">
        <w:rPr>
          <w:rFonts w:eastAsia="Calibri" w:cs="Times New Roman" w:hint="default"/>
          <w:kern w:val="0"/>
          <w:lang w:eastAsia="en-US" w:bidi="ar-SA"/>
        </w:rPr>
        <w:t>amické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 efekty na vý</w:t>
      </w:r>
      <w:r w:rsidRPr="002D1F44">
        <w:rPr>
          <w:rFonts w:eastAsia="Calibri" w:cs="Times New Roman" w:hint="default"/>
          <w:kern w:val="0"/>
          <w:lang w:eastAsia="en-US" w:bidi="ar-SA"/>
        </w:rPr>
        <w:t xml:space="preserve">ber DPPO. </w:t>
      </w:r>
    </w:p>
    <w:p w:rsidR="00660EC6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377" w:rsidP="0090548E">
      <w:pPr>
        <w:bidi w:val="0"/>
      </w:pPr>
      <w:r>
        <w:separator/>
      </w:r>
    </w:p>
  </w:footnote>
  <w:footnote w:type="continuationSeparator" w:id="1">
    <w:p w:rsidR="004B7377" w:rsidP="0090548E">
      <w:pPr>
        <w:bidi w:val="0"/>
      </w:pPr>
      <w:r>
        <w:continuationSeparator/>
      </w:r>
    </w:p>
  </w:footnote>
  <w:footnote w:id="2">
    <w:p w:rsidP="002D1F44">
      <w:pPr>
        <w:pStyle w:val="FootnoteText"/>
        <w:bidi w:val="0"/>
        <w:rPr>
          <w:rFonts w:ascii="Times New Roman" w:hAnsi="Times New Roman"/>
        </w:rPr>
      </w:pPr>
      <w:r w:rsidR="002D1F44">
        <w:rPr>
          <w:rStyle w:val="FootnoteReference"/>
          <w:rFonts w:ascii="Times New Roman" w:hAnsi="Times New Roman"/>
        </w:rPr>
        <w:footnoteRef/>
      </w:r>
      <w:r w:rsidR="002D1F44">
        <w:rPr>
          <w:rFonts w:ascii="Times New Roman" w:hAnsi="Times New Roman"/>
        </w:rPr>
        <w:t xml:space="preserve"> Hranice pásiem dlhovej brzdy sa postupne, každý rok o percento, znižujú z aktuálnych 50-60% na 40-50%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7814AA8"/>
    <w:multiLevelType w:val="hybridMultilevel"/>
    <w:tmpl w:val="9AECD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34E8"/>
    <w:multiLevelType w:val="hybridMultilevel"/>
    <w:tmpl w:val="D7BE3A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7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1F44"/>
    <w:rsid w:val="002D2DFF"/>
    <w:rsid w:val="002D3038"/>
    <w:rsid w:val="002E0433"/>
    <w:rsid w:val="002E1E6C"/>
    <w:rsid w:val="002F27EB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B7377"/>
    <w:rsid w:val="004C32E3"/>
    <w:rsid w:val="004C4E9A"/>
    <w:rsid w:val="004C69D7"/>
    <w:rsid w:val="004D1C10"/>
    <w:rsid w:val="004F16BA"/>
    <w:rsid w:val="004F3A27"/>
    <w:rsid w:val="004F477A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169C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table" w:customStyle="1" w:styleId="Tabukasmriekou21">
    <w:name w:val="Tabuľka s mriežkou 21"/>
    <w:basedOn w:val="TableNormal"/>
    <w:next w:val="GridTable2"/>
    <w:uiPriority w:val="47"/>
    <w:rsid w:val="002D1F44"/>
    <w:pPr>
      <w:spacing w:after="0" w:line="240" w:lineRule="auto"/>
    </w:pPr>
    <w:rPr>
      <w:rFonts w:eastAsia="Calibri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clear" w:color="auto" w:fill="CCCCCC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clear" w:color="auto" w:fill="CCCCCC"/>
      </w:tcPr>
    </w:tblStylePr>
  </w:style>
  <w:style w:type="table" w:styleId="GridTable2">
    <w:name w:val="Grid Table 2"/>
    <w:basedOn w:val="TableNormal"/>
    <w:uiPriority w:val="47"/>
    <w:rsid w:val="002D1F44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theme="minorHAnsi"/>
        <w:b/>
        <w:bCs/>
        <w:rtl w:val="0"/>
        <w:cs w:val="0"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theme="minorHAnsi"/>
        <w:b/>
        <w:bCs/>
        <w:rtl w:val="0"/>
        <w:cs w:val="0"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theme="minorHAnsi"/>
        <w:b/>
        <w:bCs/>
        <w:rtl w:val="0"/>
        <w:cs w:val="0"/>
      </w:rPr>
      <w:tblPr/>
    </w:tblStylePr>
    <w:tblStylePr w:type="lastCol">
      <w:pPr>
        <w:widowControl w:val="0"/>
        <w:autoSpaceDE w:val="0"/>
        <w:autoSpaceDN w:val="0"/>
        <w:adjustRightInd w:val="0"/>
      </w:pPr>
      <w:rPr>
        <w:rFonts w:cstheme="minorHAnsi"/>
        <w:b/>
        <w:bCs/>
        <w:rtl w:val="0"/>
        <w:cs w:val="0"/>
      </w:rPr>
      <w:tblPr/>
    </w:tblStylePr>
    <w:tblStylePr w:type="band1Vert">
      <w:pPr>
        <w:widowControl w:val="0"/>
        <w:autoSpaceDE w:val="0"/>
        <w:autoSpaceDN w:val="0"/>
        <w:adjustRightInd w:val="0"/>
      </w:pPr>
      <w:rPr>
        <w:rFonts w:cstheme="minorHAnsi"/>
        <w:rtl w:val="0"/>
        <w:cs w:val="0"/>
      </w:rPr>
      <w:tblPr/>
      <w:tcPr>
        <w:shd w:val="clear" w:color="auto" w:fill="CCCCCC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theme="minorHAnsi"/>
        <w:rtl w:val="0"/>
        <w:cs w:val="0"/>
      </w:rPr>
      <w:tblPr/>
      <w:tcPr>
        <w:shd w:val="clear" w:color="auto" w:fill="CCCCC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rozpoctovarada.sk/dlhovabrzda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B158B-D308-4C48-B2CD-AF133B68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595</Words>
  <Characters>3394</Characters>
  <Application>Microsoft Office Word</Application>
  <DocSecurity>0</DocSecurity>
  <Lines>0</Lines>
  <Paragraphs>0</Paragraphs>
  <ScaleCrop>false</ScaleCrop>
  <Company>HP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3</cp:revision>
  <cp:lastPrinted>2016-08-18T13:39:00Z</cp:lastPrinted>
  <dcterms:created xsi:type="dcterms:W3CDTF">2018-02-22T14:54:00Z</dcterms:created>
  <dcterms:modified xsi:type="dcterms:W3CDTF">2018-02-22T23:54:00Z</dcterms:modified>
</cp:coreProperties>
</file>