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autoSpaceDE w:val="0"/>
        <w:autoSpaceDN w:val="0"/>
        <w:adjustRightInd w:val="0"/>
        <w:spacing w:before="120"/>
        <w:ind w:right="0"/>
        <w:jc w:val="center"/>
        <w:rPr>
          <w:rFonts w:ascii="TimesNewRomanPSMT" w:hAnsi="TimesNewRomanPSMT" w:cs="TimesNewRomanPSMT"/>
          <w:b/>
          <w:color w:val="auto"/>
          <w:spacing w:val="30"/>
          <w:kern w:val="1"/>
        </w:rPr>
      </w:pPr>
    </w:p>
    <w:p>
      <w:pPr>
        <w:widowControl w:val="0"/>
        <w:autoSpaceDE w:val="0"/>
        <w:autoSpaceDN w:val="0"/>
        <w:adjustRightInd w:val="0"/>
        <w:spacing w:before="120"/>
        <w:ind w:right="0"/>
        <w:jc w:val="center"/>
        <w:rPr>
          <w:rFonts w:ascii="TimesNewRomanPSMT" w:hAnsi="TimesNewRomanPSMT" w:cs="TimesNewRomanPSMT"/>
          <w:b/>
          <w:color w:val="auto"/>
          <w:spacing w:val="30"/>
          <w:kern w:val="1"/>
        </w:rPr>
      </w:pPr>
    </w:p>
    <w:p>
      <w:pPr>
        <w:widowControl w:val="0"/>
        <w:autoSpaceDE w:val="0"/>
        <w:autoSpaceDN w:val="0"/>
        <w:adjustRightInd w:val="0"/>
        <w:spacing w:before="120"/>
        <w:ind w:right="0"/>
        <w:jc w:val="center"/>
        <w:rPr>
          <w:rFonts w:ascii="TimesNewRomanPSMT" w:hAnsi="TimesNewRomanPSMT" w:cs="TimesNewRomanPSMT"/>
          <w:b/>
          <w:color w:val="auto"/>
          <w:spacing w:val="30"/>
          <w:kern w:val="1"/>
        </w:rPr>
      </w:pPr>
    </w:p>
    <w:p>
      <w:pPr>
        <w:widowControl w:val="0"/>
        <w:autoSpaceDE w:val="0"/>
        <w:autoSpaceDN w:val="0"/>
        <w:adjustRightInd w:val="0"/>
        <w:spacing w:before="120"/>
        <w:ind w:right="0"/>
        <w:jc w:val="center"/>
        <w:rPr>
          <w:rFonts w:ascii="TimesNewRomanPSMT" w:hAnsi="TimesNewRomanPSMT" w:cs="TimesNewRomanPSMT"/>
          <w:b/>
          <w:color w:val="auto"/>
          <w:spacing w:val="30"/>
          <w:kern w:val="1"/>
        </w:rPr>
      </w:pPr>
      <w:r>
        <w:rPr>
          <w:rFonts w:ascii="TimesNewRomanPSMT" w:hAnsi="TimesNewRomanPSMT" w:cs="TimesNewRomanPSMT"/>
          <w:b/>
          <w:color w:val="auto"/>
          <w:spacing w:val="30"/>
          <w:kern w:val="1"/>
        </w:rPr>
        <w:t>Doložka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center"/>
        <w:rPr>
          <w:rFonts w:ascii="TimesNewRomanPSMT" w:hAnsi="TimesNewRomanPSMT" w:cs="TimesNewRomanPSMT"/>
          <w:b/>
          <w:color w:val="auto"/>
          <w:spacing w:val="0"/>
          <w:kern w:val="1"/>
        </w:rPr>
      </w:pPr>
      <w:r>
        <w:rPr>
          <w:rFonts w:ascii="TimesNewRomanPSMT" w:hAnsi="TimesNewRomanPSMT" w:cs="TimesNewRomanPSMT"/>
          <w:b/>
          <w:color w:val="auto"/>
          <w:spacing w:val="0"/>
          <w:kern w:val="1"/>
        </w:rPr>
        <w:t>vybraných vplyvov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 w:val="0"/>
          <w:color w:val="auto"/>
          <w:spacing w:val="0"/>
          <w:kern w:val="1"/>
        </w:rPr>
      </w:pP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/>
          <w:color w:val="auto"/>
          <w:spacing w:val="0"/>
          <w:kern w:val="1"/>
        </w:rPr>
      </w:pPr>
      <w:r>
        <w:rPr>
          <w:rFonts w:ascii="TimesNewRomanPSMT" w:hAnsi="TimesNewRomanPSMT" w:cs="TimesNewRomanPSMT"/>
          <w:b/>
          <w:color w:val="auto"/>
          <w:spacing w:val="0"/>
          <w:kern w:val="1"/>
        </w:rPr>
        <w:t xml:space="preserve">A.1. Názov materiálu: </w:t>
      </w:r>
      <w:r>
        <w:rPr>
          <w:rFonts w:ascii="TimesNewRomanPSMT" w:hAnsi="TimesNewRomanPSMT" w:cs="TimesNewRomanPSMT"/>
          <w:b w:val="0"/>
          <w:color w:val="auto"/>
          <w:spacing w:val="0"/>
          <w:kern w:val="1"/>
        </w:rPr>
        <w:t>návrh zákona, ktorým sa ustanovujú množstvá oma</w:t>
      </w:r>
      <w:r>
        <w:rPr>
          <w:rFonts w:ascii="Helvetica" w:hAnsi="Helvetica" w:cs="Helvetica"/>
          <w:b w:val="0"/>
          <w:color w:val="auto"/>
          <w:spacing w:val="0"/>
          <w:kern w:val="1"/>
        </w:rPr>
        <w:t>mných látok a psychotropných látok a rastlín a húb obsahujúcich omamné látky alebo psychotropné látky a ktorým sa menia a dop</w:t>
      </w:r>
      <w:r>
        <w:rPr>
          <w:rFonts w:ascii="Helvetica" w:hAnsi="Helvetica" w:cs="Helvetica"/>
          <w:b w:val="0"/>
          <w:color w:val="auto"/>
          <w:spacing w:val="0"/>
          <w:kern w:val="1"/>
        </w:rPr>
        <w:t>ĺňajú niektoré zákony</w:t>
      </w:r>
      <w:r>
        <w:rPr>
          <w:rFonts w:ascii="TimesNewRomanPSMT" w:hAnsi="TimesNewRomanPSMT" w:cs="TimesNewRomanPSMT"/>
          <w:b/>
          <w:color w:val="auto"/>
          <w:spacing w:val="0"/>
          <w:kern w:val="1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 w:val="0"/>
          <w:i/>
          <w:color w:val="auto"/>
          <w:spacing w:val="0"/>
          <w:kern w:val="1"/>
        </w:rPr>
      </w:pPr>
      <w:r>
        <w:rPr>
          <w:rFonts w:ascii="Helvetica" w:hAnsi="Helvetica" w:cs="Helvetica"/>
          <w:b/>
          <w:color w:val="auto"/>
          <w:spacing w:val="0"/>
          <w:kern w:val="1"/>
        </w:rPr>
        <w:t>Termín za</w:t>
      </w:r>
      <w:r>
        <w:rPr>
          <w:rFonts w:ascii="Helvetica" w:hAnsi="Helvetica" w:cs="Helvetica"/>
          <w:b/>
          <w:color w:val="auto"/>
          <w:spacing w:val="0"/>
          <w:kern w:val="1"/>
        </w:rPr>
        <w:t>čatia a ukončenia PPK:</w:t>
      </w:r>
      <w:r>
        <w:rPr>
          <w:rFonts w:ascii="TimesNewRomanPSMT" w:hAnsi="TimesNewRomanPSMT" w:cs="TimesNewRomanPSMT"/>
          <w:b w:val="0"/>
          <w:color w:val="auto"/>
          <w:spacing w:val="0"/>
          <w:kern w:val="1"/>
        </w:rPr>
        <w:t xml:space="preserve"> </w:t>
      </w:r>
      <w:r>
        <w:rPr>
          <w:rFonts w:ascii="TimesNewRomanPSMT" w:hAnsi="TimesNewRomanPSMT" w:cs="TimesNewRomanPSMT"/>
          <w:b w:val="0"/>
          <w:i/>
          <w:color w:val="auto"/>
          <w:spacing w:val="0"/>
          <w:kern w:val="1"/>
        </w:rPr>
        <w:t>bezpredmetné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 w:val="0"/>
          <w:i/>
          <w:color w:val="auto"/>
          <w:spacing w:val="0"/>
          <w:kern w:val="1"/>
        </w:rPr>
      </w:pP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/>
          <w:i w:val="0"/>
          <w:color w:val="auto"/>
          <w:spacing w:val="0"/>
          <w:kern w:val="1"/>
        </w:rPr>
      </w:pPr>
      <w:r>
        <w:rPr>
          <w:rFonts w:ascii="TimesNewRomanPSMT" w:hAnsi="TimesNewRomanPSMT" w:cs="TimesNewRomanPSMT"/>
          <w:b/>
          <w:i w:val="0"/>
          <w:color w:val="auto"/>
          <w:spacing w:val="0"/>
          <w:kern w:val="1"/>
        </w:rPr>
        <w:t>A.2. Vplyvy:</w:t>
      </w:r>
    </w:p>
    <w:tbl>
      <w:tblPr>
        <w:tblW w:w="12500" w:type="pct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CellMar>
          <w:top w:w="0" w:type="dxa"/>
          <w:bottom w:w="0" w:type="dxa"/>
        </w:tblCellMar>
      </w:tblPr>
      <w:tblGrid>
        <w:gridCol w:w="2268"/>
        <w:gridCol w:w="2160"/>
        <w:gridCol w:w="2160"/>
        <w:gridCol w:w="2160"/>
      </w:tblGrid>
      <w:tr>
        <w:tblPrEx>
          <w:tblW w:w="12500" w:type="pct"/>
          <w:tblBorders>
            <w:top w:val="single" w:sz="6" w:space="0" w:color="BFBFBF"/>
            <w:left w:val="single" w:sz="6" w:space="0" w:color="BFBFBF"/>
            <w:right w:val="single" w:sz="6" w:space="0" w:color="BFBFBF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 Negatívne </w:t>
            </w:r>
          </w:p>
        </w:tc>
      </w:tr>
      <w:tr>
        <w:tblPrEx>
          <w:tblW w:w="12500" w:type="pct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1. Vplyvy na r</w:t>
            </w: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ozpo</w:t>
            </w: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čet verejnej správy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x</w:t>
            </w:r>
          </w:p>
        </w:tc>
      </w:tr>
      <w:tr>
        <w:tblPrEx>
          <w:tblW w:w="12500" w:type="pct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2. Vplyvy na podnikate</w:t>
            </w: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</w:tr>
      <w:tr>
        <w:tblPrEx>
          <w:tblW w:w="12500" w:type="pct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</w:tr>
      <w:tr>
        <w:tblPrEx>
          <w:tblW w:w="12500" w:type="pct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– vplyvy na hospodárenie obyvate</w:t>
            </w: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ľstva,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</w:tr>
      <w:tr>
        <w:tblPrEx>
          <w:tblW w:w="12500" w:type="pct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</w:tr>
      <w:tr>
        <w:tblPrEx>
          <w:tblW w:w="12500" w:type="pct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– rovnos</w:t>
            </w: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ť príležitostí a rodovú rovnosť a vplyvy na zamestnanosť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</w:tr>
      <w:tr>
        <w:tblPrEx>
          <w:tblW w:w="12500" w:type="pct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</w:tr>
      <w:tr>
        <w:tblPrEx>
          <w:tblW w:w="12500" w:type="pct"/>
          <w:tblBorders>
            <w:top w:val="none" w:sz="0" w:space="0" w:color="auto"/>
            <w:bottom w:val="single" w:sz="6" w:space="0" w:color="BFBFBF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both"/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5. Vplyvy na informatizáciu spolo</w:t>
            </w:r>
            <w:r>
              <w:rPr>
                <w:rFonts w:ascii="Helvetica" w:hAnsi="Helvetica" w:cs="Helvetica"/>
                <w:b w:val="0"/>
                <w:i w:val="0"/>
                <w:color w:val="auto"/>
                <w:spacing w:val="0"/>
                <w:kern w:val="1"/>
              </w:rPr>
              <w:t>čnosti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  <w:r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dxa"/>
              <w:right w:w="10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0"/>
              <w:jc w:val="center"/>
              <w:rPr>
                <w:rFonts w:ascii="TimesNewRomanPSMT" w:hAnsi="TimesNewRomanPSMT" w:cs="TimesNewRomanPSMT"/>
                <w:b w:val="0"/>
                <w:i w:val="0"/>
                <w:color w:val="auto"/>
                <w:spacing w:val="0"/>
                <w:kern w:val="1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/>
          <w:i w:val="0"/>
          <w:color w:val="auto"/>
          <w:spacing w:val="0"/>
          <w:kern w:val="1"/>
        </w:rPr>
      </w:pP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 w:val="0"/>
          <w:i w:val="0"/>
          <w:color w:val="auto"/>
          <w:spacing w:val="0"/>
          <w:kern w:val="1"/>
        </w:rPr>
      </w:pPr>
      <w:r>
        <w:rPr>
          <w:rFonts w:ascii="TimesNewRomanPSMT" w:hAnsi="TimesNewRomanPSMT" w:cs="TimesNewRomanPSMT"/>
          <w:b/>
          <w:i w:val="0"/>
          <w:color w:val="auto"/>
          <w:spacing w:val="0"/>
          <w:kern w:val="1"/>
        </w:rPr>
        <w:t>A.3. Poznámky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Helvetica" w:hAnsi="Helvetica" w:cs="Helvetica"/>
          <w:b w:val="0"/>
          <w:i w:val="0"/>
          <w:color w:val="auto"/>
          <w:spacing w:val="0"/>
          <w:kern w:val="1"/>
        </w:rPr>
      </w:pPr>
      <w:r>
        <w:rPr>
          <w:rFonts w:ascii="Helvetica" w:hAnsi="Helvetica" w:cs="Helvetica"/>
          <w:b w:val="0"/>
          <w:i w:val="0"/>
          <w:color w:val="auto"/>
          <w:spacing w:val="0"/>
          <w:kern w:val="1"/>
        </w:rPr>
        <w:t>Predkladaný návrh zákona po</w:t>
      </w:r>
      <w:r>
        <w:rPr>
          <w:rFonts w:ascii="Helvetica" w:hAnsi="Helvetica" w:cs="Helvetica"/>
          <w:b w:val="0"/>
          <w:i w:val="0"/>
          <w:color w:val="auto"/>
          <w:spacing w:val="0"/>
          <w:kern w:val="1"/>
        </w:rPr>
        <w:t>číta s pozitívnym vplyvom a možným negatívnym vplyvom na rozpočet verejnej správy, z dôvodu vytvorenia nového typu priestupku, ktorý spočíva v neoprávnenom prechovávaní omamnej alebo psychotropnej latky v nepatrnom množstve, určenom podľa osobitného predpisu. Tento priestupok bude postihovaný uložením pokuty v správnom konaní. Nakoľko predkladateľ nevie kvantifikovať počet takýchto priestupkov, počet pokút a následnú potrebu možného navýšenia počtu zamestnancov okresných úradov, nie je možné ani vyčíslenie pozitívneho a negatívneho dopadu na rozpočet verejnej správy. Prípadné zvýšené vplyvy na rozpočet verejnej správy budú zabezpečené v rámci schváleného limitu výdavkov ako aj schváleného počtu zamestnancov dotknutých subjektov verejnej správy na príslušný rozpočtový rok, bez dodatočných požiadaviek na štátny rozpočet.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/>
          <w:i w:val="0"/>
          <w:color w:val="auto"/>
          <w:spacing w:val="0"/>
          <w:kern w:val="1"/>
        </w:rPr>
      </w:pPr>
      <w:r>
        <w:rPr>
          <w:rFonts w:ascii="TimesNewRomanPSMT" w:hAnsi="TimesNewRomanPSMT" w:cs="TimesNewRomanPSMT"/>
          <w:b/>
          <w:i w:val="0"/>
          <w:color w:val="auto"/>
          <w:spacing w:val="0"/>
          <w:kern w:val="1"/>
        </w:rPr>
        <w:t>A.4. Alternatívne riešenia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TimesNewRomanPSMT" w:hAnsi="TimesNewRomanPSMT" w:cs="TimesNewRomanPSMT"/>
          <w:b w:val="0"/>
          <w:i/>
          <w:color w:val="auto"/>
          <w:spacing w:val="0"/>
          <w:kern w:val="1"/>
        </w:rPr>
      </w:pPr>
      <w:r>
        <w:rPr>
          <w:rFonts w:ascii="TimesNewRomanPSMT" w:hAnsi="TimesNewRomanPSMT" w:cs="TimesNewRomanPSMT"/>
          <w:b w:val="0"/>
          <w:i/>
          <w:color w:val="auto"/>
          <w:spacing w:val="0"/>
          <w:kern w:val="1"/>
        </w:rPr>
        <w:t>bezpredmetné 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left="567" w:right="0" w:hanging="567"/>
        <w:jc w:val="both"/>
        <w:rPr>
          <w:rFonts w:ascii="TimesNewRomanPSMT" w:hAnsi="TimesNewRomanPSMT" w:cs="TimesNewRomanPSMT"/>
          <w:b w:val="0"/>
          <w:i w:val="0"/>
          <w:color w:val="auto"/>
          <w:spacing w:val="0"/>
          <w:kern w:val="1"/>
        </w:rPr>
      </w:pPr>
      <w:r>
        <w:rPr>
          <w:rFonts w:ascii="TimesNewRomanPSMT" w:hAnsi="TimesNewRomanPSMT" w:cs="TimesNewRomanPSMT"/>
          <w:b/>
          <w:i w:val="0"/>
          <w:color w:val="auto"/>
          <w:spacing w:val="0"/>
          <w:kern w:val="1"/>
        </w:rPr>
        <w:t xml:space="preserve">A.5. </w:t>
        <w:tab/>
        <w:t>Stanovisko gestorov</w:t>
      </w:r>
    </w:p>
    <w:p>
      <w:pPr>
        <w:widowControl w:val="0"/>
        <w:autoSpaceDE w:val="0"/>
        <w:autoSpaceDN w:val="0"/>
        <w:adjustRightInd w:val="0"/>
        <w:spacing w:before="120" w:line="276" w:lineRule="auto"/>
        <w:ind w:right="0"/>
        <w:jc w:val="both"/>
        <w:rPr>
          <w:rFonts w:ascii="Helvetica" w:hAnsi="Helvetica" w:cs="Helvetica"/>
          <w:b w:val="0"/>
          <w:i w:val="0"/>
          <w:color w:val="auto"/>
          <w:spacing w:val="0"/>
          <w:kern w:val="1"/>
          <w:sz w:val="22"/>
        </w:rPr>
      </w:pPr>
      <w:r>
        <w:rPr>
          <w:rFonts w:ascii="Helvetica" w:hAnsi="Helvetica" w:cs="Helvetica"/>
          <w:b w:val="0"/>
          <w:i/>
          <w:color w:val="auto"/>
          <w:spacing w:val="0"/>
          <w:kern w:val="1"/>
        </w:rPr>
        <w:t xml:space="preserve">Návrh zákona bol zaslaný na vyjadrenie Ministerstvu financií SR </w:t>
      </w:r>
    </w:p>
    <w:sectPr>
      <w:pgSz w:w="11900" w:h="16840"/>
      <w:pgMar w:top="1417" w:right="1417" w:bottom="1417" w:left="1417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charset w:val="00"/>
    <w:family w:val="roman"/>
    <w:pitch w:val="default"/>
  </w:font>
  <w:font w:name="Helvetica">
    <w:charset w:val="00"/>
    <w:family w:val="swiss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revision>0</cp:revision>
</cp:coreProperties>
</file>