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40A3D" w:rsidRPr="00241ABA" w:rsidP="003A06BE">
      <w:pPr>
        <w:bidi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241ABA">
        <w:rPr>
          <w:rFonts w:ascii="Times New Roman" w:hAnsi="Times New Roman"/>
          <w:b/>
          <w:bCs/>
          <w:sz w:val="28"/>
          <w:szCs w:val="28"/>
          <w:lang w:eastAsia="sk-SK"/>
        </w:rPr>
        <w:t>Doložka vybraných vplyvov</w:t>
      </w:r>
    </w:p>
    <w:p w:rsidR="00240A3D" w:rsidRPr="00241ABA" w:rsidP="003A06BE">
      <w:pPr>
        <w:bidi w:val="0"/>
        <w:spacing w:after="0" w:line="240" w:lineRule="auto"/>
        <w:ind w:left="426"/>
        <w:contextualSpacing/>
        <w:rPr>
          <w:b/>
        </w:rPr>
      </w:pPr>
    </w:p>
    <w:tbl>
      <w:tblPr>
        <w:tblStyle w:val="TableGrid"/>
        <w:tblW w:w="9180" w:type="dxa"/>
        <w:tblLayout w:type="fixed"/>
        <w:tblLook w:val="04A0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240A3D" w:rsidRPr="00241ABA" w:rsidP="003A06BE">
            <w:pPr>
              <w:numPr>
                <w:numId w:val="11"/>
              </w:numPr>
              <w:bidi w:val="0"/>
              <w:spacing w:after="0" w:line="240" w:lineRule="auto"/>
              <w:ind w:left="426"/>
              <w:contextualSpacing/>
              <w:rPr>
                <w:rFonts w:ascii="Times New Roman" w:hAnsi="Times New Roman"/>
                <w:b/>
              </w:rPr>
            </w:pPr>
            <w:r w:rsidRPr="00241ABA">
              <w:rPr>
                <w:rFonts w:ascii="Times New Roman" w:hAnsi="Times New Roman"/>
                <w:b/>
              </w:rPr>
              <w:t>Základné údaje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ind w:left="142"/>
              <w:contextualSpacing/>
              <w:rPr>
                <w:rFonts w:ascii="Times New Roman" w:hAnsi="Times New Roman"/>
                <w:b/>
              </w:rPr>
            </w:pPr>
            <w:r w:rsidRPr="00241ABA">
              <w:rPr>
                <w:rFonts w:ascii="Times New Roman" w:hAnsi="Times New Roman"/>
                <w:b/>
              </w:rPr>
              <w:t>Názov materiálu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0A3D" w:rsidRPr="00241ABA" w:rsidP="006A2B5D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="006A2B5D">
              <w:rPr>
                <w:rFonts w:ascii="Times New Roman" w:hAnsi="Times New Roman"/>
                <w:sz w:val="24"/>
                <w:szCs w:val="24"/>
                <w:lang w:eastAsia="sk-SK"/>
              </w:rPr>
              <w:t>Zákon</w:t>
            </w:r>
            <w:r w:rsidRPr="00120F22" w:rsidR="00120F22">
              <w:rPr>
                <w:rFonts w:ascii="Times New Roman" w:hAnsi="Times New Roman"/>
                <w:sz w:val="24"/>
                <w:szCs w:val="24"/>
                <w:lang w:eastAsia="sk-SK"/>
              </w:rPr>
              <w:t>, ktorým sa mení a dopĺňa zákon č. 300/2005 Z. z. Trestný zákon v znení neskorších predpisov a ktorým sa menia a dopĺňajú niektoré zákony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ind w:left="142"/>
              <w:contextualSpacing/>
              <w:rPr>
                <w:rFonts w:ascii="Times New Roman" w:hAnsi="Times New Roman"/>
                <w:b/>
              </w:rPr>
            </w:pPr>
            <w:r w:rsidRPr="00241ABA">
              <w:rPr>
                <w:rFonts w:ascii="Times New Roman" w:hAnsi="Times New Roman"/>
                <w:b/>
              </w:rPr>
              <w:t>Predkladateľ (a spolupredkladateľ)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41ABA">
              <w:rPr>
                <w:rFonts w:ascii="Times New Roman" w:hAnsi="Times New Roman"/>
                <w:sz w:val="24"/>
                <w:szCs w:val="24"/>
                <w:lang w:eastAsia="sk-SK"/>
              </w:rPr>
              <w:t>Ministerstvo sprav</w:t>
            </w:r>
            <w:r w:rsidR="00120F22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odlivosti Slovenskej republiky 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240A3D" w:rsidRPr="00241ABA" w:rsidP="003A06BE">
            <w:pPr>
              <w:bidi w:val="0"/>
              <w:spacing w:after="0" w:line="240" w:lineRule="auto"/>
              <w:ind w:left="142"/>
              <w:contextualSpacing/>
              <w:rPr>
                <w:rFonts w:ascii="Times New Roman" w:hAnsi="Times New Roman"/>
                <w:b/>
              </w:rPr>
            </w:pPr>
            <w:r w:rsidRPr="00241ABA">
              <w:rPr>
                <w:rFonts w:ascii="Times New Roman" w:hAnsi="Times New Roman"/>
                <w:b/>
              </w:rPr>
              <w:t>Charakter predkladaného materiálu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41ABA">
              <w:rPr>
                <w:rFonts w:ascii="MS Mincho" w:eastAsia="MS Mincho" w:hAnsi="MS Mincho" w:cs="MS Mincho" w:hint="eastAsia"/>
                <w:sz w:val="24"/>
                <w:szCs w:val="24"/>
                <w:lang w:eastAsia="sk-SK"/>
              </w:rPr>
              <w:t>☐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41ABA">
              <w:rPr>
                <w:rFonts w:ascii="Times New Roman" w:hAnsi="Times New Roman"/>
                <w:sz w:val="24"/>
                <w:szCs w:val="24"/>
                <w:lang w:eastAsia="sk-SK"/>
              </w:rPr>
              <w:t>Materiál nelegislatívnej povahy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120F22" w:rsidR="00120F22">
              <w:rPr>
                <w:rFonts w:ascii="MS Mincho" w:eastAsia="MS Mincho" w:hAnsi="MS Mincho" w:cs="MS Mincho" w:hint="eastAsia"/>
                <w:sz w:val="24"/>
                <w:szCs w:val="24"/>
                <w:lang w:eastAsia="sk-SK"/>
              </w:rPr>
              <w:t>☒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41ABA">
              <w:rPr>
                <w:rFonts w:ascii="Times New Roman" w:hAnsi="Times New Roman"/>
                <w:sz w:val="24"/>
                <w:szCs w:val="24"/>
                <w:lang w:eastAsia="sk-SK"/>
              </w:rPr>
              <w:t>Materiál legislatívnej povahy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41ABA">
              <w:rPr>
                <w:rFonts w:ascii="MS Mincho" w:eastAsia="MS Mincho" w:hAnsi="MS Mincho" w:cs="MS Mincho" w:hint="eastAsia"/>
                <w:sz w:val="24"/>
                <w:szCs w:val="24"/>
                <w:lang w:eastAsia="sk-SK"/>
              </w:rPr>
              <w:t>☒</w:t>
            </w:r>
          </w:p>
        </w:tc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41ABA">
              <w:rPr>
                <w:rFonts w:ascii="Times New Roman" w:hAnsi="Times New Roman"/>
                <w:sz w:val="24"/>
                <w:szCs w:val="24"/>
                <w:lang w:eastAsia="sk-SK"/>
              </w:rPr>
              <w:t>Transpozícia práva EÚ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241ABA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V prípade transpozície uveďte zoznam transponovaných predpisov:</w:t>
            </w:r>
          </w:p>
          <w:p w:rsidR="00120F22" w:rsidP="00E670E3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41ABA" w:rsidR="00240A3D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- </w:t>
            </w:r>
            <w:r w:rsidR="00E670E3">
              <w:rPr>
                <w:rFonts w:ascii="Times New Roman" w:hAnsi="Times New Roman"/>
                <w:sz w:val="24"/>
                <w:szCs w:val="24"/>
                <w:lang w:eastAsia="sk-SK"/>
              </w:rPr>
              <w:t>S</w:t>
            </w:r>
            <w:r w:rsidRPr="00E670E3" w:rsidR="00E670E3">
              <w:rPr>
                <w:rFonts w:ascii="Times New Roman" w:hAnsi="Times New Roman"/>
                <w:sz w:val="24"/>
                <w:szCs w:val="24"/>
                <w:lang w:eastAsia="sk-SK"/>
              </w:rPr>
              <w:t>mernic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a</w:t>
            </w:r>
            <w:r w:rsidRPr="00E670E3" w:rsidR="00E670E3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Európskeho parlamentu a Rady (EÚ) 2016/800 z 11. mája 2016 o procesných zárukách pre deti, ktoré sú podozrivými alebo obvinenými osobami v trestnom kon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aní (Ú. v. EÚ L 132, 21.5.2016)</w:t>
            </w:r>
          </w:p>
          <w:p w:rsidR="00120F22" w:rsidP="00120F2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- Smernica</w:t>
            </w:r>
            <w:r w:rsidRPr="00E670E3" w:rsidR="00E670E3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Európskeho parlamentu a Rady (EÚ) 2016/1919 z 26. októbra 2016 o právnej pomoci pre podozrivé a obvinené osoby v trestnom konaní a pre vyžiadané osoby v konaní o európskom zatyk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ači (Ú. v. EÚ L 297, 4.11.2016)</w:t>
            </w:r>
          </w:p>
          <w:p w:rsidR="00240A3D" w:rsidRPr="00241ABA" w:rsidP="00120F2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="00120F22">
              <w:rPr>
                <w:rFonts w:ascii="Times New Roman" w:hAnsi="Times New Roman"/>
                <w:sz w:val="24"/>
                <w:szCs w:val="24"/>
                <w:lang w:eastAsia="sk-SK"/>
              </w:rPr>
              <w:t>- S</w:t>
            </w:r>
            <w:r w:rsidRPr="00E670E3" w:rsidR="00E670E3">
              <w:rPr>
                <w:rFonts w:ascii="Times New Roman" w:hAnsi="Times New Roman"/>
                <w:sz w:val="24"/>
                <w:szCs w:val="24"/>
                <w:lang w:eastAsia="sk-SK"/>
              </w:rPr>
              <w:t>mernic</w:t>
            </w:r>
            <w:r w:rsidR="00120F22">
              <w:rPr>
                <w:rFonts w:ascii="Times New Roman" w:hAnsi="Times New Roman"/>
                <w:sz w:val="24"/>
                <w:szCs w:val="24"/>
                <w:lang w:eastAsia="sk-SK"/>
              </w:rPr>
              <w:t>a</w:t>
            </w:r>
            <w:r w:rsidRPr="00E670E3" w:rsidR="00E670E3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Európskeho parlamentu a Rady (EÚ) 2017/541 z 15. marca 2017 o boji proti terorizmu, ktorou sa nahrádza rámcové rozhodnutie Rady 2002/475/SVV a mení rozhodnutie Rady 2005/671/SVV (Ú. v. EÚ L 88, 31.3.2017)</w:t>
            </w:r>
            <w:r w:rsidRPr="00241ABA">
              <w:rPr>
                <w:rFonts w:ascii="Times New Roman" w:hAnsi="Times New Roman"/>
                <w:sz w:val="24"/>
                <w:szCs w:val="24"/>
                <w:lang w:eastAsia="sk-SK"/>
              </w:rPr>
              <w:t>.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ind w:left="142"/>
              <w:contextualSpacing/>
              <w:rPr>
                <w:rFonts w:ascii="Times New Roman" w:hAnsi="Times New Roman"/>
                <w:b/>
              </w:rPr>
            </w:pPr>
            <w:r w:rsidRPr="00241ABA">
              <w:rPr>
                <w:rFonts w:ascii="Times New Roman" w:hAnsi="Times New Roman"/>
                <w:b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ind w:left="142"/>
              <w:contextualSpacing/>
              <w:rPr>
                <w:rFonts w:ascii="Times New Roman" w:hAnsi="Times New Roman"/>
                <w:b/>
              </w:rPr>
            </w:pPr>
            <w:r w:rsidRPr="00241ABA">
              <w:rPr>
                <w:rFonts w:ascii="Times New Roman" w:hAnsi="Times New Roman"/>
                <w:b/>
              </w:rPr>
              <w:t>Predpokladaný termín predloženia na MPK*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="00BC605F">
              <w:rPr>
                <w:rFonts w:ascii="Times New Roman" w:hAnsi="Times New Roman"/>
                <w:sz w:val="24"/>
                <w:szCs w:val="24"/>
                <w:lang w:eastAsia="sk-SK"/>
              </w:rPr>
              <w:t>decemb</w:t>
            </w:r>
            <w:r w:rsidR="00120F22">
              <w:rPr>
                <w:rFonts w:ascii="Times New Roman" w:hAnsi="Times New Roman"/>
                <w:sz w:val="24"/>
                <w:szCs w:val="24"/>
                <w:lang w:eastAsia="sk-SK"/>
              </w:rPr>
              <w:t>er</w:t>
            </w:r>
            <w:r w:rsidRPr="00241ABA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2017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ind w:left="142"/>
              <w:contextualSpacing/>
              <w:rPr>
                <w:rFonts w:ascii="Times New Roman" w:hAnsi="Times New Roman"/>
                <w:b/>
              </w:rPr>
            </w:pPr>
            <w:r w:rsidRPr="00241ABA">
              <w:rPr>
                <w:rFonts w:ascii="Times New Roman" w:hAnsi="Times New Roman"/>
                <w:b/>
              </w:rPr>
              <w:t>Predpokladaný termín predloženia na Rokovanie vlády SR*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0A3D" w:rsidRPr="00241ABA" w:rsidP="00BC605F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="00BC605F">
              <w:rPr>
                <w:rFonts w:ascii="Times New Roman" w:hAnsi="Times New Roman"/>
                <w:sz w:val="24"/>
                <w:szCs w:val="24"/>
                <w:lang w:eastAsia="sk-SK"/>
              </w:rPr>
              <w:t>februá</w:t>
            </w:r>
            <w:r w:rsidR="00120F22">
              <w:rPr>
                <w:rFonts w:ascii="Times New Roman" w:hAnsi="Times New Roman"/>
                <w:sz w:val="24"/>
                <w:szCs w:val="24"/>
                <w:lang w:eastAsia="sk-SK"/>
              </w:rPr>
              <w:t>r</w:t>
            </w:r>
            <w:r w:rsidRPr="00241ABA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201</w:t>
            </w:r>
            <w:r w:rsidR="00BC605F">
              <w:rPr>
                <w:rFonts w:ascii="Times New Roman" w:hAnsi="Times New Roman"/>
                <w:sz w:val="24"/>
                <w:szCs w:val="24"/>
                <w:lang w:eastAsia="sk-SK"/>
              </w:rPr>
              <w:t>8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240A3D" w:rsidRPr="00241ABA" w:rsidP="003A06BE">
            <w:pPr>
              <w:numPr>
                <w:numId w:val="11"/>
              </w:numPr>
              <w:bidi w:val="0"/>
              <w:spacing w:after="0" w:line="240" w:lineRule="auto"/>
              <w:ind w:left="426"/>
              <w:contextualSpacing/>
              <w:rPr>
                <w:rFonts w:ascii="Times New Roman" w:hAnsi="Times New Roman"/>
                <w:b/>
              </w:rPr>
            </w:pPr>
            <w:r w:rsidRPr="00241ABA">
              <w:rPr>
                <w:rFonts w:ascii="Times New Roman" w:hAnsi="Times New Roman"/>
                <w:b/>
              </w:rPr>
              <w:t>Definovanie problému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8E4E82" w:rsidP="008E4E8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120F22" w:rsidR="00120F22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Súčasná situácia v Európe a aj na celom svete čelí teroristickej hrozbe. </w:t>
            </w:r>
            <w:r w:rsidR="00120F22">
              <w:rPr>
                <w:rFonts w:ascii="Times New Roman" w:hAnsi="Times New Roman"/>
                <w:sz w:val="24"/>
                <w:szCs w:val="24"/>
                <w:lang w:eastAsia="sk-SK"/>
              </w:rPr>
              <w:t>Na základe uvedeného EÚ a Rada Európy prijala právne nástroje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v </w:t>
            </w:r>
            <w:r w:rsidRPr="008E4E82">
              <w:rPr>
                <w:rFonts w:ascii="Times New Roman" w:hAnsi="Times New Roman"/>
                <w:sz w:val="24"/>
                <w:szCs w:val="24"/>
                <w:lang w:eastAsia="sk-SK"/>
              </w:rPr>
              <w:t>oblasti boja proti terorizmu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.</w:t>
            </w:r>
            <w:r w:rsidRPr="008E4E82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Návrhom zákona sa uskutočňuje t</w:t>
            </w:r>
            <w:r w:rsidRPr="00241ABA" w:rsidR="00240A3D">
              <w:rPr>
                <w:rFonts w:ascii="Times New Roman" w:hAnsi="Times New Roman"/>
                <w:sz w:val="24"/>
                <w:szCs w:val="24"/>
                <w:lang w:eastAsia="sk-SK"/>
              </w:rPr>
              <w:t>ranspozíci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a</w:t>
            </w:r>
            <w:r w:rsidRPr="00241ABA" w:rsidR="00240A3D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S</w:t>
            </w:r>
            <w:r w:rsidRPr="00E670E3">
              <w:rPr>
                <w:rFonts w:ascii="Times New Roman" w:hAnsi="Times New Roman"/>
                <w:sz w:val="24"/>
                <w:szCs w:val="24"/>
                <w:lang w:eastAsia="sk-SK"/>
              </w:rPr>
              <w:t>mernic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e</w:t>
            </w:r>
            <w:r w:rsidRPr="00E670E3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Európskeho parlamentu a Rady (EÚ) 2017/541 z 15. marca 2017 o boji proti terorizmu, ktorou sa nahrádza rámcové rozhodnutie Rady 2002/475/SVV a mení rozhodnutie Rady 2005/671/SVV (Ú. v. EÚ L 88, 31.3.2017)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(ďalej len „smernica 2017/541“)</w:t>
            </w:r>
            <w:r w:rsidRPr="00241ABA" w:rsidR="00240A3D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a implementácia D</w:t>
            </w:r>
            <w:r w:rsidRPr="00120F22">
              <w:rPr>
                <w:rFonts w:ascii="Times New Roman" w:hAnsi="Times New Roman"/>
                <w:sz w:val="24"/>
                <w:szCs w:val="24"/>
                <w:lang w:eastAsia="sk-SK"/>
              </w:rPr>
              <w:t>odatkov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ého</w:t>
            </w:r>
            <w:r w:rsidRPr="00120F22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protokol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u</w:t>
            </w:r>
            <w:r w:rsidRPr="00120F22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k Dohovoru Rady Európy o predchádzaní terorizmu Slovenskou republikou (ďalej len „dodatkový protokol“)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</w:t>
            </w:r>
            <w:r w:rsidRPr="00241ABA" w:rsidR="00240A3D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do právneho poriadku Slovenskej republiky, resp. </w:t>
            </w:r>
            <w:r w:rsidRPr="00120F22" w:rsidR="00240A3D">
              <w:rPr>
                <w:rFonts w:ascii="Times New Roman" w:hAnsi="Times New Roman"/>
                <w:sz w:val="24"/>
                <w:szCs w:val="24"/>
                <w:lang w:eastAsia="sk-SK"/>
              </w:rPr>
              <w:t>plnenie záväzkov vyplývajúcich z členstva Slovenskej republiky v</w:t>
            </w:r>
            <w:r w:rsidRPr="00120F22" w:rsidR="00120F22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  <w:r w:rsidRPr="00120F22" w:rsidR="00240A3D">
              <w:rPr>
                <w:rFonts w:ascii="Times New Roman" w:hAnsi="Times New Roman"/>
                <w:sz w:val="24"/>
                <w:szCs w:val="24"/>
                <w:lang w:eastAsia="sk-SK"/>
              </w:rPr>
              <w:t>EÚ</w:t>
            </w:r>
            <w:r w:rsidRPr="00120F22" w:rsidR="00120F22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a Rad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e</w:t>
            </w:r>
            <w:r w:rsidRPr="00120F22" w:rsidR="00120F22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Európy</w:t>
            </w:r>
            <w:r w:rsidRPr="00120F22" w:rsidR="00240A3D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. </w:t>
            </w:r>
          </w:p>
          <w:p w:rsidR="00120F22" w:rsidRPr="00241ABA" w:rsidP="008E4E82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="008E4E82">
              <w:rPr>
                <w:rFonts w:ascii="Times New Roman" w:hAnsi="Times New Roman"/>
                <w:sz w:val="24"/>
                <w:szCs w:val="24"/>
                <w:lang w:eastAsia="sk-SK"/>
              </w:rPr>
              <w:t>D</w:t>
            </w:r>
            <w:r w:rsidRPr="00120F22">
              <w:rPr>
                <w:rFonts w:ascii="Times New Roman" w:hAnsi="Times New Roman"/>
                <w:sz w:val="24"/>
                <w:szCs w:val="24"/>
                <w:lang w:eastAsia="sk-SK"/>
              </w:rPr>
              <w:t>odatkov</w:t>
            </w:r>
            <w:r w:rsidR="008E4E82">
              <w:rPr>
                <w:rFonts w:ascii="Times New Roman" w:hAnsi="Times New Roman"/>
                <w:sz w:val="24"/>
                <w:szCs w:val="24"/>
                <w:lang w:eastAsia="sk-SK"/>
              </w:rPr>
              <w:t>ý</w:t>
            </w:r>
            <w:r w:rsidRPr="00120F22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protokol je záväzným právnym dokumentom Rady Európy, ktorý má napomôcť pri predchádzaní terorizmu a odstraňovaní jeho negatívnych účinkov na plné uplatňovanie ľudských práv, najmä práva na život, prostriedkami prijatými na národnej úrovni a prostredníctvom medzinárodnej spolupráce, s náležitým ohľadom na existujúce platné mnohostranné alebo dvojstranné zmluvy alebo dohody medzi zmluvnými stranami.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240A3D" w:rsidRPr="00241ABA" w:rsidP="003A06BE">
            <w:pPr>
              <w:numPr>
                <w:numId w:val="11"/>
              </w:numPr>
              <w:bidi w:val="0"/>
              <w:spacing w:after="0" w:line="240" w:lineRule="auto"/>
              <w:ind w:left="426"/>
              <w:contextualSpacing/>
              <w:rPr>
                <w:rFonts w:ascii="Times New Roman" w:hAnsi="Times New Roman"/>
                <w:b/>
              </w:rPr>
            </w:pPr>
            <w:r w:rsidRPr="00241ABA">
              <w:rPr>
                <w:rFonts w:ascii="Times New Roman" w:hAnsi="Times New Roman"/>
                <w:b/>
              </w:rPr>
              <w:t>Ciele a výsledný stav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41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825028" w:rsidP="003A06B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Návrh zákona predstavuje komplexnú právnu úpravu v oblasti boja proti terorizmu. Smernica 2017/541 </w:t>
            </w:r>
            <w:r w:rsidR="00903F4D">
              <w:rPr>
                <w:rFonts w:ascii="Times New Roman" w:hAnsi="Times New Roman"/>
                <w:sz w:val="24"/>
                <w:szCs w:val="24"/>
                <w:lang w:eastAsia="sk-SK"/>
              </w:rPr>
              <w:t>predpokladá prijatie opatrení týkajúcich sa zabráneniu najzávažnejších  porušení univerzálnych hodnôt ľudskej dôstojnosti, slobody, rovnosti a solidarity a uplatňovania ľudských práv a základných slobôd a najvážnejších útokov na demokraciu a právny štát.</w:t>
            </w:r>
          </w:p>
          <w:p w:rsidR="00240A3D" w:rsidRPr="00241ABA" w:rsidP="003A06BE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120F22" w:rsidR="00120F22">
              <w:rPr>
                <w:rFonts w:ascii="Times New Roman" w:hAnsi="Times New Roman"/>
                <w:sz w:val="24"/>
                <w:szCs w:val="24"/>
                <w:lang w:eastAsia="sk-SK"/>
              </w:rPr>
              <w:t>Dodatkový protokol je záväzným právnym dokumentom Rady Európy, ktorý má za cieľ doplniť Dohovor Rady Európy o predchádzaní terorizmu (ozn. č. 186/2007 Z. z.) o ustanovenia týkajúce sa trestnosti viacerých činov, ktoré súvisia s teroristickými trestnými činmi a výmeny informácií. Trestnosť týchto činov bude po podpise dodatkového protokolu zohľadnená v Trestnom zákone.</w:t>
            </w:r>
            <w:r w:rsidRPr="00241ABA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 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240A3D" w:rsidRPr="00241ABA" w:rsidP="003A06BE">
            <w:pPr>
              <w:numPr>
                <w:numId w:val="11"/>
              </w:numPr>
              <w:bidi w:val="0"/>
              <w:spacing w:after="0" w:line="240" w:lineRule="auto"/>
              <w:ind w:left="426"/>
              <w:contextualSpacing/>
              <w:rPr>
                <w:rFonts w:ascii="Times New Roman" w:hAnsi="Times New Roman"/>
                <w:b/>
              </w:rPr>
            </w:pPr>
            <w:r w:rsidRPr="00241ABA">
              <w:rPr>
                <w:rFonts w:ascii="Times New Roman" w:hAnsi="Times New Roman"/>
                <w:b/>
              </w:rPr>
              <w:t>Dotknuté subjekty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41ABA">
              <w:rPr>
                <w:rFonts w:ascii="Times New Roman" w:hAnsi="Times New Roman"/>
                <w:sz w:val="24"/>
                <w:szCs w:val="24"/>
                <w:lang w:eastAsia="sk-SK"/>
              </w:rPr>
              <w:t>Štátne orgány, fyzické osoby, právnické osoby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240A3D" w:rsidRPr="00241ABA" w:rsidP="003A06BE">
            <w:pPr>
              <w:numPr>
                <w:numId w:val="11"/>
              </w:numPr>
              <w:bidi w:val="0"/>
              <w:spacing w:after="0" w:line="240" w:lineRule="auto"/>
              <w:ind w:left="426"/>
              <w:contextualSpacing/>
              <w:rPr>
                <w:rFonts w:ascii="Times New Roman" w:hAnsi="Times New Roman"/>
                <w:b/>
              </w:rPr>
            </w:pPr>
            <w:r w:rsidRPr="00241ABA">
              <w:rPr>
                <w:rFonts w:ascii="Times New Roman" w:hAnsi="Times New Roman"/>
                <w:b/>
              </w:rPr>
              <w:t>Alternatívne riešenia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709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240A3D" w:rsidRPr="00241ABA" w:rsidP="00760DB0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241ABA">
              <w:rPr>
                <w:rFonts w:ascii="Times New Roman" w:hAnsi="Times New Roman"/>
                <w:sz w:val="24"/>
                <w:szCs w:val="24"/>
                <w:lang w:eastAsia="sk-SK"/>
              </w:rPr>
              <w:t>Alternatívne riešenia neboli posudzované.</w:t>
            </w:r>
            <w:r w:rsidR="00760DB0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Súčasná právna úprava si vyžaduje novelizáciu inter alia na účely implementácie medzinárodných záväzkov Slovenskej republiky.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240A3D" w:rsidRPr="00241ABA" w:rsidP="003A06BE">
            <w:pPr>
              <w:numPr>
                <w:numId w:val="11"/>
              </w:numPr>
              <w:bidi w:val="0"/>
              <w:spacing w:after="0" w:line="240" w:lineRule="auto"/>
              <w:ind w:left="426"/>
              <w:contextualSpacing/>
              <w:rPr>
                <w:rFonts w:ascii="Times New Roman" w:hAnsi="Times New Roman"/>
                <w:b/>
              </w:rPr>
            </w:pPr>
            <w:r w:rsidRPr="00241ABA">
              <w:rPr>
                <w:rFonts w:ascii="Times New Roman" w:hAnsi="Times New Roman"/>
                <w:b/>
              </w:rPr>
              <w:t>Vykonávacie predpisy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6203" w:type="dxa"/>
            <w:gridSpan w:val="6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241ABA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E4E82" w:rsidR="008E4E82">
              <w:rPr>
                <w:rFonts w:ascii="MS Gothic" w:eastAsia="MS Gothic" w:hAnsi="MS Gothic" w:hint="eastAsia"/>
                <w:sz w:val="24"/>
                <w:szCs w:val="24"/>
                <w:lang w:eastAsia="sk-SK"/>
              </w:rPr>
              <w:t>☐</w:t>
            </w:r>
            <w:r w:rsidRPr="00241ABA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E4E82" w:rsidR="008E4E82">
              <w:rPr>
                <w:rFonts w:ascii="MS Mincho" w:eastAsia="MS Mincho" w:hAnsi="MS Mincho" w:cs="MS Mincho" w:hint="eastAsia"/>
                <w:sz w:val="24"/>
                <w:szCs w:val="24"/>
                <w:lang w:eastAsia="sk-SK"/>
              </w:rPr>
              <w:t>☒</w:t>
            </w:r>
            <w:r w:rsidRPr="00241ABA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 Nie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240A3D" w:rsidRPr="00241ABA" w:rsidP="003A06BE">
            <w:pPr>
              <w:numPr>
                <w:numId w:val="11"/>
              </w:numPr>
              <w:bidi w:val="0"/>
              <w:spacing w:after="0" w:line="240" w:lineRule="auto"/>
              <w:ind w:left="426"/>
              <w:contextualSpacing/>
              <w:rPr>
                <w:rFonts w:ascii="Times New Roman" w:hAnsi="Times New Roman"/>
                <w:b/>
              </w:rPr>
            </w:pPr>
            <w:r w:rsidRPr="00241ABA">
              <w:rPr>
                <w:rFonts w:ascii="Times New Roman" w:hAnsi="Times New Roman"/>
                <w:b/>
              </w:rPr>
              <w:t xml:space="preserve">Transpozícia práva EÚ 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241ABA">
              <w:rPr>
                <w:rFonts w:ascii="Times New Roman" w:hAnsi="Times New Roman"/>
                <w:sz w:val="24"/>
                <w:szCs w:val="24"/>
                <w:lang w:eastAsia="sk-SK"/>
              </w:rPr>
              <w:t>Národná právna úprava nejde nad rámec minimálnych požiadaviek EÚ.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240A3D" w:rsidRPr="00241ABA" w:rsidP="003A06BE">
            <w:pPr>
              <w:numPr>
                <w:numId w:val="11"/>
              </w:numPr>
              <w:bidi w:val="0"/>
              <w:spacing w:after="0" w:line="240" w:lineRule="auto"/>
              <w:ind w:left="426"/>
              <w:contextualSpacing/>
              <w:rPr>
                <w:rFonts w:ascii="Times New Roman" w:hAnsi="Times New Roman"/>
                <w:b/>
              </w:rPr>
            </w:pPr>
            <w:r w:rsidRPr="00241ABA">
              <w:rPr>
                <w:rFonts w:ascii="Times New Roman" w:hAnsi="Times New Roman"/>
                <w:b/>
              </w:rPr>
              <w:t>Preskúmanie účelnosti**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9180" w:type="dxa"/>
            <w:gridSpan w:val="10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41ABA">
              <w:rPr>
                <w:rFonts w:ascii="Times New Roman" w:hAnsi="Times New Roman"/>
                <w:sz w:val="24"/>
                <w:szCs w:val="24"/>
                <w:lang w:eastAsia="sk-SK"/>
              </w:rPr>
              <w:t>Preskúmanie účelnosti navrhovaného predpisu bude vykonávané priebežne po nadobudnutí účinnosti.</w:t>
            </w:r>
          </w:p>
        </w:tc>
      </w:tr>
      <w:tr>
        <w:tblPrEx>
          <w:tblW w:w="9180" w:type="dxa"/>
          <w:tblLayout w:type="fixed"/>
          <w:tblLook w:val="04A0"/>
        </w:tblPrEx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center"/>
          </w:tcPr>
          <w:p w:rsidR="00240A3D" w:rsidRPr="00241ABA" w:rsidP="003A06BE">
            <w:pPr>
              <w:numPr>
                <w:numId w:val="11"/>
              </w:numPr>
              <w:bidi w:val="0"/>
              <w:spacing w:after="0" w:line="240" w:lineRule="auto"/>
              <w:ind w:left="426"/>
              <w:contextualSpacing/>
              <w:rPr>
                <w:rFonts w:ascii="Times New Roman" w:hAnsi="Times New Roman"/>
                <w:b/>
              </w:rPr>
            </w:pPr>
            <w:r w:rsidRPr="00241ABA">
              <w:rPr>
                <w:rFonts w:ascii="Times New Roman" w:hAnsi="Times New Roman"/>
                <w:b/>
              </w:rPr>
              <w:t>Vplyvy navrhovaného materiálu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241ABA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241ABA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sk-SK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241ABA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8E4E82" w:rsidR="008E4E82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sk-SK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241ABA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825028" w:rsidR="00825028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sk-SK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241ABA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41ABA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   z toho rozpočtovo zabezpečené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25028" w:rsidR="00825028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sk-SK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41ABA">
              <w:rPr>
                <w:rFonts w:ascii="Times New Roman" w:hAnsi="Times New Roman"/>
                <w:sz w:val="24"/>
                <w:szCs w:val="24"/>
                <w:lang w:eastAsia="sk-SK"/>
              </w:rPr>
              <w:t>Áno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41ABA" w:rsidR="001704EF">
              <w:rPr>
                <w:rFonts w:ascii="MS Mincho" w:eastAsia="MS Mincho" w:hAnsi="MS Mincho" w:cs="MS Mincho" w:hint="eastAsia"/>
                <w:sz w:val="24"/>
                <w:szCs w:val="24"/>
                <w:lang w:eastAsia="sk-SK"/>
              </w:rPr>
              <w:t>☐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41ABA">
              <w:rPr>
                <w:rFonts w:ascii="Times New Roman" w:hAnsi="Times New Roman"/>
                <w:sz w:val="24"/>
                <w:szCs w:val="24"/>
                <w:lang w:eastAsia="sk-SK"/>
              </w:rPr>
              <w:t>Nie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41ABA">
              <w:rPr>
                <w:rFonts w:ascii="MS Mincho" w:eastAsia="MS Mincho" w:hAnsi="MS Mincho" w:cs="MS Mincho" w:hint="eastAsia"/>
                <w:sz w:val="24"/>
                <w:szCs w:val="24"/>
                <w:lang w:eastAsia="sk-SK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41ABA">
              <w:rPr>
                <w:rFonts w:ascii="Times New Roman" w:hAnsi="Times New Roman"/>
                <w:sz w:val="24"/>
                <w:szCs w:val="24"/>
                <w:lang w:eastAsia="sk-SK"/>
              </w:rPr>
              <w:t>Čiastočne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241ABA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Vplyvy na podnikateľské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241ABA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sk-SK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241ABA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241ABA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sk-SK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241ABA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241ABA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sk-SK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241ABA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41ABA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   z toho vplyvy na MSP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41ABA">
              <w:rPr>
                <w:rFonts w:ascii="MS Mincho" w:eastAsia="MS Mincho" w:hAnsi="MS Mincho" w:cs="MS Mincho" w:hint="eastAsia"/>
                <w:sz w:val="24"/>
                <w:szCs w:val="24"/>
                <w:lang w:eastAsia="sk-SK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41ABA">
              <w:rPr>
                <w:rFonts w:ascii="Times New Roman" w:hAnsi="Times New Roman"/>
                <w:sz w:val="24"/>
                <w:szCs w:val="24"/>
                <w:lang w:eastAsia="sk-SK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825028" w:rsidR="00825028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sk-SK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41ABA">
              <w:rPr>
                <w:rFonts w:ascii="Times New Roman" w:hAnsi="Times New Roman"/>
                <w:sz w:val="24"/>
                <w:szCs w:val="24"/>
                <w:lang w:eastAsia="sk-SK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41ABA">
              <w:rPr>
                <w:rFonts w:ascii="MS Mincho" w:eastAsia="MS Mincho" w:hAnsi="MS Mincho" w:cs="MS Mincho" w:hint="eastAsia"/>
                <w:sz w:val="24"/>
                <w:szCs w:val="24"/>
                <w:lang w:eastAsia="sk-SK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241ABA">
              <w:rPr>
                <w:rFonts w:ascii="Times New Roman" w:hAnsi="Times New Roman"/>
                <w:sz w:val="24"/>
                <w:szCs w:val="24"/>
                <w:lang w:eastAsia="sk-SK"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241ABA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Sociálne vplyvy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825028" w:rsidR="00825028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sk-SK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241ABA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825028" w:rsidR="00825028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sk-SK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241ABA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241ABA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sk-SK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241ABA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241ABA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Vplyvy na životné prostredie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241ABA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sk-SK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241ABA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241ABA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sk-SK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241ABA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241ABA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sk-SK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241ABA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241ABA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Vplyvy na informatizáciu</w:t>
            </w:r>
          </w:p>
        </w:tc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241ABA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sk-SK"/>
              </w:rPr>
              <w:t>☐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241ABA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Pozitívne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241ABA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sk-SK"/>
              </w:rPr>
              <w:t>☒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241ABA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Žiadne</w:t>
            </w:r>
          </w:p>
        </w:tc>
        <w:tc>
          <w:tcPr>
            <w:tcW w:w="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241ABA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sk-SK"/>
              </w:rPr>
              <w:t>☐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241ABA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Negatívne</w:t>
            </w:r>
          </w:p>
        </w:tc>
      </w:tr>
    </w:tbl>
    <w:p w:rsidR="00240A3D" w:rsidRPr="00241ABA" w:rsidP="003A06BE">
      <w:pPr>
        <w:bidi w:val="0"/>
        <w:spacing w:after="0" w:line="240" w:lineRule="auto"/>
        <w:rPr>
          <w:rFonts w:ascii="Times New Roman" w:hAnsi="Times New Roman"/>
          <w:vanish/>
          <w:sz w:val="24"/>
          <w:szCs w:val="24"/>
          <w:lang w:eastAsia="sk-SK"/>
        </w:rPr>
      </w:pPr>
    </w:p>
    <w:tbl>
      <w:tblPr>
        <w:tblStyle w:val="TableNormal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>
        <w:tblPrEx>
          <w:tblW w:w="918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241ABA">
              <w:rPr>
                <w:rFonts w:ascii="Times New Roman" w:hAnsi="Times New Roman"/>
                <w:b/>
                <w:sz w:val="24"/>
                <w:szCs w:val="24"/>
              </w:rPr>
              <w:t>Vplyvy na služby verejnej správy pre občana,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24"/>
                <w:szCs w:val="24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ind w:left="196" w:hanging="196"/>
              <w:rPr>
                <w:rFonts w:ascii="Times New Roman" w:hAnsi="Times New Roman"/>
                <w:b/>
                <w:sz w:val="24"/>
                <w:szCs w:val="24"/>
              </w:rPr>
            </w:pPr>
            <w:r w:rsidRPr="00241ABA">
              <w:rPr>
                <w:rFonts w:ascii="Times New Roman" w:hAnsi="Times New Roman"/>
                <w:b/>
                <w:sz w:val="24"/>
                <w:szCs w:val="24"/>
              </w:rPr>
              <w:t xml:space="preserve">    vplyvy služieb verejnej správy na občana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241ABA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sk-SK"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241ABA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241ABA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sk-SK"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241ABA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241ABA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sk-SK"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241ABA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Negatívne</w:t>
            </w:r>
          </w:p>
        </w:tc>
      </w:tr>
      <w:tr>
        <w:tblPrEx>
          <w:tblW w:w="9180" w:type="dxa"/>
          <w:tblLayout w:type="fixed"/>
          <w:tblLook w:val="04A0"/>
        </w:tblPrEx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ind w:left="168" w:hanging="168"/>
              <w:rPr>
                <w:rFonts w:ascii="Times New Roman" w:hAnsi="Times New Roman"/>
                <w:b/>
                <w:sz w:val="24"/>
                <w:szCs w:val="24"/>
              </w:rPr>
            </w:pPr>
            <w:r w:rsidRPr="00241ABA">
              <w:rPr>
                <w:rFonts w:ascii="Times New Roman" w:hAnsi="Times New Roman"/>
                <w:b/>
                <w:sz w:val="24"/>
                <w:szCs w:val="24"/>
              </w:rPr>
              <w:t xml:space="preserve">    vplyvy na procesy služieb vo verejnej správe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241ABA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sk-SK"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241ABA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Pozitívne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241ABA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sk-SK"/>
              </w:rPr>
              <w:t>☒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241ABA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241ABA">
              <w:rPr>
                <w:rFonts w:ascii="MS Mincho" w:eastAsia="MS Mincho" w:hAnsi="MS Mincho" w:cs="MS Mincho" w:hint="eastAsia"/>
                <w:b/>
                <w:sz w:val="24"/>
                <w:szCs w:val="24"/>
                <w:lang w:eastAsia="sk-SK"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ind w:left="54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241ABA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Negatívne</w:t>
            </w:r>
          </w:p>
        </w:tc>
      </w:tr>
    </w:tbl>
    <w:p w:rsidR="00240A3D" w:rsidRPr="00241ABA" w:rsidP="003A06BE">
      <w:pPr>
        <w:bidi w:val="0"/>
        <w:spacing w:after="0" w:line="240" w:lineRule="auto"/>
        <w:rPr>
          <w:vanish/>
          <w:lang w:eastAsia="sk-SK"/>
        </w:rPr>
      </w:pPr>
    </w:p>
    <w:tbl>
      <w:tblPr>
        <w:tblStyle w:val="TableGrid"/>
        <w:tblW w:w="9176" w:type="dxa"/>
        <w:tblLayout w:type="fixed"/>
        <w:tblLook w:val="04A0"/>
      </w:tblPr>
      <w:tblGrid>
        <w:gridCol w:w="9176"/>
      </w:tblGrid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240A3D" w:rsidRPr="00241ABA" w:rsidP="003A06BE">
            <w:pPr>
              <w:numPr>
                <w:numId w:val="11"/>
              </w:numPr>
              <w:bidi w:val="0"/>
              <w:spacing w:after="0" w:line="240" w:lineRule="auto"/>
              <w:ind w:left="426"/>
              <w:contextualSpacing/>
              <w:rPr>
                <w:rFonts w:ascii="Times New Roman" w:hAnsi="Times New Roman"/>
                <w:b/>
              </w:rPr>
            </w:pPr>
            <w:r w:rsidRPr="00241ABA">
              <w:rPr>
                <w:rFonts w:ascii="Times New Roman" w:hAnsi="Times New Roman"/>
                <w:b/>
              </w:rPr>
              <w:t>Poznámky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="00CF08D6">
              <w:rPr>
                <w:rFonts w:ascii="Times New Roman" w:hAnsi="Times New Roman"/>
              </w:rPr>
              <w:t>P</w:t>
            </w:r>
            <w:r w:rsidRPr="00C46CDA" w:rsidR="00CF08D6">
              <w:rPr>
                <w:rFonts w:ascii="Times New Roman" w:hAnsi="Times New Roman"/>
              </w:rPr>
              <w:t>rípadné výdavky súvisiace s realizáciou návrhu budú zabezpečené v rámci schválených limitov dotknutej kapitoly na príslušný rozpočtový rok, bez dodatočných požiadaviek na štátny rozpočet.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240A3D" w:rsidRPr="00241ABA" w:rsidP="003A06BE">
            <w:pPr>
              <w:numPr>
                <w:numId w:val="11"/>
              </w:numPr>
              <w:bidi w:val="0"/>
              <w:spacing w:after="0" w:line="240" w:lineRule="auto"/>
              <w:ind w:left="426"/>
              <w:contextualSpacing/>
              <w:rPr>
                <w:rFonts w:ascii="Times New Roman" w:hAnsi="Times New Roman"/>
                <w:b/>
              </w:rPr>
            </w:pPr>
            <w:r w:rsidRPr="00241ABA">
              <w:rPr>
                <w:rFonts w:ascii="Times New Roman" w:hAnsi="Times New Roman"/>
                <w:b/>
              </w:rPr>
              <w:t>Kontakt na spracovateľa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240A3D" w:rsidRPr="00241ABA" w:rsidP="00825028">
            <w:pPr>
              <w:bidi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="00825028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Mgr. Simona Kočišová</w:t>
            </w:r>
            <w:r w:rsidRPr="00241ABA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 xml:space="preserve"> (tel. č. 02 888 91 </w:t>
            </w:r>
            <w:r w:rsidR="00825028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 xml:space="preserve">299), JUDr. Michaela Gašparová tel. č. 02 888 91 163), JUDr. Ladislav Rybanský (tel. č. 02 888 91 436) - </w:t>
            </w:r>
            <w:r w:rsidRPr="00241ABA" w:rsidR="00825028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odbor legislatívy trestného práva , Ministerstvo spravodlivosti Slovenskej republiky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240A3D" w:rsidRPr="00241ABA" w:rsidP="003A06BE">
            <w:pPr>
              <w:numPr>
                <w:numId w:val="11"/>
              </w:numPr>
              <w:bidi w:val="0"/>
              <w:spacing w:after="0" w:line="240" w:lineRule="auto"/>
              <w:ind w:left="426"/>
              <w:contextualSpacing/>
              <w:rPr>
                <w:rFonts w:ascii="Times New Roman" w:hAnsi="Times New Roman"/>
                <w:b/>
              </w:rPr>
            </w:pPr>
            <w:r w:rsidRPr="00241ABA">
              <w:rPr>
                <w:rFonts w:ascii="Times New Roman" w:hAnsi="Times New Roman"/>
                <w:b/>
              </w:rPr>
              <w:t>Zdroje</w:t>
            </w:r>
          </w:p>
        </w:tc>
      </w:tr>
      <w:tr>
        <w:tblPrEx>
          <w:tblW w:w="9176" w:type="dxa"/>
          <w:tblLayout w:type="fixed"/>
          <w:tblLook w:val="04A0"/>
        </w:tblPrEx>
        <w:trPr>
          <w:trHeight w:val="401"/>
        </w:trPr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240A3D" w:rsidRPr="00241ABA" w:rsidP="003A06BE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241ABA" w:rsidR="00760DB0">
              <w:rPr>
                <w:rFonts w:ascii="Times New Roman" w:hAnsi="Times New Roman"/>
                <w:sz w:val="24"/>
                <w:szCs w:val="24"/>
              </w:rPr>
              <w:t xml:space="preserve">Návrh zákona bol vypracovaný v spolupráci s dotknutými štátnymi orgánmi </w:t>
            </w:r>
            <w:r w:rsidR="00760DB0">
              <w:rPr>
                <w:rFonts w:ascii="Times New Roman" w:hAnsi="Times New Roman"/>
                <w:sz w:val="24"/>
                <w:szCs w:val="24"/>
              </w:rPr>
              <w:t xml:space="preserve">(Generálna prokuratúra Slovenskej republiky a Ministerstvo vnútra Slovenskej republiky) </w:t>
            </w:r>
            <w:r w:rsidRPr="00241ABA" w:rsidR="00760DB0">
              <w:rPr>
                <w:rFonts w:ascii="Times New Roman" w:hAnsi="Times New Roman"/>
                <w:sz w:val="24"/>
                <w:szCs w:val="24"/>
              </w:rPr>
              <w:t>a je výsledkom odbornej diskusie orgánov aplikácie týchto právnych noriem.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textDirection w:val="lrTb"/>
            <w:vAlign w:val="top"/>
          </w:tcPr>
          <w:p w:rsidR="00240A3D" w:rsidRPr="00241ABA" w:rsidP="003A06BE">
            <w:pPr>
              <w:numPr>
                <w:numId w:val="11"/>
              </w:numPr>
              <w:bidi w:val="0"/>
              <w:spacing w:after="0" w:line="240" w:lineRule="auto"/>
              <w:ind w:left="426"/>
              <w:contextualSpacing/>
              <w:rPr>
                <w:rFonts w:ascii="Times New Roman" w:hAnsi="Times New Roman"/>
                <w:b/>
              </w:rPr>
            </w:pPr>
            <w:r w:rsidRPr="00241ABA">
              <w:rPr>
                <w:rFonts w:ascii="Times New Roman" w:hAnsi="Times New Roman"/>
                <w:b/>
              </w:rPr>
              <w:t>Stanovisko Komisie pre posudzovanie vybraných vplyvov z PPK</w:t>
            </w:r>
          </w:p>
        </w:tc>
      </w:tr>
      <w:tr>
        <w:tblPrEx>
          <w:tblW w:w="9176" w:type="dxa"/>
          <w:tblLayout w:type="fixed"/>
          <w:tblLook w:val="04A0"/>
        </w:tblPrEx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lrTb"/>
            <w:vAlign w:val="top"/>
          </w:tcPr>
          <w:p w:rsidR="00240A3D" w:rsidRPr="00241ABA" w:rsidP="00825028">
            <w:pPr>
              <w:bidi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</w:p>
        </w:tc>
      </w:tr>
    </w:tbl>
    <w:p w:rsidR="00AD561E" w:rsidRPr="00241ABA" w:rsidP="006730D8">
      <w:pPr>
        <w:bidi w:val="0"/>
        <w:spacing w:after="0" w:line="240" w:lineRule="auto"/>
        <w:jc w:val="both"/>
        <w:rPr>
          <w:bCs/>
          <w:color w:val="000000"/>
        </w:rPr>
      </w:pPr>
      <w:r w:rsidRPr="00241ABA" w:rsidR="00240A3D">
        <w:rPr>
          <w:bCs/>
          <w:color w:val="000000"/>
        </w:rPr>
        <w:t xml:space="preserve"> </w:t>
      </w:r>
    </w:p>
    <w:sectPr w:rsidSect="00193BEA">
      <w:footerReference w:type="default" r:id="rId5"/>
      <w:pgSz w:w="11906" w:h="16838"/>
      <w:pgMar w:top="1417" w:right="1417" w:bottom="1417" w:left="1417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?l?r ??fc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MS Gothic">
    <w:altName w:val="?l?r ?S?V?b?N"/>
    <w:panose1 w:val="020B0609070205080204"/>
    <w:charset w:val="80"/>
    <w:family w:val="modern"/>
    <w:pitch w:val="fixed"/>
    <w:sig w:usb0="00000000" w:usb1="00000000" w:usb2="00000000" w:usb3="00000000" w:csb0="0002009F" w:csb1="00000000"/>
  </w:font>
  <w:font w:name="Calibri">
    <w:altName w:val="Calibri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@MS Mincho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@MS Gothic">
    <w:panose1 w:val="00000000000000000000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3EB" w:rsidRPr="00AD561E" w:rsidP="00AD561E">
    <w:pPr>
      <w:pStyle w:val="Footer"/>
      <w:bidi w:val="0"/>
      <w:spacing w:after="0" w:line="240" w:lineRule="auto"/>
      <w:jc w:val="center"/>
      <w:rPr>
        <w:rFonts w:ascii="Times New Roman" w:hAnsi="Times New Roman"/>
        <w:sz w:val="24"/>
      </w:rPr>
    </w:pPr>
    <w:r w:rsidRPr="00AD561E">
      <w:rPr>
        <w:rFonts w:ascii="Times New Roman" w:hAnsi="Times New Roman"/>
        <w:sz w:val="24"/>
      </w:rPr>
      <w:fldChar w:fldCharType="begin"/>
    </w:r>
    <w:r w:rsidRPr="00AD561E">
      <w:rPr>
        <w:rFonts w:ascii="Times New Roman" w:hAnsi="Times New Roman"/>
        <w:sz w:val="24"/>
      </w:rPr>
      <w:instrText>PAGE   \* MERGEFORMAT</w:instrText>
    </w:r>
    <w:r w:rsidRPr="00AD561E">
      <w:rPr>
        <w:rFonts w:ascii="Times New Roman" w:hAnsi="Times New Roman"/>
        <w:sz w:val="24"/>
      </w:rPr>
      <w:fldChar w:fldCharType="separate"/>
    </w:r>
    <w:r w:rsidR="006A2B5D">
      <w:rPr>
        <w:rFonts w:ascii="Times New Roman" w:hAnsi="Times New Roman"/>
        <w:noProof/>
        <w:sz w:val="24"/>
      </w:rPr>
      <w:t>3</w:t>
    </w:r>
    <w:r w:rsidRPr="00AD561E">
      <w:rPr>
        <w:rFonts w:ascii="Times New Roman" w:hAnsi="Times New Roman"/>
        <w:sz w:val="24"/>
      </w:rPr>
      <w:fldChar w:fldCharType="end"/>
    </w:r>
  </w:p>
  <w:p w:rsidR="002813EB" w:rsidRPr="00AD561E" w:rsidP="00AD561E">
    <w:pPr>
      <w:pStyle w:val="Footer"/>
      <w:bidi w:val="0"/>
      <w:spacing w:after="0" w:line="240" w:lineRule="auto"/>
      <w:rPr>
        <w:rFonts w:ascii="Times New Roman" w:hAnsi="Times New Roman"/>
        <w:sz w:val="24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259C"/>
    <w:multiLevelType w:val="hybridMultilevel"/>
    <w:tmpl w:val="B3BCD600"/>
    <w:lvl w:ilvl="0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  <w:rtl w:val="0"/>
        <w:cs w:val="0"/>
      </w:rPr>
    </w:lvl>
  </w:abstractNum>
  <w:abstractNum w:abstractNumId="1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102755F5"/>
    <w:multiLevelType w:val="hybridMultilevel"/>
    <w:tmpl w:val="AE6E4B1A"/>
    <w:lvl w:ilvl="0">
      <w:start w:val="15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>
    <w:nsid w:val="28520325"/>
    <w:multiLevelType w:val="hybridMultilevel"/>
    <w:tmpl w:val="78B08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i w:val="0"/>
        <w:iCs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498E7F8B"/>
    <w:multiLevelType w:val="hybridMultilevel"/>
    <w:tmpl w:val="F65824A6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51091C3C"/>
    <w:multiLevelType w:val="hybridMultilevel"/>
    <w:tmpl w:val="693A4C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51B677BC"/>
    <w:multiLevelType w:val="hybridMultilevel"/>
    <w:tmpl w:val="9B7ECAC2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533C6B47"/>
    <w:multiLevelType w:val="hybridMultilevel"/>
    <w:tmpl w:val="C32AB85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57FF0DED"/>
    <w:multiLevelType w:val="hybridMultilevel"/>
    <w:tmpl w:val="5AC257B6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B8954CF"/>
    <w:multiLevelType w:val="hybridMultilevel"/>
    <w:tmpl w:val="B5A4C5E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0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928"/>
        </w:tabs>
        <w:ind w:left="73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abstractNum w:abstractNumId="11">
    <w:nsid w:val="7BDE54EF"/>
    <w:multiLevelType w:val="hybridMultilevel"/>
    <w:tmpl w:val="419C7968"/>
    <w:lvl w:ilvl="0">
      <w:start w:val="1"/>
      <w:numFmt w:val="decimal"/>
      <w:lvlText w:val="%1."/>
      <w:lvlJc w:val="left"/>
      <w:pPr>
        <w:ind w:left="862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2"/>
  </w:num>
  <w:num w:numId="7">
    <w:abstractNumId w:val="7"/>
  </w:num>
  <w:num w:numId="8">
    <w:abstractNumId w:val="10"/>
  </w:num>
  <w:num w:numId="9">
    <w:abstractNumId w:val="1"/>
  </w:num>
  <w:num w:numId="10">
    <w:abstractNumId w:val="6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31E82"/>
    <w:rsid w:val="00003574"/>
    <w:rsid w:val="0000360E"/>
    <w:rsid w:val="00006F8F"/>
    <w:rsid w:val="00011DE9"/>
    <w:rsid w:val="00030167"/>
    <w:rsid w:val="00031E82"/>
    <w:rsid w:val="0004308E"/>
    <w:rsid w:val="0004390C"/>
    <w:rsid w:val="000478F3"/>
    <w:rsid w:val="00066BE2"/>
    <w:rsid w:val="00081112"/>
    <w:rsid w:val="000922A0"/>
    <w:rsid w:val="0009607F"/>
    <w:rsid w:val="000B17B0"/>
    <w:rsid w:val="000B36BE"/>
    <w:rsid w:val="000C06C9"/>
    <w:rsid w:val="000C2C15"/>
    <w:rsid w:val="000C37A2"/>
    <w:rsid w:val="000C6ABA"/>
    <w:rsid w:val="000C73D9"/>
    <w:rsid w:val="000D2F68"/>
    <w:rsid w:val="000E4DA0"/>
    <w:rsid w:val="000F1124"/>
    <w:rsid w:val="000F47EE"/>
    <w:rsid w:val="000F50D6"/>
    <w:rsid w:val="00104C32"/>
    <w:rsid w:val="00113E0C"/>
    <w:rsid w:val="00115435"/>
    <w:rsid w:val="00120F22"/>
    <w:rsid w:val="00124D6D"/>
    <w:rsid w:val="00127B62"/>
    <w:rsid w:val="00131A7E"/>
    <w:rsid w:val="00135E45"/>
    <w:rsid w:val="0014001F"/>
    <w:rsid w:val="001413C8"/>
    <w:rsid w:val="001431F3"/>
    <w:rsid w:val="0014350A"/>
    <w:rsid w:val="00143EB4"/>
    <w:rsid w:val="00144016"/>
    <w:rsid w:val="00145BF5"/>
    <w:rsid w:val="00157CCD"/>
    <w:rsid w:val="001606AB"/>
    <w:rsid w:val="00162CF5"/>
    <w:rsid w:val="001704EF"/>
    <w:rsid w:val="00171D93"/>
    <w:rsid w:val="001756EC"/>
    <w:rsid w:val="00193BEA"/>
    <w:rsid w:val="001A3563"/>
    <w:rsid w:val="001B0095"/>
    <w:rsid w:val="001B6672"/>
    <w:rsid w:val="001C2E2D"/>
    <w:rsid w:val="001D574B"/>
    <w:rsid w:val="001E22A1"/>
    <w:rsid w:val="001F0CA3"/>
    <w:rsid w:val="001F652F"/>
    <w:rsid w:val="00202EBE"/>
    <w:rsid w:val="002034B4"/>
    <w:rsid w:val="00205933"/>
    <w:rsid w:val="00222482"/>
    <w:rsid w:val="00224913"/>
    <w:rsid w:val="00226302"/>
    <w:rsid w:val="00226AD8"/>
    <w:rsid w:val="00227228"/>
    <w:rsid w:val="00240A3D"/>
    <w:rsid w:val="00241ABA"/>
    <w:rsid w:val="002424F1"/>
    <w:rsid w:val="00247565"/>
    <w:rsid w:val="00247868"/>
    <w:rsid w:val="002629D4"/>
    <w:rsid w:val="0027050F"/>
    <w:rsid w:val="002813EB"/>
    <w:rsid w:val="00290C3B"/>
    <w:rsid w:val="0029283C"/>
    <w:rsid w:val="002A108B"/>
    <w:rsid w:val="002A586D"/>
    <w:rsid w:val="002B04C0"/>
    <w:rsid w:val="002D0BD4"/>
    <w:rsid w:val="002E3939"/>
    <w:rsid w:val="002E7C2A"/>
    <w:rsid w:val="002F258E"/>
    <w:rsid w:val="002F5121"/>
    <w:rsid w:val="003029B4"/>
    <w:rsid w:val="00313CA9"/>
    <w:rsid w:val="00323876"/>
    <w:rsid w:val="00333412"/>
    <w:rsid w:val="003350E9"/>
    <w:rsid w:val="00335632"/>
    <w:rsid w:val="003372B0"/>
    <w:rsid w:val="003372DA"/>
    <w:rsid w:val="00340FA7"/>
    <w:rsid w:val="0035287D"/>
    <w:rsid w:val="00357EA3"/>
    <w:rsid w:val="00362892"/>
    <w:rsid w:val="00365489"/>
    <w:rsid w:val="003700D5"/>
    <w:rsid w:val="003806BD"/>
    <w:rsid w:val="00380DF8"/>
    <w:rsid w:val="00382DCC"/>
    <w:rsid w:val="003862BE"/>
    <w:rsid w:val="003918BA"/>
    <w:rsid w:val="00395CEA"/>
    <w:rsid w:val="003A06BE"/>
    <w:rsid w:val="003A3A95"/>
    <w:rsid w:val="003A5BF8"/>
    <w:rsid w:val="003B01AD"/>
    <w:rsid w:val="003C1DD8"/>
    <w:rsid w:val="003D4681"/>
    <w:rsid w:val="003D5D91"/>
    <w:rsid w:val="003E61F3"/>
    <w:rsid w:val="003F6B85"/>
    <w:rsid w:val="00411135"/>
    <w:rsid w:val="004128EA"/>
    <w:rsid w:val="0042193D"/>
    <w:rsid w:val="00424C1D"/>
    <w:rsid w:val="00437026"/>
    <w:rsid w:val="00445FB2"/>
    <w:rsid w:val="00451A0E"/>
    <w:rsid w:val="00456D8C"/>
    <w:rsid w:val="004573D9"/>
    <w:rsid w:val="0046379C"/>
    <w:rsid w:val="0047291D"/>
    <w:rsid w:val="00476685"/>
    <w:rsid w:val="004913E1"/>
    <w:rsid w:val="00492B9E"/>
    <w:rsid w:val="00497715"/>
    <w:rsid w:val="004A2035"/>
    <w:rsid w:val="004A2107"/>
    <w:rsid w:val="004B1282"/>
    <w:rsid w:val="004C32C7"/>
    <w:rsid w:val="004C3E3F"/>
    <w:rsid w:val="004C46CB"/>
    <w:rsid w:val="004C4CDE"/>
    <w:rsid w:val="004C624E"/>
    <w:rsid w:val="004C78CE"/>
    <w:rsid w:val="004D0829"/>
    <w:rsid w:val="004E55B8"/>
    <w:rsid w:val="004E652E"/>
    <w:rsid w:val="005031BD"/>
    <w:rsid w:val="005329D8"/>
    <w:rsid w:val="00534911"/>
    <w:rsid w:val="005366C7"/>
    <w:rsid w:val="005407E0"/>
    <w:rsid w:val="00560B62"/>
    <w:rsid w:val="00570A8D"/>
    <w:rsid w:val="0057737F"/>
    <w:rsid w:val="00580889"/>
    <w:rsid w:val="0058637D"/>
    <w:rsid w:val="005924D9"/>
    <w:rsid w:val="005948D2"/>
    <w:rsid w:val="005A3BAB"/>
    <w:rsid w:val="005A4EDB"/>
    <w:rsid w:val="005A7C1F"/>
    <w:rsid w:val="005B3DD3"/>
    <w:rsid w:val="005B4105"/>
    <w:rsid w:val="005B4970"/>
    <w:rsid w:val="005C0856"/>
    <w:rsid w:val="005C0EAD"/>
    <w:rsid w:val="005C11DB"/>
    <w:rsid w:val="005D0A99"/>
    <w:rsid w:val="005D6D10"/>
    <w:rsid w:val="005D7EA8"/>
    <w:rsid w:val="005E5CB3"/>
    <w:rsid w:val="005E750D"/>
    <w:rsid w:val="005F31ED"/>
    <w:rsid w:val="005F32BF"/>
    <w:rsid w:val="005F55E5"/>
    <w:rsid w:val="005F5CBE"/>
    <w:rsid w:val="005F79EF"/>
    <w:rsid w:val="006009AE"/>
    <w:rsid w:val="00602C6A"/>
    <w:rsid w:val="00605419"/>
    <w:rsid w:val="00614D73"/>
    <w:rsid w:val="00622593"/>
    <w:rsid w:val="00626A61"/>
    <w:rsid w:val="00636D1A"/>
    <w:rsid w:val="006440CA"/>
    <w:rsid w:val="00652264"/>
    <w:rsid w:val="006535EE"/>
    <w:rsid w:val="00665EE9"/>
    <w:rsid w:val="00666955"/>
    <w:rsid w:val="006730D8"/>
    <w:rsid w:val="00674D64"/>
    <w:rsid w:val="0068063D"/>
    <w:rsid w:val="006866B3"/>
    <w:rsid w:val="006926B5"/>
    <w:rsid w:val="00693023"/>
    <w:rsid w:val="00697AC7"/>
    <w:rsid w:val="006A2B5D"/>
    <w:rsid w:val="006A31A9"/>
    <w:rsid w:val="006A5442"/>
    <w:rsid w:val="006B4B2E"/>
    <w:rsid w:val="006C21A0"/>
    <w:rsid w:val="006C33DB"/>
    <w:rsid w:val="006C4D28"/>
    <w:rsid w:val="006D0EB0"/>
    <w:rsid w:val="006D391C"/>
    <w:rsid w:val="006E06A8"/>
    <w:rsid w:val="006E0920"/>
    <w:rsid w:val="006E6479"/>
    <w:rsid w:val="006F0843"/>
    <w:rsid w:val="006F2AE3"/>
    <w:rsid w:val="00701FD3"/>
    <w:rsid w:val="007121CF"/>
    <w:rsid w:val="00712AF4"/>
    <w:rsid w:val="007156C0"/>
    <w:rsid w:val="007202BC"/>
    <w:rsid w:val="00721A22"/>
    <w:rsid w:val="007260F8"/>
    <w:rsid w:val="007262EA"/>
    <w:rsid w:val="007326CD"/>
    <w:rsid w:val="00737327"/>
    <w:rsid w:val="00740C84"/>
    <w:rsid w:val="00756646"/>
    <w:rsid w:val="00757F1B"/>
    <w:rsid w:val="00760DB0"/>
    <w:rsid w:val="00762DC1"/>
    <w:rsid w:val="00763D0B"/>
    <w:rsid w:val="0076789C"/>
    <w:rsid w:val="00771E27"/>
    <w:rsid w:val="00773B36"/>
    <w:rsid w:val="0077616C"/>
    <w:rsid w:val="0078126D"/>
    <w:rsid w:val="007A0452"/>
    <w:rsid w:val="007A0A09"/>
    <w:rsid w:val="007A1F71"/>
    <w:rsid w:val="007B14E1"/>
    <w:rsid w:val="007B1C1E"/>
    <w:rsid w:val="007B5ACB"/>
    <w:rsid w:val="007D4EED"/>
    <w:rsid w:val="007D648F"/>
    <w:rsid w:val="007E0B41"/>
    <w:rsid w:val="007E57D8"/>
    <w:rsid w:val="007F2BE7"/>
    <w:rsid w:val="007F3C52"/>
    <w:rsid w:val="007F7FEB"/>
    <w:rsid w:val="00801527"/>
    <w:rsid w:val="00806177"/>
    <w:rsid w:val="00817A3F"/>
    <w:rsid w:val="00820F69"/>
    <w:rsid w:val="00821E74"/>
    <w:rsid w:val="00825028"/>
    <w:rsid w:val="0083003C"/>
    <w:rsid w:val="008312F2"/>
    <w:rsid w:val="00834641"/>
    <w:rsid w:val="008354AD"/>
    <w:rsid w:val="00837235"/>
    <w:rsid w:val="00844792"/>
    <w:rsid w:val="008533BE"/>
    <w:rsid w:val="008560DB"/>
    <w:rsid w:val="008623B4"/>
    <w:rsid w:val="00866E1C"/>
    <w:rsid w:val="00871061"/>
    <w:rsid w:val="008756E6"/>
    <w:rsid w:val="00884E60"/>
    <w:rsid w:val="00887914"/>
    <w:rsid w:val="0089702B"/>
    <w:rsid w:val="008A33D1"/>
    <w:rsid w:val="008A5ACE"/>
    <w:rsid w:val="008A73E2"/>
    <w:rsid w:val="008B0F34"/>
    <w:rsid w:val="008B6AFC"/>
    <w:rsid w:val="008C5472"/>
    <w:rsid w:val="008D0C51"/>
    <w:rsid w:val="008D1330"/>
    <w:rsid w:val="008D2C98"/>
    <w:rsid w:val="008D386C"/>
    <w:rsid w:val="008E04FE"/>
    <w:rsid w:val="008E22BB"/>
    <w:rsid w:val="008E4E82"/>
    <w:rsid w:val="00903F4D"/>
    <w:rsid w:val="00904BD9"/>
    <w:rsid w:val="00907676"/>
    <w:rsid w:val="00912F32"/>
    <w:rsid w:val="009178C3"/>
    <w:rsid w:val="00924E07"/>
    <w:rsid w:val="00933F85"/>
    <w:rsid w:val="0093773A"/>
    <w:rsid w:val="00944FA7"/>
    <w:rsid w:val="00946283"/>
    <w:rsid w:val="00952309"/>
    <w:rsid w:val="009533B0"/>
    <w:rsid w:val="009536AA"/>
    <w:rsid w:val="009564CF"/>
    <w:rsid w:val="009628A9"/>
    <w:rsid w:val="009648BC"/>
    <w:rsid w:val="00965CA9"/>
    <w:rsid w:val="009714C5"/>
    <w:rsid w:val="00971F0D"/>
    <w:rsid w:val="00977713"/>
    <w:rsid w:val="00987A01"/>
    <w:rsid w:val="00995C8F"/>
    <w:rsid w:val="009A4076"/>
    <w:rsid w:val="009A5998"/>
    <w:rsid w:val="009C4529"/>
    <w:rsid w:val="009D62CD"/>
    <w:rsid w:val="009E3799"/>
    <w:rsid w:val="009F2786"/>
    <w:rsid w:val="009F4B46"/>
    <w:rsid w:val="009F4B95"/>
    <w:rsid w:val="00A049BD"/>
    <w:rsid w:val="00A1767A"/>
    <w:rsid w:val="00A224F5"/>
    <w:rsid w:val="00A34E12"/>
    <w:rsid w:val="00A42C63"/>
    <w:rsid w:val="00A50CA3"/>
    <w:rsid w:val="00A618E8"/>
    <w:rsid w:val="00A7122A"/>
    <w:rsid w:val="00A75878"/>
    <w:rsid w:val="00A80318"/>
    <w:rsid w:val="00A824CC"/>
    <w:rsid w:val="00A934F4"/>
    <w:rsid w:val="00A949F7"/>
    <w:rsid w:val="00A94EAE"/>
    <w:rsid w:val="00A9509B"/>
    <w:rsid w:val="00AA2081"/>
    <w:rsid w:val="00AB6A6E"/>
    <w:rsid w:val="00AC6CC5"/>
    <w:rsid w:val="00AD0049"/>
    <w:rsid w:val="00AD561E"/>
    <w:rsid w:val="00AF01A7"/>
    <w:rsid w:val="00AF232B"/>
    <w:rsid w:val="00AF5B04"/>
    <w:rsid w:val="00B154EA"/>
    <w:rsid w:val="00B16464"/>
    <w:rsid w:val="00B16FB6"/>
    <w:rsid w:val="00B21C1B"/>
    <w:rsid w:val="00B2229D"/>
    <w:rsid w:val="00B315B3"/>
    <w:rsid w:val="00B32FC2"/>
    <w:rsid w:val="00B45558"/>
    <w:rsid w:val="00B51695"/>
    <w:rsid w:val="00B54EE0"/>
    <w:rsid w:val="00B54F18"/>
    <w:rsid w:val="00B553FC"/>
    <w:rsid w:val="00B62007"/>
    <w:rsid w:val="00B639DA"/>
    <w:rsid w:val="00B66668"/>
    <w:rsid w:val="00B67C15"/>
    <w:rsid w:val="00B925C9"/>
    <w:rsid w:val="00BB201D"/>
    <w:rsid w:val="00BB6AB6"/>
    <w:rsid w:val="00BC1832"/>
    <w:rsid w:val="00BC6022"/>
    <w:rsid w:val="00BC605F"/>
    <w:rsid w:val="00BC7B54"/>
    <w:rsid w:val="00BE6608"/>
    <w:rsid w:val="00BE7432"/>
    <w:rsid w:val="00BF37B5"/>
    <w:rsid w:val="00BF4D77"/>
    <w:rsid w:val="00C01AE3"/>
    <w:rsid w:val="00C060ED"/>
    <w:rsid w:val="00C1044E"/>
    <w:rsid w:val="00C21F11"/>
    <w:rsid w:val="00C267D3"/>
    <w:rsid w:val="00C3045B"/>
    <w:rsid w:val="00C33077"/>
    <w:rsid w:val="00C33609"/>
    <w:rsid w:val="00C34452"/>
    <w:rsid w:val="00C348D0"/>
    <w:rsid w:val="00C357B8"/>
    <w:rsid w:val="00C41EDC"/>
    <w:rsid w:val="00C46CDA"/>
    <w:rsid w:val="00C51EEA"/>
    <w:rsid w:val="00C71846"/>
    <w:rsid w:val="00C71B94"/>
    <w:rsid w:val="00C907ED"/>
    <w:rsid w:val="00C959BA"/>
    <w:rsid w:val="00C97CB8"/>
    <w:rsid w:val="00CB38A8"/>
    <w:rsid w:val="00CB7DF1"/>
    <w:rsid w:val="00CC69AD"/>
    <w:rsid w:val="00CC6BFF"/>
    <w:rsid w:val="00CE2DF6"/>
    <w:rsid w:val="00CE5B36"/>
    <w:rsid w:val="00CF08D6"/>
    <w:rsid w:val="00CF7A74"/>
    <w:rsid w:val="00D00251"/>
    <w:rsid w:val="00D002E3"/>
    <w:rsid w:val="00D01B85"/>
    <w:rsid w:val="00D04785"/>
    <w:rsid w:val="00D059D4"/>
    <w:rsid w:val="00D11B4A"/>
    <w:rsid w:val="00D24419"/>
    <w:rsid w:val="00D405C6"/>
    <w:rsid w:val="00D54BCE"/>
    <w:rsid w:val="00D56385"/>
    <w:rsid w:val="00D620AE"/>
    <w:rsid w:val="00D65D55"/>
    <w:rsid w:val="00D7386D"/>
    <w:rsid w:val="00D80BF8"/>
    <w:rsid w:val="00D82EEF"/>
    <w:rsid w:val="00D83203"/>
    <w:rsid w:val="00D8402B"/>
    <w:rsid w:val="00DA570C"/>
    <w:rsid w:val="00DB4D3A"/>
    <w:rsid w:val="00DB7BC1"/>
    <w:rsid w:val="00DC3B0E"/>
    <w:rsid w:val="00DC3EB5"/>
    <w:rsid w:val="00DC42B6"/>
    <w:rsid w:val="00DC5303"/>
    <w:rsid w:val="00DC77E7"/>
    <w:rsid w:val="00DD5E94"/>
    <w:rsid w:val="00DE06A3"/>
    <w:rsid w:val="00DE54D3"/>
    <w:rsid w:val="00DF35D5"/>
    <w:rsid w:val="00E01D65"/>
    <w:rsid w:val="00E03EAE"/>
    <w:rsid w:val="00E04B11"/>
    <w:rsid w:val="00E163F1"/>
    <w:rsid w:val="00E17770"/>
    <w:rsid w:val="00E2174D"/>
    <w:rsid w:val="00E23369"/>
    <w:rsid w:val="00E33195"/>
    <w:rsid w:val="00E36D5B"/>
    <w:rsid w:val="00E4359B"/>
    <w:rsid w:val="00E51495"/>
    <w:rsid w:val="00E51C30"/>
    <w:rsid w:val="00E521E1"/>
    <w:rsid w:val="00E61BCE"/>
    <w:rsid w:val="00E62F28"/>
    <w:rsid w:val="00E65E45"/>
    <w:rsid w:val="00E670E3"/>
    <w:rsid w:val="00E6749B"/>
    <w:rsid w:val="00E74145"/>
    <w:rsid w:val="00E77278"/>
    <w:rsid w:val="00E776EE"/>
    <w:rsid w:val="00E94AF5"/>
    <w:rsid w:val="00E97490"/>
    <w:rsid w:val="00EA54F8"/>
    <w:rsid w:val="00EA5AA2"/>
    <w:rsid w:val="00EB712C"/>
    <w:rsid w:val="00ED035B"/>
    <w:rsid w:val="00ED072A"/>
    <w:rsid w:val="00ED0CCA"/>
    <w:rsid w:val="00ED4EB5"/>
    <w:rsid w:val="00EE7203"/>
    <w:rsid w:val="00EF1D4F"/>
    <w:rsid w:val="00F02A02"/>
    <w:rsid w:val="00F048BA"/>
    <w:rsid w:val="00F15766"/>
    <w:rsid w:val="00F16153"/>
    <w:rsid w:val="00F246A9"/>
    <w:rsid w:val="00F33F21"/>
    <w:rsid w:val="00F34EF9"/>
    <w:rsid w:val="00F460BA"/>
    <w:rsid w:val="00F463D3"/>
    <w:rsid w:val="00F46A34"/>
    <w:rsid w:val="00F46CBC"/>
    <w:rsid w:val="00F5183A"/>
    <w:rsid w:val="00F57BF2"/>
    <w:rsid w:val="00F612BA"/>
    <w:rsid w:val="00F6159F"/>
    <w:rsid w:val="00F61C71"/>
    <w:rsid w:val="00F71275"/>
    <w:rsid w:val="00F74C17"/>
    <w:rsid w:val="00F869ED"/>
    <w:rsid w:val="00F917CA"/>
    <w:rsid w:val="00FA05F1"/>
    <w:rsid w:val="00FA375C"/>
    <w:rsid w:val="00FA716A"/>
    <w:rsid w:val="00FB076F"/>
    <w:rsid w:val="00FB7D21"/>
    <w:rsid w:val="00FC54D9"/>
    <w:rsid w:val="00FD095B"/>
    <w:rsid w:val="00FD4A1E"/>
    <w:rsid w:val="00FD78C0"/>
    <w:rsid w:val="00FE1348"/>
    <w:rsid w:val="00FE15A9"/>
    <w:rsid w:val="00FF176E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31E82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ListParagraph">
    <w:name w:val="List Paragraph"/>
    <w:basedOn w:val="Normal"/>
    <w:uiPriority w:val="34"/>
    <w:qFormat/>
    <w:rsid w:val="00AD561E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apple-style-span">
    <w:name w:val="apple-style-span"/>
    <w:rsid w:val="00AD561E"/>
  </w:style>
  <w:style w:type="paragraph" w:styleId="Header">
    <w:name w:val="header"/>
    <w:basedOn w:val="Normal"/>
    <w:link w:val="HlavikaChar"/>
    <w:uiPriority w:val="99"/>
    <w:unhideWhenUsed/>
    <w:rsid w:val="00AD561E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AD561E"/>
    <w:rPr>
      <w:rFonts w:cs="Times New Roman"/>
      <w:sz w:val="22"/>
      <w:szCs w:val="22"/>
      <w:rtl w:val="0"/>
      <w:cs w:val="0"/>
      <w:lang w:val="x-none" w:eastAsia="en-US"/>
    </w:rPr>
  </w:style>
  <w:style w:type="paragraph" w:styleId="Footer">
    <w:name w:val="footer"/>
    <w:basedOn w:val="Normal"/>
    <w:link w:val="PtaChar"/>
    <w:uiPriority w:val="99"/>
    <w:unhideWhenUsed/>
    <w:rsid w:val="00AD561E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D561E"/>
    <w:rPr>
      <w:rFonts w:cs="Times New Roman"/>
      <w:sz w:val="22"/>
      <w:szCs w:val="22"/>
      <w:rtl w:val="0"/>
      <w:cs w:val="0"/>
      <w:lang w:val="x-none" w:eastAsia="en-US"/>
    </w:rPr>
  </w:style>
  <w:style w:type="table" w:styleId="TableGrid">
    <w:name w:val="Table Grid"/>
    <w:basedOn w:val="TableNormal"/>
    <w:uiPriority w:val="59"/>
    <w:rsid w:val="00763D0B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TextbublinyChar"/>
    <w:uiPriority w:val="99"/>
    <w:rsid w:val="00946283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946283"/>
    <w:rPr>
      <w:rFonts w:ascii="Segoe UI" w:hAnsi="Segoe UI" w:cs="Segoe UI"/>
      <w:sz w:val="18"/>
      <w:szCs w:val="18"/>
      <w:rtl w:val="0"/>
      <w:cs w:val="0"/>
      <w:lang w:val="x-none" w:eastAsia="en-US"/>
    </w:rPr>
  </w:style>
  <w:style w:type="paragraph" w:styleId="BodyText">
    <w:name w:val="Body Text"/>
    <w:basedOn w:val="Normal"/>
    <w:link w:val="ZkladntextChar"/>
    <w:uiPriority w:val="99"/>
    <w:rsid w:val="00241ABA"/>
    <w:pPr>
      <w:spacing w:after="0" w:line="240" w:lineRule="auto"/>
      <w:jc w:val="both"/>
    </w:pPr>
    <w:rPr>
      <w:rFonts w:ascii="Times New Roman" w:hAnsi="Times New Roman"/>
      <w:sz w:val="24"/>
      <w:szCs w:val="24"/>
      <w:lang w:val="cs-CZ" w:eastAsia="cs-CZ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41ABA"/>
    <w:rPr>
      <w:rFonts w:ascii="Times New Roman" w:hAnsi="Times New Roman" w:cs="Times New Roman"/>
      <w:sz w:val="24"/>
      <w:szCs w:val="24"/>
      <w:rtl w:val="0"/>
      <w:cs w:val="0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76281-4CB7-49A1-99F5-30E4F9CDB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3</Pages>
  <Words>777</Words>
  <Characters>4435</Characters>
  <Application>Microsoft Office Word</Application>
  <DocSecurity>0</DocSecurity>
  <Lines>0</Lines>
  <Paragraphs>0</Paragraphs>
  <ScaleCrop>false</ScaleCrop>
  <Company/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BALESOVA Jana</dc:creator>
  <cp:lastModifiedBy>KOČIŠOVÁ Simona</cp:lastModifiedBy>
  <cp:revision>9</cp:revision>
  <dcterms:created xsi:type="dcterms:W3CDTF">2017-12-13T14:27:00Z</dcterms:created>
  <dcterms:modified xsi:type="dcterms:W3CDTF">2018-02-21T13:48:00Z</dcterms:modified>
</cp:coreProperties>
</file>