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3421"/>
        <w:gridCol w:w="900"/>
        <w:gridCol w:w="1080"/>
        <w:gridCol w:w="900"/>
        <w:gridCol w:w="3929"/>
        <w:gridCol w:w="931"/>
        <w:gridCol w:w="3240"/>
      </w:tblGrid>
      <w:tr>
        <w:tblPrEx>
          <w:tblW w:w="153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53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Heading1"/>
              <w:numPr>
                <w:numId w:val="0"/>
              </w:numPr>
              <w:tabs>
                <w:tab w:val="clear" w:pos="567"/>
              </w:tabs>
              <w:bidi w:val="0"/>
              <w:spacing w:after="0" w:line="240" w:lineRule="auto"/>
              <w:ind w:firstLine="0"/>
              <w:jc w:val="left"/>
              <w:rPr>
                <w:sz w:val="20"/>
              </w:rPr>
            </w:pPr>
            <w:r w:rsidRPr="00E408FD">
              <w:rPr>
                <w:rFonts w:hint="default"/>
                <w:caps/>
                <w:sz w:val="20"/>
              </w:rPr>
              <w:t>Tabuľ</w:t>
            </w:r>
            <w:r w:rsidRPr="00E408FD">
              <w:rPr>
                <w:rFonts w:hint="default"/>
                <w:caps/>
                <w:sz w:val="20"/>
              </w:rPr>
              <w:t xml:space="preserve">ka </w:t>
            </w:r>
            <w:r w:rsidRPr="00E408FD">
              <w:rPr>
                <w:sz w:val="20"/>
              </w:rPr>
              <w:t xml:space="preserve">ZHODY </w:t>
            </w:r>
          </w:p>
          <w:p w:rsidR="00076A83" w:rsidRPr="00E408FD" w:rsidP="003C52F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08FD">
              <w:rPr>
                <w:rFonts w:ascii="Times New Roman" w:hAnsi="Times New Roman"/>
                <w:b/>
                <w:bCs/>
                <w:sz w:val="20"/>
                <w:szCs w:val="20"/>
              </w:rPr>
              <w:t>NA ÚČELY OZNÁ</w:t>
            </w:r>
            <w:r w:rsidR="00443B4F">
              <w:rPr>
                <w:rFonts w:ascii="Times New Roman" w:hAnsi="Times New Roman"/>
                <w:b/>
                <w:bCs/>
                <w:sz w:val="20"/>
                <w:szCs w:val="20"/>
              </w:rPr>
              <w:t>MENIA TRANSPOZÍCIE SMERNICE 20</w:t>
            </w:r>
            <w:r w:rsidR="0007757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C52F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443B4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3C52F9"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Pr="00E408FD">
              <w:rPr>
                <w:rFonts w:ascii="Times New Roman" w:hAnsi="Times New Roman"/>
                <w:b/>
                <w:bCs/>
                <w:sz w:val="20"/>
                <w:szCs w:val="20"/>
              </w:rPr>
              <w:t>/E</w:t>
            </w:r>
            <w:r w:rsidR="003C52F9">
              <w:rPr>
                <w:rFonts w:ascii="Times New Roman" w:hAnsi="Times New Roman"/>
                <w:b/>
                <w:bCs/>
                <w:sz w:val="20"/>
                <w:szCs w:val="20"/>
              </w:rPr>
              <w:t>Ú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3C52F9" w:rsidRPr="00443B4F" w:rsidP="00443B4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3C52F9">
              <w:rPr>
                <w:rFonts w:ascii="Times New Roman" w:hAnsi="Times New Roman"/>
                <w:b/>
                <w:sz w:val="20"/>
                <w:szCs w:val="20"/>
              </w:rPr>
              <w:t>mernic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3C52F9">
              <w:rPr>
                <w:rFonts w:ascii="Times New Roman" w:hAnsi="Times New Roman"/>
                <w:b/>
                <w:sz w:val="20"/>
                <w:szCs w:val="20"/>
              </w:rPr>
              <w:t xml:space="preserve"> Európskeho parlamentu a Rady 2014/94/EÚ z 22. októbra 2014 o zavádzaní infraštruktúry pre alternatívne palivá</w:t>
            </w:r>
          </w:p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076A83" w:rsidRPr="00E408FD" w:rsidP="0056013F">
            <w:pPr>
              <w:tabs>
                <w:tab w:val="left" w:pos="303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Návrh zákona, ktorým sa mení a dopĺňa zákon č. 251/2012 Z. z. o energetike a o zmene a doplnení niektorých zákonov v znení neskorších predpisov (ďalej len „Návrh ZoE“).</w:t>
            </w:r>
          </w:p>
          <w:p w:rsidR="00076A83" w:rsidRPr="00E408FD" w:rsidP="0056013F">
            <w:pPr>
              <w:tabs>
                <w:tab w:val="left" w:pos="303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Článok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(Č, O,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Spôsob transp.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Článok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 xml:space="preserve"> (Č, §, O, V, P)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Text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Zhoda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Poznámky</w:t>
            </w:r>
          </w:p>
          <w:p w:rsidR="00076A83" w:rsidRPr="00E408FD" w:rsidP="0056013F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  <w:r w:rsidRPr="00E408FD">
              <w:rPr>
                <w:rFonts w:ascii="Times New Roman" w:hAnsi="Times New Roman"/>
              </w:rPr>
              <w:t>(pri návrhu predpisu – predpokladaný dátum účinnosti**)</w:t>
            </w:r>
          </w:p>
        </w:tc>
      </w:tr>
      <w:tr>
        <w:tblPrEx>
          <w:tblW w:w="153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EC4F61">
              <w:rPr>
                <w:rFonts w:ascii="Times New Roman" w:hAnsi="Times New Roman"/>
              </w:rPr>
              <w:t>Čl. 2</w:t>
            </w:r>
          </w:p>
          <w:p w:rsidR="005D5EA6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EC4F61">
              <w:rPr>
                <w:rFonts w:ascii="Times New Roman" w:hAnsi="Times New Roman"/>
              </w:rPr>
              <w:t>O: 2</w:t>
            </w:r>
          </w:p>
          <w:p w:rsidR="00EC4F6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EC4F6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EC4F6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EC4F6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EC4F6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EC4F6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EC4F6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Čl. 2</w:t>
            </w:r>
          </w:p>
          <w:p w:rsidR="00EC4F6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O: </w:t>
            </w:r>
            <w:r w:rsidR="00607FC1">
              <w:rPr>
                <w:rFonts w:ascii="Times New Roman" w:hAnsi="Times New Roman"/>
              </w:rPr>
              <w:t>3</w:t>
            </w:r>
          </w:p>
          <w:p w:rsidR="00607FC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07FC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07FC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07FC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07FC1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Čl. 2</w:t>
            </w:r>
          </w:p>
          <w:p w:rsidR="00607FC1" w:rsidRPr="00E408FD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3B4F" w:rsidRPr="00607FC1" w:rsidP="0064018A">
            <w:pPr>
              <w:pStyle w:val="ManualNumPar1"/>
              <w:bidi w:val="0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20684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607FC1" w:rsidR="00EC4F61">
              <w:rPr>
                <w:rFonts w:ascii="Times New Roman" w:hAnsi="Times New Roman"/>
                <w:sz w:val="20"/>
                <w:szCs w:val="20"/>
              </w:rPr>
              <w:t>„elektrické vozidlo“ je motorové vozidlo vybavené hnacou jednotkou, ktorá sa skladá minimálne z jedného neperiférneho elektrického motora v úlohe meniča energie s nabíjateľným systémom uchovávania elektrickej energie, ktorý možno externe nabíjať;</w:t>
            </w:r>
          </w:p>
          <w:p w:rsidR="00607FC1" w:rsidRPr="00607FC1" w:rsidP="00607FC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07FC1" w:rsidP="00607FC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="0020684B">
              <w:rPr>
                <w:rFonts w:ascii="Times New Roman" w:hAnsi="Times New Roman"/>
                <w:sz w:val="20"/>
                <w:szCs w:val="20"/>
                <w:lang w:eastAsia="en-US"/>
              </w:rPr>
              <w:t>3. „</w:t>
            </w:r>
            <w:r w:rsidRPr="00607FC1">
              <w:rPr>
                <w:rFonts w:ascii="Times New Roman" w:hAnsi="Times New Roman"/>
                <w:sz w:val="20"/>
                <w:szCs w:val="20"/>
                <w:lang w:eastAsia="en-US"/>
              </w:rPr>
              <w:t>nabíjacia stanica“ je rozhranie, ktoré v určitom čase umožňuje nabíjanie jedného elektrického vozidla alebo výmenu batérie jedného elektrického vozidla;</w:t>
            </w:r>
          </w:p>
          <w:p w:rsidR="00607FC1" w:rsidP="00607FC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07FC1" w:rsidRPr="00607FC1" w:rsidP="00607FC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="0020684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</w:t>
            </w:r>
            <w:bookmarkStart w:id="0" w:name="_GoBack"/>
            <w:bookmarkEnd w:id="0"/>
            <w:r w:rsidRPr="00607FC1">
              <w:rPr>
                <w:rFonts w:ascii="Times New Roman" w:hAnsi="Times New Roman"/>
                <w:sz w:val="20"/>
                <w:szCs w:val="20"/>
                <w:lang w:eastAsia="en-US"/>
              </w:rPr>
              <w:t>„verejne prístupná nabíjacia alebo čerpacia stanica“ je nabíjacia alebo čerpacia stanica zabezpečujúca dodávku alternatívneho paliva a poskytujúca nediskriminačný prístup pre používateľov v celej Únii. Podmienky schvaľovania, používania a platby sa môžu v rámci nediskriminačného prístupu líšiť;</w:t>
            </w:r>
          </w:p>
          <w:p w:rsidR="00EC4F61" w:rsidRPr="00EC4F61" w:rsidP="00EC4F61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D5EA6" w:rsidRPr="00E408FD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ZoE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EC4F6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8469C">
              <w:rPr>
                <w:rFonts w:ascii="Times New Roman" w:hAnsi="Times New Roman"/>
              </w:rPr>
              <w:t xml:space="preserve">§ </w:t>
            </w:r>
            <w:r w:rsidR="00EC4F61">
              <w:rPr>
                <w:rFonts w:ascii="Times New Roman" w:hAnsi="Times New Roman"/>
              </w:rPr>
              <w:t>2</w:t>
            </w:r>
            <w:r w:rsidR="0064018A">
              <w:rPr>
                <w:rFonts w:ascii="Times New Roman" w:hAnsi="Times New Roman"/>
              </w:rPr>
              <w:t xml:space="preserve"> </w:t>
            </w:r>
            <w:r w:rsidR="00EC4F61">
              <w:rPr>
                <w:rFonts w:ascii="Times New Roman" w:hAnsi="Times New Roman"/>
              </w:rPr>
              <w:t>písm. b)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F61" w:rsidRPr="00EC4F61" w:rsidP="00EC4F61">
            <w:pPr>
              <w:widowControl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4F6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V § 2 sa písmeno b) dopĺňa dvadsiatym deviatym bodom až tridsiatym druhým bodom, ktoré znejú:</w:t>
            </w:r>
          </w:p>
          <w:p w:rsidR="00EC4F61" w:rsidRPr="00EC4F61" w:rsidP="00EC4F61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4F6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„29. elektrickým vozidlom motorové vozidlo vybavené hnacou jednotkou, ktorá sa skladá minimálne z jedného neperiférneho elektrického motora ako meniča energie s nabíjateľným systémom ukladania elektriny, ktorý možno externe nabíjať,</w:t>
            </w:r>
          </w:p>
          <w:p w:rsidR="00EC4F61" w:rsidRPr="00EC4F61" w:rsidP="00EC4F61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4F6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30. nabíjacím bodom rozhranie, ktoré v určitom čase umožňuje nabíjanie jedného elektrického vozidla elektrinou alebo výmenu batérie jedného elektrického vozidla,</w:t>
            </w:r>
          </w:p>
          <w:p w:rsidR="00EC4F61" w:rsidRPr="00EC4F61" w:rsidP="00EC4F61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4F6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31. nabíjacou stanicou jeden alebo viacero nabíjacích bodov,</w:t>
            </w:r>
          </w:p>
          <w:p w:rsidR="00EC4F61" w:rsidRPr="00EC4F61" w:rsidP="00EC4F61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C4F6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32. verejne prístupnou nabíjacou stanicou nabíjacia stanica, ku ktorej je zabezpečený nediskriminačný prístup všetkým používateľom; nediskriminačný prístup môže zahŕňať rôzne spôsoby autentifikácie a platby,“.</w:t>
            </w:r>
          </w:p>
          <w:p w:rsidR="005D5EA6" w:rsidRPr="00E408FD" w:rsidP="003C52F9">
            <w:pPr>
              <w:widowControl w:val="0"/>
              <w:bidi w:val="0"/>
              <w:spacing w:after="0" w:line="240" w:lineRule="auto"/>
              <w:ind w:left="12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08469C">
              <w:rPr>
                <w:rFonts w:ascii="Times New Roman" w:hAnsi="Times New Roman"/>
              </w:rPr>
              <w:t>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D5EA6" w:rsidRPr="00E408FD" w:rsidP="0056013F">
            <w:pPr>
              <w:pStyle w:val="Normlny"/>
              <w:bidi w:val="0"/>
              <w:spacing w:after="0" w:line="240" w:lineRule="auto"/>
              <w:ind w:right="-43"/>
              <w:jc w:val="center"/>
              <w:rPr>
                <w:rFonts w:ascii="Times New Roman" w:hAnsi="Times New Roman"/>
              </w:rPr>
            </w:pPr>
          </w:p>
        </w:tc>
      </w:tr>
    </w:tbl>
    <w:p w:rsidR="00076A83" w:rsidRPr="0057707F" w:rsidP="00076A83">
      <w:pPr>
        <w:bidi w:val="0"/>
        <w:rPr>
          <w:rFonts w:ascii="Times New Roman" w:hAnsi="Times New Roman"/>
        </w:rPr>
      </w:pPr>
    </w:p>
    <w:p w:rsidR="00076A83" w:rsidRPr="0057707F" w:rsidP="00076A83">
      <w:pPr>
        <w:bidi w:val="0"/>
        <w:rPr>
          <w:rFonts w:ascii="Times New Roman" w:hAnsi="Times New Roman"/>
        </w:rPr>
      </w:pPr>
    </w:p>
    <w:tbl>
      <w:tblPr>
        <w:tblStyle w:val="TableNormal"/>
        <w:tblW w:w="15730" w:type="dxa"/>
        <w:tblCellMar>
          <w:left w:w="7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(1):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(3):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(5):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76A83" w:rsidRPr="0057707F" w:rsidP="0056013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V stĺpci (7):</w:t>
            </w:r>
          </w:p>
          <w:p w:rsidR="00076A83" w:rsidRPr="0057707F" w:rsidP="00106E95">
            <w:pPr>
              <w:bidi w:val="0"/>
              <w:spacing w:after="0" w:line="240" w:lineRule="auto"/>
              <w:ind w:left="290" w:right="706" w:hanging="290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076A83" w:rsidRPr="0057707F" w:rsidP="00106E95">
            <w:pPr>
              <w:bidi w:val="0"/>
              <w:spacing w:after="0" w:line="240" w:lineRule="auto"/>
              <w:ind w:right="706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076A83" w:rsidRPr="0057707F" w:rsidP="00106E95">
            <w:pPr>
              <w:pStyle w:val="BodyTextIndent2"/>
              <w:bidi w:val="0"/>
              <w:spacing w:line="240" w:lineRule="auto"/>
              <w:ind w:left="0" w:right="706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 xml:space="preserve">Ž – žiadna zhoda (ak nebola dosiahnutá ani úplná ani čiastočná zhoda alebo  </w:t>
              <w:br/>
              <w:t xml:space="preserve">       k prebratiu dôjde v budúcnosti)</w:t>
            </w:r>
          </w:p>
          <w:p w:rsidR="00076A83" w:rsidRPr="0057707F" w:rsidP="00106E95">
            <w:pPr>
              <w:bidi w:val="0"/>
              <w:spacing w:after="0" w:line="240" w:lineRule="auto"/>
              <w:ind w:left="290" w:right="706" w:hanging="290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076A83" w:rsidRPr="0057707F" w:rsidP="00076A83">
      <w:pPr>
        <w:bidi w:val="0"/>
        <w:rPr>
          <w:rFonts w:ascii="Times New Roman" w:hAnsi="Times New Roman"/>
        </w:rPr>
      </w:pPr>
    </w:p>
    <w:tbl>
      <w:tblPr>
        <w:tblStyle w:val="TableNormal"/>
        <w:tblW w:w="15472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35"/>
        <w:gridCol w:w="14337"/>
      </w:tblGrid>
      <w:tr>
        <w:tblPrEx>
          <w:tblW w:w="15472" w:type="dxa"/>
          <w:tblInd w:w="-7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  <w:trHeight w:val="240"/>
        </w:trPr>
        <w:tc>
          <w:tcPr>
            <w:tcW w:w="154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3C52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70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Zoznam všeobecne záväzných právnych predpisov preberajúcich smernicu 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20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1</w:t>
            </w:r>
            <w:r w:rsidR="003C52F9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4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/</w:t>
            </w:r>
            <w:r w:rsidR="003C52F9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94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/E</w:t>
            </w:r>
            <w:r w:rsidR="003C52F9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Ú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 xml:space="preserve"> z 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2</w:t>
            </w:r>
            <w:r w:rsidR="003C52F9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2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októb</w:t>
            </w:r>
            <w:r w:rsidR="00443B4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r</w:t>
            </w:r>
            <w:r w:rsidRPr="0057707F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a 20</w:t>
            </w:r>
            <w:r w:rsidR="007972AB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1</w:t>
            </w:r>
            <w:r w:rsidR="003C52F9"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>
        <w:tblPrEx>
          <w:tblW w:w="15472" w:type="dxa"/>
          <w:tblInd w:w="-74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184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57707F" w:rsidP="005601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07F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56013F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57707F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5472" w:type="dxa"/>
          <w:tblInd w:w="-74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240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6A83" w:rsidRPr="0057707F" w:rsidP="00076A83">
            <w:pPr>
              <w:numPr>
                <w:numId w:val="2"/>
              </w:num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76A83" w:rsidRPr="0057707F" w:rsidP="0056013F">
            <w:pPr>
              <w:tabs>
                <w:tab w:val="left" w:pos="303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Zákon č. 251/2012 Z. z.</w:t>
            </w:r>
            <w:r w:rsidRPr="0057707F">
              <w:rPr>
                <w:rFonts w:ascii="Times New Roman" w:hAnsi="Times New Roman"/>
                <w:sz w:val="20"/>
                <w:szCs w:val="20"/>
              </w:rPr>
              <w:t xml:space="preserve"> o energetike a o zmene a doplnení niektorých zákonov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</w:tc>
      </w:tr>
    </w:tbl>
    <w:p w:rsidR="0093203B" w:rsidP="00E012C1">
      <w:pPr>
        <w:bidi w:val="0"/>
        <w:rPr>
          <w:rFonts w:ascii="Times New Roman" w:hAnsi="Times New Roman"/>
        </w:rPr>
      </w:pPr>
    </w:p>
    <w:sectPr w:rsidSect="00076A83">
      <w:footerReference w:type="default" r:id="rId6"/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EUAlbertina">
    <w:altName w:val="EU Albertina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86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24CB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7486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F017F7"/>
    <w:multiLevelType w:val="singleLevel"/>
    <w:tmpl w:val="0434A568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371"/>
        </w:tabs>
        <w:ind w:left="3371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1D4B6F50"/>
    <w:multiLevelType w:val="hybridMultilevel"/>
    <w:tmpl w:val="DD72F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FF1DAD"/>
    <w:multiLevelType w:val="hybridMultilevel"/>
    <w:tmpl w:val="D480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AE5DD3"/>
    <w:multiLevelType w:val="hybridMultilevel"/>
    <w:tmpl w:val="D480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4711832"/>
    <w:multiLevelType w:val="hybridMultilevel"/>
    <w:tmpl w:val="DD72F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rawingGridHorizontalSpacing w:val="110"/>
  <w:displayHorizontalDrawingGridEvery w:val="2"/>
  <w:characterSpacingControl w:val="doNotCompress"/>
  <w:compat/>
  <w:rsids>
    <w:rsidRoot w:val="00076A83"/>
    <w:rsid w:val="00076A83"/>
    <w:rsid w:val="00077578"/>
    <w:rsid w:val="0008469C"/>
    <w:rsid w:val="00106E95"/>
    <w:rsid w:val="0020684B"/>
    <w:rsid w:val="0023207B"/>
    <w:rsid w:val="003C52F9"/>
    <w:rsid w:val="00443B4F"/>
    <w:rsid w:val="004A02A2"/>
    <w:rsid w:val="0056013F"/>
    <w:rsid w:val="0057707F"/>
    <w:rsid w:val="005D5EA6"/>
    <w:rsid w:val="005E6E5F"/>
    <w:rsid w:val="00607FC1"/>
    <w:rsid w:val="0064018A"/>
    <w:rsid w:val="0078690B"/>
    <w:rsid w:val="007972AB"/>
    <w:rsid w:val="0093203B"/>
    <w:rsid w:val="00B24CBD"/>
    <w:rsid w:val="00B40E1D"/>
    <w:rsid w:val="00B81D69"/>
    <w:rsid w:val="00D7486E"/>
    <w:rsid w:val="00E012C1"/>
    <w:rsid w:val="00E408FD"/>
    <w:rsid w:val="00E66911"/>
    <w:rsid w:val="00EC4F61"/>
    <w:rsid w:val="00F911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6A83"/>
    <w:pPr>
      <w:keepNext/>
      <w:numPr>
        <w:numId w:val="1"/>
      </w:numPr>
      <w:tabs>
        <w:tab w:val="num" w:pos="567"/>
      </w:tabs>
      <w:ind w:left="567" w:hanging="567"/>
      <w:jc w:val="center"/>
      <w:outlineLvl w:val="0"/>
    </w:pPr>
    <w:rPr>
      <w:rFonts w:ascii="Times New Roman" w:eastAsia="Arial Unicode MS" w:hAnsi="Times New Roman"/>
      <w:b/>
      <w:sz w:val="28"/>
      <w:szCs w:val="20"/>
    </w:rPr>
  </w:style>
  <w:style w:type="paragraph" w:styleId="Heading2">
    <w:name w:val="heading 2"/>
    <w:aliases w:val="Úloha"/>
    <w:basedOn w:val="Normal"/>
    <w:next w:val="Normal"/>
    <w:link w:val="Nadpis2Char"/>
    <w:qFormat/>
    <w:rsid w:val="00076A83"/>
    <w:pPr>
      <w:keepNext/>
      <w:numPr>
        <w:ilvl w:val="1"/>
        <w:numId w:val="1"/>
      </w:numPr>
      <w:tabs>
        <w:tab w:val="num" w:pos="3371"/>
      </w:tabs>
      <w:spacing w:before="240" w:after="60"/>
      <w:ind w:left="3371" w:hanging="851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076A83"/>
    <w:pPr>
      <w:keepNext/>
      <w:numPr>
        <w:ilvl w:val="2"/>
        <w:numId w:val="1"/>
      </w:numPr>
      <w:tabs>
        <w:tab w:val="num" w:pos="1418"/>
      </w:tabs>
      <w:spacing w:before="240" w:after="60"/>
      <w:ind w:left="1418" w:hanging="851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qFormat/>
    <w:rsid w:val="00076A83"/>
    <w:pPr>
      <w:keepNext/>
      <w:numPr>
        <w:ilvl w:val="3"/>
        <w:numId w:val="1"/>
      </w:numPr>
      <w:tabs>
        <w:tab w:val="num" w:pos="1418"/>
      </w:tabs>
      <w:spacing w:before="240" w:after="60"/>
      <w:ind w:left="1418" w:hanging="1418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076A83"/>
    <w:pPr>
      <w:keepNext/>
      <w:numPr>
        <w:ilvl w:val="4"/>
        <w:numId w:val="1"/>
      </w:numPr>
      <w:tabs>
        <w:tab w:val="num" w:pos="3240"/>
      </w:tabs>
      <w:ind w:left="2880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qFormat/>
    <w:rsid w:val="00076A83"/>
    <w:pPr>
      <w:keepNext/>
      <w:numPr>
        <w:ilvl w:val="5"/>
        <w:numId w:val="1"/>
      </w:numPr>
      <w:tabs>
        <w:tab w:val="num" w:pos="3960"/>
      </w:tabs>
      <w:ind w:left="3600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Nadpis7Char"/>
    <w:uiPriority w:val="99"/>
    <w:qFormat/>
    <w:rsid w:val="00076A83"/>
    <w:pPr>
      <w:keepNext/>
      <w:numPr>
        <w:ilvl w:val="6"/>
        <w:numId w:val="1"/>
      </w:numPr>
      <w:tabs>
        <w:tab w:val="num" w:pos="4680"/>
      </w:tabs>
      <w:ind w:left="4320"/>
      <w:jc w:val="both"/>
      <w:outlineLvl w:val="6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76A83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aliases w:val="Úloha Char"/>
    <w:basedOn w:val="DefaultParagraphFont"/>
    <w:link w:val="Heading2"/>
    <w:locked/>
    <w:rsid w:val="00076A83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locked/>
    <w:rsid w:val="00076A83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locked/>
    <w:rsid w:val="00076A83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locked/>
    <w:rsid w:val="00076A8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locked/>
    <w:rsid w:val="00076A83"/>
    <w:rPr>
      <w:rFonts w:ascii="Times New Roman" w:hAnsi="Times New Roman" w:cs="Times New Roman"/>
      <w:b/>
      <w:bCs/>
      <w:sz w:val="24"/>
      <w:szCs w:val="24"/>
      <w:u w:val="single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076A83"/>
    <w:rPr>
      <w:rFonts w:ascii="Times New Roman" w:hAnsi="Times New Roman" w:cs="Times New Roman"/>
      <w:b/>
      <w:sz w:val="26"/>
      <w:szCs w:val="2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076A8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locked/>
    <w:rsid w:val="00076A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076A83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76A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uiPriority w:val="22"/>
    <w:qFormat/>
    <w:rsid w:val="00076A83"/>
    <w:rPr>
      <w:b/>
    </w:rPr>
  </w:style>
  <w:style w:type="paragraph" w:customStyle="1" w:styleId="Normlny">
    <w:name w:val="_Normálny"/>
    <w:basedOn w:val="Normal"/>
    <w:rsid w:val="00076A83"/>
    <w:pPr>
      <w:autoSpaceDE w:val="0"/>
      <w:autoSpaceDN w:val="0"/>
      <w:jc w:val="left"/>
    </w:pPr>
    <w:rPr>
      <w:sz w:val="20"/>
      <w:szCs w:val="20"/>
      <w:lang w:eastAsia="en-US"/>
    </w:rPr>
  </w:style>
  <w:style w:type="paragraph" w:customStyle="1" w:styleId="abc">
    <w:name w:val="abc"/>
    <w:basedOn w:val="Normal"/>
    <w:rsid w:val="00076A83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sz w:val="20"/>
      <w:szCs w:val="20"/>
      <w:lang w:eastAsia="en-US"/>
    </w:rPr>
  </w:style>
  <w:style w:type="paragraph" w:customStyle="1" w:styleId="Point0">
    <w:name w:val="Point 0"/>
    <w:basedOn w:val="Normal"/>
    <w:uiPriority w:val="99"/>
    <w:rsid w:val="00076A83"/>
    <w:pPr>
      <w:spacing w:before="120" w:after="120" w:line="360" w:lineRule="auto"/>
      <w:ind w:left="850" w:hanging="850"/>
      <w:jc w:val="left"/>
    </w:pPr>
    <w:rPr>
      <w:lang w:eastAsia="en-US"/>
    </w:rPr>
  </w:style>
  <w:style w:type="paragraph" w:customStyle="1" w:styleId="Tiret2">
    <w:name w:val="Tiret 2"/>
    <w:basedOn w:val="Normal"/>
    <w:rsid w:val="00076A83"/>
    <w:pPr>
      <w:numPr>
        <w:numId w:val="4"/>
      </w:numPr>
      <w:tabs>
        <w:tab w:val="num" w:pos="1984"/>
      </w:tabs>
      <w:spacing w:before="120" w:after="120" w:line="360" w:lineRule="auto"/>
      <w:ind w:left="1984" w:hanging="567"/>
      <w:jc w:val="left"/>
    </w:pPr>
    <w:rPr>
      <w:lang w:eastAsia="en-US"/>
    </w:rPr>
  </w:style>
  <w:style w:type="paragraph" w:customStyle="1" w:styleId="Point1">
    <w:name w:val="Point 1"/>
    <w:basedOn w:val="Normal"/>
    <w:link w:val="Point1Char"/>
    <w:rsid w:val="00076A83"/>
    <w:pPr>
      <w:spacing w:before="120" w:after="120" w:line="360" w:lineRule="auto"/>
      <w:ind w:left="1417" w:hanging="567"/>
      <w:jc w:val="left"/>
    </w:pPr>
    <w:rPr>
      <w:lang w:eastAsia="en-US"/>
    </w:rPr>
  </w:style>
  <w:style w:type="paragraph" w:customStyle="1" w:styleId="ManualNumPar1">
    <w:name w:val="Manual NumPar 1"/>
    <w:basedOn w:val="Normal"/>
    <w:next w:val="Normal"/>
    <w:rsid w:val="00076A83"/>
    <w:pPr>
      <w:spacing w:before="120" w:after="120" w:line="360" w:lineRule="auto"/>
      <w:ind w:left="850" w:hanging="850"/>
      <w:jc w:val="left"/>
    </w:pPr>
    <w:rPr>
      <w:lang w:eastAsia="en-US"/>
    </w:rPr>
  </w:style>
  <w:style w:type="character" w:customStyle="1" w:styleId="Point1Char">
    <w:name w:val="Point 1 Char"/>
    <w:link w:val="Point1"/>
    <w:locked/>
    <w:rsid w:val="00076A83"/>
    <w:rPr>
      <w:rFonts w:ascii="Times New Roman" w:hAnsi="Times New Roman" w:cs="Times New Roman"/>
      <w:sz w:val="24"/>
    </w:rPr>
  </w:style>
  <w:style w:type="paragraph" w:customStyle="1" w:styleId="CM1">
    <w:name w:val="CM1"/>
    <w:basedOn w:val="Normal"/>
    <w:next w:val="Normal"/>
    <w:uiPriority w:val="99"/>
    <w:rsid w:val="0064018A"/>
    <w:pPr>
      <w:autoSpaceDE w:val="0"/>
      <w:autoSpaceDN w:val="0"/>
      <w:adjustRightInd w:val="0"/>
      <w:jc w:val="left"/>
    </w:pPr>
    <w:rPr>
      <w:rFonts w:ascii="EUAlbertina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64018A"/>
    <w:pPr>
      <w:autoSpaceDE w:val="0"/>
      <w:autoSpaceDN w:val="0"/>
      <w:adjustRightInd w:val="0"/>
      <w:jc w:val="left"/>
    </w:pPr>
    <w:rPr>
      <w:rFonts w:ascii="EUAlbertina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64018A"/>
    <w:pPr>
      <w:autoSpaceDE w:val="0"/>
      <w:autoSpaceDN w:val="0"/>
      <w:adjustRightInd w:val="0"/>
      <w:jc w:val="left"/>
    </w:pPr>
    <w:rPr>
      <w:rFonts w:ascii="EUAlbertina" w:hAnsi="EUAlbertina" w:cstheme="minorBidi"/>
      <w:lang w:eastAsia="en-US"/>
    </w:rPr>
  </w:style>
  <w:style w:type="paragraph" w:styleId="Header">
    <w:name w:val="header"/>
    <w:basedOn w:val="Normal"/>
    <w:link w:val="HlavikaChar"/>
    <w:uiPriority w:val="99"/>
    <w:semiHidden/>
    <w:unhideWhenUsed/>
    <w:rsid w:val="00D748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7486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7486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7486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tab_zhody"/>
    <f:field ref="objsubject" par="" edit="true" text=""/>
    <f:field ref="objcreatedby" par="" text="Fscclone"/>
    <f:field ref="objcreatedat" par="" text="23.12.2017 1:15:51"/>
    <f:field ref="objchangedby" par="" text="Fscclone"/>
    <f:field ref="objmodifiedat" par="" text="23.12.2017 1:16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574A82C-05BE-49F5-B491-12FF5D8D2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465</Words>
  <Characters>2656</Characters>
  <Application>Microsoft Office Word</Application>
  <DocSecurity>0</DocSecurity>
  <Lines>0</Lines>
  <Paragraphs>0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Milan</dc:creator>
  <cp:lastModifiedBy>franczel</cp:lastModifiedBy>
  <cp:revision>2</cp:revision>
  <cp:lastPrinted>2017-12-04T08:40:00Z</cp:lastPrinted>
  <dcterms:created xsi:type="dcterms:W3CDTF">2018-02-23T12:26:00Z</dcterms:created>
  <dcterms:modified xsi:type="dcterms:W3CDTF">2018-02-23T12:26:00Z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COO.2145.1000.3.2340149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LP/2017/883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hospodárstva Slovenskej republiky</vt:lpwstr>
  </property>
  <property fmtid="{D5CDD505-2E9C-101B-9397-08002B2CF9AE}" pid="122" name="FSC#SKEDITIONSLOVLEX@103.510:funkciaZodpPredAkuzativ">
    <vt:lpwstr>ministerovi hospodárstva Slovenskej republiky</vt:lpwstr>
  </property>
  <property fmtid="{D5CDD505-2E9C-101B-9397-08002B2CF9AE}" pid="123" name="FSC#SKEDITIONSLOVLEX@103.510:funkciaZodpPredDativ">
    <vt:lpwstr>ministera hospodárstva Slovenskej republiky</vt:lpwstr>
  </property>
  <property fmtid="{D5CDD505-2E9C-101B-9397-08002B2CF9AE}" pid="124" name="FSC#SKEDITIONSLOVLEX@103.510:legoblast">
    <vt:lpwstr>Energetika a priemysel</vt:lpwstr>
  </property>
  <property fmtid="{D5CDD505-2E9C-101B-9397-08002B2CF9AE}" pid="125" name="FSC#SKEDITIONSLOVLEX@103.510:nazovpredpis">
    <vt:lpwstr>, ktorým sa mení a dopĺňa zákon č. 251/2012 Z. z. o energetike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251/2012 Z. z. o energetike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Marek Franczel</vt:lpwstr>
  </property>
  <property fmtid="{D5CDD505-2E9C-101B-9397-08002B2CF9AE}" pid="138" name="FSC#SKEDITIONSLOVLEX@103.510:predkladateliaObalSD">
    <vt:lpwstr>Ing. Peter Žiga
minister hospodárstva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27227/2017-2062-50709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Tabuľka zhody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23. 12. 2017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hospodárstva Slovenskej republiky</vt:lpwstr>
  </property>
  <property fmtid="{D5CDD505-2E9C-101B-9397-08002B2CF9AE}" pid="152" name="FSC#SKEDITIONSLOVLEX@103.510:zodppredkladatel">
    <vt:lpwstr>Ing. Peter Žiga</vt:lpwstr>
  </property>
</Properties>
</file>