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99"/>
        <w:gridCol w:w="3421"/>
        <w:gridCol w:w="900"/>
        <w:gridCol w:w="1080"/>
        <w:gridCol w:w="900"/>
        <w:gridCol w:w="3929"/>
        <w:gridCol w:w="931"/>
        <w:gridCol w:w="3240"/>
      </w:tblGrid>
      <w:tr>
        <w:tblPrEx>
          <w:tblW w:w="153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153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Heading1"/>
              <w:numPr>
                <w:numId w:val="0"/>
              </w:numPr>
              <w:tabs>
                <w:tab w:val="clear" w:pos="567"/>
              </w:tabs>
              <w:bidi w:val="0"/>
              <w:spacing w:after="0" w:line="240" w:lineRule="auto"/>
              <w:ind w:firstLine="0"/>
              <w:jc w:val="left"/>
              <w:rPr>
                <w:sz w:val="20"/>
              </w:rPr>
            </w:pPr>
            <w:r w:rsidRPr="00E408FD">
              <w:rPr>
                <w:rFonts w:hint="default"/>
                <w:caps/>
                <w:sz w:val="20"/>
              </w:rPr>
              <w:t>Tabuľ</w:t>
            </w:r>
            <w:r w:rsidRPr="00E408FD">
              <w:rPr>
                <w:rFonts w:hint="default"/>
                <w:caps/>
                <w:sz w:val="20"/>
              </w:rPr>
              <w:t xml:space="preserve">ka </w:t>
            </w:r>
            <w:r w:rsidRPr="00E408FD">
              <w:rPr>
                <w:sz w:val="20"/>
              </w:rPr>
              <w:t xml:space="preserve">ZHODY </w:t>
            </w:r>
          </w:p>
          <w:p w:rsidR="00076A83" w:rsidRPr="00E408FD" w:rsidP="0007757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08FD">
              <w:rPr>
                <w:rFonts w:ascii="Times New Roman" w:hAnsi="Times New Roman"/>
                <w:b/>
                <w:bCs/>
                <w:sz w:val="20"/>
                <w:szCs w:val="20"/>
              </w:rPr>
              <w:t>NA ÚČELY OZNÁ</w:t>
            </w:r>
            <w:r w:rsidR="00443B4F">
              <w:rPr>
                <w:rFonts w:ascii="Times New Roman" w:hAnsi="Times New Roman"/>
                <w:b/>
                <w:bCs/>
                <w:sz w:val="20"/>
                <w:szCs w:val="20"/>
              </w:rPr>
              <w:t>MENIA TRANSPOZÍCIE SMERNICE 20</w:t>
            </w:r>
            <w:r w:rsidR="00077578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443B4F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="00077578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  <w:r w:rsidRPr="00E408FD">
              <w:rPr>
                <w:rFonts w:ascii="Times New Roman" w:hAnsi="Times New Roman"/>
                <w:b/>
                <w:bCs/>
                <w:sz w:val="20"/>
                <w:szCs w:val="20"/>
              </w:rPr>
              <w:t>/ES</w:t>
            </w: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  <w:jc w:val="center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077578" w:rsidRPr="00443B4F" w:rsidP="00443B4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077578">
              <w:rPr>
                <w:rFonts w:ascii="Times New Roman" w:hAnsi="Times New Roman"/>
                <w:b/>
                <w:sz w:val="20"/>
                <w:szCs w:val="20"/>
              </w:rPr>
              <w:t>mernic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077578">
              <w:rPr>
                <w:rFonts w:ascii="Times New Roman" w:hAnsi="Times New Roman"/>
                <w:b/>
                <w:sz w:val="20"/>
                <w:szCs w:val="20"/>
              </w:rPr>
              <w:t xml:space="preserve"> Európskeho parlamentu a Rady 2012/27/EÚ z 25. októbra 2012 o energetickej efektívnosti, ktorou sa menia a dopĺňajú smernice 2009/125/ES a 2010/30/EÚ a ktorou sa zrušujú smernice 2004/8/ES a 2006/32/ES</w:t>
            </w:r>
          </w:p>
          <w:p w:rsidR="00076A83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076A83" w:rsidRPr="00E408FD" w:rsidP="0056013F">
            <w:pPr>
              <w:tabs>
                <w:tab w:val="left" w:pos="303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Návrh zákona, ktorým sa mení a dopĺňa zákon č. 251/2012 Z. z. o energetike a o zmene a doplnení niektorých zákonov v znení neskorších predpisov (ďalej len „Návrh ZoE“).</w:t>
            </w:r>
          </w:p>
          <w:p w:rsidR="00076A83" w:rsidRPr="00E408FD" w:rsidP="0056013F">
            <w:pPr>
              <w:tabs>
                <w:tab w:val="left" w:pos="3030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BodyText2"/>
              <w:bidi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BodyText2"/>
              <w:bidi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Článok</w:t>
            </w:r>
          </w:p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(Č, O,</w:t>
            </w:r>
          </w:p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V, P)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Text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Spôsob transp.</w:t>
            </w:r>
          </w:p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(N, O, D, n.a.)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Číslo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Článok</w:t>
            </w:r>
          </w:p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 xml:space="preserve"> (Č, §, O, V, P)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Text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Zhoda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Poznámky</w:t>
            </w:r>
          </w:p>
          <w:p w:rsidR="00076A83" w:rsidRPr="00E408FD" w:rsidP="0056013F">
            <w:pPr>
              <w:pStyle w:val="Normlny"/>
              <w:bidi w:val="0"/>
              <w:spacing w:after="0" w:line="240" w:lineRule="auto"/>
              <w:ind w:right="-43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(pri návrhu predpisu – predpokladaný dátum účinnosti**)</w:t>
            </w: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5EA6" w:rsidP="0056013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="0064018A">
              <w:rPr>
                <w:rFonts w:ascii="Times New Roman" w:hAnsi="Times New Roman"/>
              </w:rPr>
              <w:t>Čl. 9</w:t>
            </w:r>
          </w:p>
          <w:p w:rsidR="005D5EA6" w:rsidRPr="00E408FD" w:rsidP="0056013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="0064018A">
              <w:rPr>
                <w:rFonts w:ascii="Times New Roman" w:hAnsi="Times New Roman"/>
              </w:rPr>
              <w:t>O: 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018A" w:rsidRPr="0064018A" w:rsidP="0064018A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Členské štáty zabezpečia, aby sa v miere, v akej je to technicky možné, finančne rozumné a primerané vzhľadom na možné úspory energie, poskytli koncovým odberateľom elektriny, zemného plynu, centralizovaného zásobovania teplom, centralizovaného zásobovania chladom a teplej úžitkovej vody individuálne meradlá za konkurencieschopné ceny, ktoré presne zobrazujú skutočnú spotrebu energie koncových odberateľov a poskytujú informácie o skutočnej dobe využívania. </w:t>
            </w:r>
          </w:p>
          <w:p w:rsidR="0064018A" w:rsidRPr="0064018A" w:rsidP="0064018A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Takéto individuálne meradlo za konkurencieschopné ceny sa poskytne vždy: </w:t>
            </w:r>
          </w:p>
          <w:p w:rsidR="0064018A" w:rsidRPr="0064018A" w:rsidP="0064018A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a) keď sa nahrádza existujúce meradlo, pokiaľ je to technicky možné a nákladovo efektívne so zreteľom na odhadované potenciálne dlhodobé úspory; </w:t>
            </w:r>
          </w:p>
          <w:p w:rsidR="00443B4F" w:rsidRPr="0064018A" w:rsidP="0064018A">
            <w:pPr>
              <w:pStyle w:val="ManualNumPar1"/>
              <w:bidi w:val="0"/>
              <w:spacing w:before="0"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018A" w:rsidR="0064018A">
              <w:rPr>
                <w:rFonts w:ascii="Times New Roman" w:hAnsi="Times New Roman"/>
                <w:color w:val="000000"/>
                <w:sz w:val="20"/>
                <w:szCs w:val="20"/>
              </w:rPr>
              <w:t>b) pri zriadení nového pripojenia v novej budove alebo pri uskutočnení významnej obnovy budovy, ako sa ustanovuje v smernici 2010/31/EÚ.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D5EA6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5EA6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5EA6" w:rsidRPr="00E408FD" w:rsidP="00443B4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08469C">
              <w:rPr>
                <w:rFonts w:ascii="Times New Roman" w:hAnsi="Times New Roman"/>
              </w:rPr>
              <w:t xml:space="preserve">§ </w:t>
            </w:r>
            <w:r w:rsidR="0064018A">
              <w:rPr>
                <w:rFonts w:ascii="Times New Roman" w:hAnsi="Times New Roman"/>
              </w:rPr>
              <w:t>76 ods. 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018A" w:rsidRPr="0064018A" w:rsidP="0064018A">
            <w:pPr>
              <w:widowControl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64018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V § 76 odsek 7 znie: </w:t>
            </w:r>
          </w:p>
          <w:p w:rsidR="0064018A" w:rsidRPr="0064018A" w:rsidP="0064018A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64018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„(7) Dodávateľ plynu fakturuje dodané množstvo plynu za 12 po sebe nasledujúcich mesiacov na základe údajov oznámených prevádzkovateľom distribučnej siete podľa odseku 2 najneskôr nasledujúci kalendárny mesiac po ich oznámení prevádzkovateľom distribučnej siete. V  obdobiach medzi termínmi pravidelných odčítaní skutočne nameraných údajov o dodávke plynu podľa odseku 2 dodávateľ plynu môže určiť množstvo dodaného plynu na účely vystavenia faktúry na základe typových diagramov dodávky, ak nemá k dispozícii údaje podľa stavu určeného meradla vzájomne odsúhlaseného dodávateľom plynu a odberateľom plynu. Dodávateľ plynu je povinný v každej faktúre za dodávku plynu uviesť číslo odberného miesta, pod ktorým je odberné miesto evidované u príslušného prevádzkovateľa distribučnej siete.“.</w:t>
            </w:r>
          </w:p>
          <w:p w:rsidR="005D5EA6" w:rsidRPr="00E408FD" w:rsidP="007972AB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5EA6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08469C">
              <w:rPr>
                <w:rFonts w:ascii="Times New Roman" w:hAnsi="Times New Roman"/>
              </w:rPr>
              <w:t>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D5EA6" w:rsidRPr="00E408FD" w:rsidP="0056013F">
            <w:pPr>
              <w:pStyle w:val="Normlny"/>
              <w:bidi w:val="0"/>
              <w:spacing w:after="0" w:line="240" w:lineRule="auto"/>
              <w:ind w:right="-43"/>
              <w:jc w:val="center"/>
              <w:rPr>
                <w:rFonts w:ascii="Times New Roman" w:hAnsi="Times New Roman"/>
              </w:rPr>
            </w:pPr>
          </w:p>
        </w:tc>
      </w:tr>
    </w:tbl>
    <w:p w:rsidR="00076A83" w:rsidRPr="0057707F" w:rsidP="00076A83">
      <w:pPr>
        <w:bidi w:val="0"/>
        <w:rPr>
          <w:rFonts w:ascii="Times New Roman" w:hAnsi="Times New Roman"/>
        </w:rPr>
      </w:pPr>
      <w:bookmarkStart w:id="0" w:name="_GoBack"/>
      <w:bookmarkEnd w:id="0"/>
    </w:p>
    <w:p w:rsidR="00076A83" w:rsidRPr="0057707F" w:rsidP="00076A83">
      <w:pPr>
        <w:bidi w:val="0"/>
        <w:rPr>
          <w:rFonts w:ascii="Times New Roman" w:hAnsi="Times New Roman"/>
        </w:rPr>
      </w:pPr>
    </w:p>
    <w:tbl>
      <w:tblPr>
        <w:tblStyle w:val="TableNormal"/>
        <w:tblW w:w="15730" w:type="dxa"/>
        <w:tblCellMar>
          <w:left w:w="7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left w:w="7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76A83" w:rsidRPr="0057707F" w:rsidP="0056013F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57707F">
              <w:rPr>
                <w:rFonts w:ascii="Times New Roman" w:hAnsi="Times New Roman"/>
                <w:lang w:eastAsia="sk-SK"/>
              </w:rPr>
              <w:t>V stĺpci (1):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P – číslo (písmeno)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76A83" w:rsidRPr="0057707F" w:rsidP="0056013F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57707F">
              <w:rPr>
                <w:rFonts w:ascii="Times New Roman" w:hAnsi="Times New Roman"/>
                <w:lang w:eastAsia="sk-SK"/>
              </w:rPr>
              <w:t>V stĺpci (3):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76A83" w:rsidRPr="0057707F" w:rsidP="0056013F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57707F">
              <w:rPr>
                <w:rFonts w:ascii="Times New Roman" w:hAnsi="Times New Roman"/>
                <w:lang w:eastAsia="sk-SK"/>
              </w:rPr>
              <w:t>V stĺpci (5):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76A83" w:rsidRPr="0057707F" w:rsidP="0056013F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57707F">
              <w:rPr>
                <w:rFonts w:ascii="Times New Roman" w:hAnsi="Times New Roman"/>
                <w:lang w:eastAsia="sk-SK"/>
              </w:rPr>
              <w:t>V stĺpci (7):</w:t>
            </w:r>
          </w:p>
          <w:p w:rsidR="00076A83" w:rsidRPr="0057707F" w:rsidP="007E2F0A">
            <w:pPr>
              <w:bidi w:val="0"/>
              <w:spacing w:after="0" w:line="240" w:lineRule="auto"/>
              <w:ind w:left="290" w:right="422" w:hanging="290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:rsidR="00076A83" w:rsidRPr="0057707F" w:rsidP="007E2F0A">
            <w:pPr>
              <w:bidi w:val="0"/>
              <w:spacing w:after="0" w:line="240" w:lineRule="auto"/>
              <w:ind w:right="422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Č – čiastočná zhoda (ak minimálne jedna z podmienok úplnej zhody nie je splnená)</w:t>
            </w:r>
          </w:p>
          <w:p w:rsidR="00076A83" w:rsidRPr="0057707F" w:rsidP="007E2F0A">
            <w:pPr>
              <w:pStyle w:val="BodyTextIndent2"/>
              <w:bidi w:val="0"/>
              <w:spacing w:line="240" w:lineRule="auto"/>
              <w:ind w:left="0" w:right="422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 xml:space="preserve">Ž – žiadna zhoda (ak nebola dosiahnutá ani úplná ani čiastočná zhoda alebo  </w:t>
              <w:br/>
              <w:t xml:space="preserve">       k prebratiu dôjde v budúcnosti)</w:t>
            </w:r>
          </w:p>
          <w:p w:rsidR="00076A83" w:rsidRPr="0057707F" w:rsidP="007E2F0A">
            <w:pPr>
              <w:bidi w:val="0"/>
              <w:spacing w:after="0" w:line="240" w:lineRule="auto"/>
              <w:ind w:left="290" w:right="422" w:hanging="290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076A83" w:rsidRPr="0057707F" w:rsidP="00076A83">
      <w:pPr>
        <w:bidi w:val="0"/>
        <w:rPr>
          <w:rFonts w:ascii="Times New Roman" w:hAnsi="Times New Roman"/>
        </w:rPr>
      </w:pPr>
    </w:p>
    <w:tbl>
      <w:tblPr>
        <w:tblStyle w:val="TableNormal"/>
        <w:tblW w:w="15472" w:type="dxa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35"/>
        <w:gridCol w:w="14337"/>
      </w:tblGrid>
      <w:tr>
        <w:tblPrEx>
          <w:tblW w:w="15472" w:type="dxa"/>
          <w:tblInd w:w="-7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  <w:trHeight w:val="240"/>
        </w:trPr>
        <w:tc>
          <w:tcPr>
            <w:tcW w:w="154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57707F" w:rsidP="007972A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70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Zoznam všeobecne záväzných právnych predpisov preberajúcich smernicu </w:t>
            </w:r>
            <w:r w:rsidRPr="0057707F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20</w:t>
            </w:r>
            <w:r w:rsidR="007972AB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12</w:t>
            </w:r>
            <w:r w:rsidRPr="0057707F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/</w:t>
            </w:r>
            <w:r w:rsidR="007972AB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27</w:t>
            </w:r>
            <w:r w:rsidRPr="0057707F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 xml:space="preserve">/ES z </w:t>
            </w:r>
            <w:r w:rsidR="007972AB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25</w:t>
            </w:r>
            <w:r w:rsidRPr="0057707F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="007972AB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októb</w:t>
            </w:r>
            <w:r w:rsidR="00443B4F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r</w:t>
            </w:r>
            <w:r w:rsidRPr="0057707F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a 20</w:t>
            </w:r>
            <w:r w:rsidR="007972AB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>
        <w:tblPrEx>
          <w:tblW w:w="15472" w:type="dxa"/>
          <w:tblInd w:w="-742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184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57707F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Por. č.</w:t>
            </w:r>
          </w:p>
        </w:tc>
        <w:tc>
          <w:tcPr>
            <w:tcW w:w="1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57707F" w:rsidP="0056013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57707F">
              <w:rPr>
                <w:rFonts w:ascii="Times New Roman" w:hAnsi="Times New Roman"/>
                <w:lang w:eastAsia="sk-SK"/>
              </w:rPr>
              <w:t>Názov predpisu</w:t>
            </w:r>
          </w:p>
        </w:tc>
      </w:tr>
      <w:tr>
        <w:tblPrEx>
          <w:tblW w:w="15472" w:type="dxa"/>
          <w:tblInd w:w="-742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24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57707F" w:rsidP="00076A83">
            <w:pPr>
              <w:numPr>
                <w:numId w:val="2"/>
              </w:num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57707F" w:rsidP="0056013F">
            <w:pPr>
              <w:tabs>
                <w:tab w:val="left" w:pos="3030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Zákon č. 251/2012 Z. z.</w:t>
            </w:r>
            <w:r w:rsidRPr="0057707F">
              <w:rPr>
                <w:rFonts w:ascii="Times New Roman" w:hAnsi="Times New Roman"/>
                <w:sz w:val="20"/>
                <w:szCs w:val="20"/>
              </w:rPr>
              <w:t xml:space="preserve"> o energetike a o zmene a doplnení niektorých zákonov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 znení neskorších predpisov</w:t>
            </w:r>
          </w:p>
        </w:tc>
      </w:tr>
    </w:tbl>
    <w:p w:rsidR="0093203B" w:rsidP="00E012C1">
      <w:pPr>
        <w:bidi w:val="0"/>
        <w:rPr>
          <w:rFonts w:ascii="Times New Roman" w:hAnsi="Times New Roman"/>
        </w:rPr>
      </w:pPr>
    </w:p>
    <w:sectPr w:rsidSect="00076A83">
      <w:footerReference w:type="default" r:id="rId6"/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EUAlbertina">
    <w:altName w:val="EU Albertina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F65">
    <w:pPr>
      <w:pStyle w:val="Footer"/>
      <w:bidi w:val="0"/>
      <w:jc w:val="center"/>
      <w:rPr>
        <w:rFonts w:ascii="Times New Roman" w:hAnsi="Times New Roman"/>
      </w:rPr>
    </w:pPr>
    <w:r w:rsidR="0050051B">
      <w:rPr>
        <w:rFonts w:ascii="Times New Roman" w:hAnsi="Times New Roman"/>
      </w:rPr>
      <w:fldChar w:fldCharType="begin"/>
    </w:r>
    <w:r w:rsidR="0050051B">
      <w:rPr>
        <w:rFonts w:ascii="Times New Roman" w:hAnsi="Times New Roman"/>
      </w:rPr>
      <w:instrText xml:space="preserve"> PAGE   \* MERGEFORMAT </w:instrText>
    </w:r>
    <w:r w:rsidR="0050051B">
      <w:rPr>
        <w:rFonts w:ascii="Times New Roman" w:hAnsi="Times New Roman"/>
      </w:rPr>
      <w:fldChar w:fldCharType="separate"/>
    </w:r>
    <w:r w:rsidR="00AC2B14">
      <w:rPr>
        <w:rFonts w:ascii="Times New Roman" w:hAnsi="Times New Roman"/>
        <w:noProof/>
      </w:rPr>
      <w:t>2</w:t>
    </w:r>
    <w:r w:rsidR="0050051B">
      <w:rPr>
        <w:rFonts w:ascii="Times New Roman" w:hAnsi="Times New Roman"/>
      </w:rPr>
      <w:fldChar w:fldCharType="end"/>
    </w:r>
  </w:p>
  <w:p w:rsidR="00234F6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F017F7"/>
    <w:multiLevelType w:val="singleLevel"/>
    <w:tmpl w:val="0434A568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371"/>
        </w:tabs>
        <w:ind w:left="3371" w:hanging="851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1D4B6F50"/>
    <w:multiLevelType w:val="hybridMultilevel"/>
    <w:tmpl w:val="DD72F5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6FF1DAD"/>
    <w:multiLevelType w:val="hybridMultilevel"/>
    <w:tmpl w:val="D480E9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2AE5DD3"/>
    <w:multiLevelType w:val="hybridMultilevel"/>
    <w:tmpl w:val="D480E9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4711832"/>
    <w:multiLevelType w:val="hybridMultilevel"/>
    <w:tmpl w:val="DD72F5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drawingGridHorizontalSpacing w:val="110"/>
  <w:displayHorizontalDrawingGridEvery w:val="2"/>
  <w:characterSpacingControl w:val="doNotCompress"/>
  <w:compat/>
  <w:rsids>
    <w:rsidRoot w:val="00076A83"/>
    <w:rsid w:val="00076A83"/>
    <w:rsid w:val="00077578"/>
    <w:rsid w:val="0008469C"/>
    <w:rsid w:val="00234F65"/>
    <w:rsid w:val="00443B4F"/>
    <w:rsid w:val="004A02A2"/>
    <w:rsid w:val="0050051B"/>
    <w:rsid w:val="0056013F"/>
    <w:rsid w:val="00566A1E"/>
    <w:rsid w:val="0057707F"/>
    <w:rsid w:val="005D5EA6"/>
    <w:rsid w:val="005E6E5F"/>
    <w:rsid w:val="0064018A"/>
    <w:rsid w:val="007972AB"/>
    <w:rsid w:val="007E2F0A"/>
    <w:rsid w:val="0093203B"/>
    <w:rsid w:val="00AC2B14"/>
    <w:rsid w:val="00D97ACA"/>
    <w:rsid w:val="00E012C1"/>
    <w:rsid w:val="00E408FD"/>
    <w:rsid w:val="00E66911"/>
    <w:rsid w:val="00F911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A8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76A83"/>
    <w:pPr>
      <w:keepNext/>
      <w:numPr>
        <w:numId w:val="1"/>
      </w:numPr>
      <w:tabs>
        <w:tab w:val="num" w:pos="567"/>
      </w:tabs>
      <w:ind w:left="567" w:hanging="567"/>
      <w:jc w:val="center"/>
      <w:outlineLvl w:val="0"/>
    </w:pPr>
    <w:rPr>
      <w:rFonts w:ascii="Times New Roman" w:eastAsia="Arial Unicode MS" w:hAnsi="Times New Roman"/>
      <w:b/>
      <w:sz w:val="28"/>
      <w:szCs w:val="20"/>
    </w:rPr>
  </w:style>
  <w:style w:type="paragraph" w:styleId="Heading2">
    <w:name w:val="heading 2"/>
    <w:aliases w:val="Úloha"/>
    <w:basedOn w:val="Normal"/>
    <w:next w:val="Normal"/>
    <w:link w:val="Nadpis2Char"/>
    <w:qFormat/>
    <w:rsid w:val="00076A83"/>
    <w:pPr>
      <w:keepNext/>
      <w:numPr>
        <w:ilvl w:val="1"/>
        <w:numId w:val="1"/>
      </w:numPr>
      <w:tabs>
        <w:tab w:val="num" w:pos="3371"/>
      </w:tabs>
      <w:spacing w:before="240" w:after="60"/>
      <w:ind w:left="3371" w:hanging="851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qFormat/>
    <w:rsid w:val="00076A83"/>
    <w:pPr>
      <w:keepNext/>
      <w:numPr>
        <w:ilvl w:val="2"/>
        <w:numId w:val="1"/>
      </w:numPr>
      <w:tabs>
        <w:tab w:val="num" w:pos="1418"/>
      </w:tabs>
      <w:spacing w:before="240" w:after="60"/>
      <w:ind w:left="1418" w:hanging="851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qFormat/>
    <w:rsid w:val="00076A83"/>
    <w:pPr>
      <w:keepNext/>
      <w:numPr>
        <w:ilvl w:val="3"/>
        <w:numId w:val="1"/>
      </w:numPr>
      <w:tabs>
        <w:tab w:val="num" w:pos="1418"/>
      </w:tabs>
      <w:spacing w:before="240" w:after="60"/>
      <w:ind w:left="1418" w:hanging="1418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qFormat/>
    <w:rsid w:val="00076A83"/>
    <w:pPr>
      <w:keepNext/>
      <w:numPr>
        <w:ilvl w:val="4"/>
        <w:numId w:val="1"/>
      </w:numPr>
      <w:tabs>
        <w:tab w:val="num" w:pos="3240"/>
      </w:tabs>
      <w:ind w:left="2880"/>
      <w:jc w:val="lef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Nadpis6Char"/>
    <w:qFormat/>
    <w:rsid w:val="00076A83"/>
    <w:pPr>
      <w:keepNext/>
      <w:numPr>
        <w:ilvl w:val="5"/>
        <w:numId w:val="1"/>
      </w:numPr>
      <w:tabs>
        <w:tab w:val="num" w:pos="3960"/>
      </w:tabs>
      <w:ind w:left="3600"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link w:val="Nadpis7Char"/>
    <w:uiPriority w:val="99"/>
    <w:qFormat/>
    <w:rsid w:val="00076A83"/>
    <w:pPr>
      <w:keepNext/>
      <w:numPr>
        <w:ilvl w:val="6"/>
        <w:numId w:val="1"/>
      </w:numPr>
      <w:tabs>
        <w:tab w:val="num" w:pos="4680"/>
      </w:tabs>
      <w:ind w:left="4320"/>
      <w:jc w:val="both"/>
      <w:outlineLvl w:val="6"/>
    </w:pPr>
    <w:rPr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76A83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aliases w:val="Úloha Char"/>
    <w:basedOn w:val="DefaultParagraphFont"/>
    <w:link w:val="Heading2"/>
    <w:locked/>
    <w:rsid w:val="00076A83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locked/>
    <w:rsid w:val="00076A83"/>
    <w:rPr>
      <w:rFonts w:ascii="Arial" w:hAnsi="Arial" w:cs="Arial"/>
      <w:b/>
      <w:bCs/>
      <w:sz w:val="26"/>
      <w:szCs w:val="26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locked/>
    <w:rsid w:val="00076A83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locked/>
    <w:rsid w:val="00076A83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locked/>
    <w:rsid w:val="00076A83"/>
    <w:rPr>
      <w:rFonts w:ascii="Times New Roman" w:hAnsi="Times New Roman" w:cs="Times New Roman"/>
      <w:b/>
      <w:bCs/>
      <w:sz w:val="24"/>
      <w:szCs w:val="24"/>
      <w:u w:val="single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076A83"/>
    <w:rPr>
      <w:rFonts w:ascii="Times New Roman" w:hAnsi="Times New Roman" w:cs="Times New Roman"/>
      <w:b/>
      <w:sz w:val="26"/>
      <w:szCs w:val="26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rsid w:val="00076A83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locked/>
    <w:rsid w:val="00076A8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076A83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076A8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uiPriority w:val="22"/>
    <w:qFormat/>
    <w:rsid w:val="00076A83"/>
    <w:rPr>
      <w:b/>
    </w:rPr>
  </w:style>
  <w:style w:type="paragraph" w:customStyle="1" w:styleId="Normlny">
    <w:name w:val="_Normálny"/>
    <w:basedOn w:val="Normal"/>
    <w:rsid w:val="00076A83"/>
    <w:pPr>
      <w:autoSpaceDE w:val="0"/>
      <w:autoSpaceDN w:val="0"/>
      <w:jc w:val="left"/>
    </w:pPr>
    <w:rPr>
      <w:sz w:val="20"/>
      <w:szCs w:val="20"/>
      <w:lang w:eastAsia="en-US"/>
    </w:rPr>
  </w:style>
  <w:style w:type="paragraph" w:customStyle="1" w:styleId="abc">
    <w:name w:val="abc"/>
    <w:basedOn w:val="Normal"/>
    <w:rsid w:val="00076A83"/>
    <w:pPr>
      <w:widowControl w:val="0"/>
      <w:tabs>
        <w:tab w:val="left" w:pos="360"/>
        <w:tab w:val="left" w:pos="680"/>
      </w:tabs>
      <w:autoSpaceDE w:val="0"/>
      <w:autoSpaceDN w:val="0"/>
      <w:jc w:val="both"/>
    </w:pPr>
    <w:rPr>
      <w:sz w:val="20"/>
      <w:szCs w:val="20"/>
      <w:lang w:eastAsia="en-US"/>
    </w:rPr>
  </w:style>
  <w:style w:type="paragraph" w:customStyle="1" w:styleId="Point0">
    <w:name w:val="Point 0"/>
    <w:basedOn w:val="Normal"/>
    <w:uiPriority w:val="99"/>
    <w:rsid w:val="00076A83"/>
    <w:pPr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Tiret2">
    <w:name w:val="Tiret 2"/>
    <w:basedOn w:val="Normal"/>
    <w:rsid w:val="00076A83"/>
    <w:pPr>
      <w:numPr>
        <w:numId w:val="4"/>
      </w:numPr>
      <w:tabs>
        <w:tab w:val="num" w:pos="1984"/>
      </w:tabs>
      <w:spacing w:before="120" w:after="120" w:line="360" w:lineRule="auto"/>
      <w:ind w:left="1984" w:hanging="567"/>
      <w:jc w:val="left"/>
    </w:pPr>
    <w:rPr>
      <w:lang w:eastAsia="en-US"/>
    </w:rPr>
  </w:style>
  <w:style w:type="paragraph" w:customStyle="1" w:styleId="Point1">
    <w:name w:val="Point 1"/>
    <w:basedOn w:val="Normal"/>
    <w:link w:val="Point1Char"/>
    <w:rsid w:val="00076A83"/>
    <w:pPr>
      <w:spacing w:before="120" w:after="120" w:line="360" w:lineRule="auto"/>
      <w:ind w:left="1417" w:hanging="567"/>
      <w:jc w:val="left"/>
    </w:pPr>
    <w:rPr>
      <w:lang w:eastAsia="en-US"/>
    </w:rPr>
  </w:style>
  <w:style w:type="paragraph" w:customStyle="1" w:styleId="ManualNumPar1">
    <w:name w:val="Manual NumPar 1"/>
    <w:basedOn w:val="Normal"/>
    <w:next w:val="Normal"/>
    <w:rsid w:val="00076A83"/>
    <w:pPr>
      <w:spacing w:before="120" w:after="120" w:line="360" w:lineRule="auto"/>
      <w:ind w:left="850" w:hanging="850"/>
      <w:jc w:val="left"/>
    </w:pPr>
    <w:rPr>
      <w:lang w:eastAsia="en-US"/>
    </w:rPr>
  </w:style>
  <w:style w:type="character" w:customStyle="1" w:styleId="Point1Char">
    <w:name w:val="Point 1 Char"/>
    <w:link w:val="Point1"/>
    <w:locked/>
    <w:rsid w:val="00076A83"/>
    <w:rPr>
      <w:rFonts w:ascii="Times New Roman" w:hAnsi="Times New Roman" w:cs="Times New Roman"/>
      <w:sz w:val="24"/>
    </w:rPr>
  </w:style>
  <w:style w:type="paragraph" w:customStyle="1" w:styleId="CM1">
    <w:name w:val="CM1"/>
    <w:basedOn w:val="Normal"/>
    <w:next w:val="Normal"/>
    <w:uiPriority w:val="99"/>
    <w:rsid w:val="0064018A"/>
    <w:pPr>
      <w:autoSpaceDE w:val="0"/>
      <w:autoSpaceDN w:val="0"/>
      <w:adjustRightInd w:val="0"/>
      <w:jc w:val="left"/>
    </w:pPr>
    <w:rPr>
      <w:rFonts w:ascii="EUAlbertina" w:hAnsi="EUAlbertina" w:cstheme="minorBidi"/>
      <w:lang w:eastAsia="en-US"/>
    </w:rPr>
  </w:style>
  <w:style w:type="paragraph" w:customStyle="1" w:styleId="CM3">
    <w:name w:val="CM3"/>
    <w:basedOn w:val="Normal"/>
    <w:next w:val="Normal"/>
    <w:uiPriority w:val="99"/>
    <w:rsid w:val="0064018A"/>
    <w:pPr>
      <w:autoSpaceDE w:val="0"/>
      <w:autoSpaceDN w:val="0"/>
      <w:adjustRightInd w:val="0"/>
      <w:jc w:val="left"/>
    </w:pPr>
    <w:rPr>
      <w:rFonts w:ascii="EUAlbertina" w:hAnsi="EUAlbertina" w:cstheme="minorBidi"/>
      <w:lang w:eastAsia="en-US"/>
    </w:rPr>
  </w:style>
  <w:style w:type="paragraph" w:customStyle="1" w:styleId="CM4">
    <w:name w:val="CM4"/>
    <w:basedOn w:val="Normal"/>
    <w:next w:val="Normal"/>
    <w:uiPriority w:val="99"/>
    <w:rsid w:val="0064018A"/>
    <w:pPr>
      <w:autoSpaceDE w:val="0"/>
      <w:autoSpaceDN w:val="0"/>
      <w:adjustRightInd w:val="0"/>
      <w:jc w:val="left"/>
    </w:pPr>
    <w:rPr>
      <w:rFonts w:ascii="EUAlbertina" w:hAnsi="EUAlbertina" w:cstheme="minorBidi"/>
      <w:lang w:eastAsia="en-US"/>
    </w:rPr>
  </w:style>
  <w:style w:type="paragraph" w:styleId="Header">
    <w:name w:val="header"/>
    <w:basedOn w:val="Normal"/>
    <w:link w:val="HlavikaChar"/>
    <w:uiPriority w:val="99"/>
    <w:semiHidden/>
    <w:unhideWhenUsed/>
    <w:rsid w:val="00234F6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234F6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34F6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34F6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tab_zhody"/>
    <f:field ref="objsubject" par="" edit="true" text=""/>
    <f:field ref="objcreatedby" par="" text="Fscclone"/>
    <f:field ref="objcreatedat" par="" text="23.12.2017 1:15:51"/>
    <f:field ref="objchangedby" par="" text="Fscclone"/>
    <f:field ref="objmodifiedat" par="" text="23.12.2017 1:16:1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AFAEF730-0170-4203-A469-509EA31228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499</Words>
  <Characters>2845</Characters>
  <Application>Microsoft Office Word</Application>
  <DocSecurity>0</DocSecurity>
  <Lines>0</Lines>
  <Paragraphs>0</Paragraphs>
  <ScaleCrop>false</ScaleCrop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 Milan</dc:creator>
  <cp:lastModifiedBy>franczel</cp:lastModifiedBy>
  <cp:revision>2</cp:revision>
  <cp:lastPrinted>2018-02-21T12:46:00Z</cp:lastPrinted>
  <dcterms:created xsi:type="dcterms:W3CDTF">2018-02-23T12:25:00Z</dcterms:created>
  <dcterms:modified xsi:type="dcterms:W3CDTF">2018-02-23T12:25:00Z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COO.2145.1000.3.2340149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/>
  </property>
  <property fmtid="{D5CDD505-2E9C-101B-9397-08002B2CF9AE}" pid="32" name="FSC#SKEDITIONSLOVLEX@103.510:AttrStrListDocPropTextPredklSpravy">
    <vt:lpwstr/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/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/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LP/2017/883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hospodárstva Slovenskej republiky</vt:lpwstr>
  </property>
  <property fmtid="{D5CDD505-2E9C-101B-9397-08002B2CF9AE}" pid="122" name="FSC#SKEDITIONSLOVLEX@103.510:funkciaZodpPredAkuzativ">
    <vt:lpwstr>ministerovi hospodárstva Slovenskej republiky</vt:lpwstr>
  </property>
  <property fmtid="{D5CDD505-2E9C-101B-9397-08002B2CF9AE}" pid="123" name="FSC#SKEDITIONSLOVLEX@103.510:funkciaZodpPredDativ">
    <vt:lpwstr>ministera hospodárstva Slovenskej republiky</vt:lpwstr>
  </property>
  <property fmtid="{D5CDD505-2E9C-101B-9397-08002B2CF9AE}" pid="124" name="FSC#SKEDITIONSLOVLEX@103.510:legoblast">
    <vt:lpwstr>Energetika a priemysel</vt:lpwstr>
  </property>
  <property fmtid="{D5CDD505-2E9C-101B-9397-08002B2CF9AE}" pid="125" name="FSC#SKEDITIONSLOVLEX@103.510:nazovpredpis">
    <vt:lpwstr>, ktorým sa mení a dopĺňa zákon č. 251/2012 Z. z. o energetike a o zmene a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251/2012 Z. z. o energetike a o zmene a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rok 2017 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Marek Franczel</vt:lpwstr>
  </property>
  <property fmtid="{D5CDD505-2E9C-101B-9397-08002B2CF9AE}" pid="138" name="FSC#SKEDITIONSLOVLEX@103.510:predkladateliaObalSD">
    <vt:lpwstr>Ing. Peter Žiga
minister hospodárstva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27227/2017-2062-50709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Tabuľka zhody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23. 12. 2017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hospodárstva Slovenskej republiky</vt:lpwstr>
  </property>
  <property fmtid="{D5CDD505-2E9C-101B-9397-08002B2CF9AE}" pid="152" name="FSC#SKEDITIONSLOVLEX@103.510:zodppredkladatel">
    <vt:lpwstr>Ing. Peter Žiga</vt:lpwstr>
  </property>
</Properties>
</file>