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900"/>
        <w:gridCol w:w="3420"/>
        <w:gridCol w:w="900"/>
        <w:gridCol w:w="1080"/>
        <w:gridCol w:w="1040"/>
        <w:gridCol w:w="3820"/>
        <w:gridCol w:w="900"/>
        <w:gridCol w:w="3081"/>
      </w:tblGrid>
      <w:tr>
        <w:tblPrEx>
          <w:tblW w:w="151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141" w:type="dxa"/>
            <w:gridSpan w:val="8"/>
            <w:tcBorders>
              <w:top w:val="single" w:sz="12" w:space="0" w:color="auto"/>
              <w:left w:val="single" w:sz="12" w:space="0" w:color="auto"/>
              <w:bottom w:val="single" w:sz="4" w:space="0" w:color="auto"/>
              <w:right w:val="single" w:sz="12" w:space="0" w:color="auto"/>
            </w:tcBorders>
            <w:textDirection w:val="lrTb"/>
            <w:vAlign w:val="top"/>
          </w:tcPr>
          <w:p w:rsidR="00076A83" w:rsidRPr="00E76415" w:rsidP="0056013F">
            <w:pPr>
              <w:pStyle w:val="Heading1"/>
              <w:numPr>
                <w:numId w:val="0"/>
              </w:numPr>
              <w:tabs>
                <w:tab w:val="clear" w:pos="567"/>
              </w:tabs>
              <w:bidi w:val="0"/>
              <w:spacing w:after="0" w:line="240" w:lineRule="auto"/>
              <w:ind w:firstLine="0"/>
              <w:jc w:val="left"/>
              <w:rPr>
                <w:sz w:val="20"/>
              </w:rPr>
            </w:pPr>
            <w:r w:rsidRPr="00E76415">
              <w:rPr>
                <w:rFonts w:hint="default"/>
                <w:caps/>
                <w:sz w:val="20"/>
              </w:rPr>
              <w:t>Tabuľ</w:t>
            </w:r>
            <w:r w:rsidRPr="00E76415">
              <w:rPr>
                <w:rFonts w:hint="default"/>
                <w:caps/>
                <w:sz w:val="20"/>
              </w:rPr>
              <w:t xml:space="preserve">ka </w:t>
            </w:r>
            <w:r w:rsidRPr="00E76415">
              <w:rPr>
                <w:sz w:val="20"/>
              </w:rPr>
              <w:t>ZHODY</w:t>
            </w:r>
          </w:p>
          <w:p w:rsidR="00076A83" w:rsidRPr="00E76415" w:rsidP="0056013F">
            <w:pPr>
              <w:pStyle w:val="Heading1"/>
              <w:numPr>
                <w:numId w:val="0"/>
              </w:numPr>
              <w:tabs>
                <w:tab w:val="clear" w:pos="567"/>
              </w:tabs>
              <w:bidi w:val="0"/>
              <w:spacing w:after="120" w:line="240" w:lineRule="auto"/>
              <w:ind w:firstLine="0"/>
              <w:jc w:val="left"/>
              <w:rPr>
                <w:b w:val="0"/>
                <w:bCs/>
                <w:sz w:val="20"/>
              </w:rPr>
            </w:pPr>
            <w:r w:rsidRPr="00E76415">
              <w:rPr>
                <w:rFonts w:hint="default"/>
                <w:sz w:val="20"/>
              </w:rPr>
              <w:t>NA ÚČ</w:t>
            </w:r>
            <w:r w:rsidRPr="00E76415">
              <w:rPr>
                <w:rFonts w:hint="default"/>
                <w:sz w:val="20"/>
              </w:rPr>
              <w:t>ELY OZNÁ</w:t>
            </w:r>
            <w:r w:rsidRPr="00E76415">
              <w:rPr>
                <w:rFonts w:hint="default"/>
                <w:sz w:val="20"/>
              </w:rPr>
              <w:t>MENIA TRANSPOZÍ</w:t>
            </w:r>
            <w:r w:rsidRPr="00E76415">
              <w:rPr>
                <w:rFonts w:hint="default"/>
                <w:sz w:val="20"/>
              </w:rPr>
              <w:t>CIE SMERNICE 2009/72/ES</w:t>
            </w:r>
          </w:p>
        </w:tc>
      </w:tr>
      <w:tr>
        <w:tblPrEx>
          <w:tblW w:w="15141" w:type="dxa"/>
          <w:tblInd w:w="-497" w:type="dxa"/>
          <w:tblLayout w:type="fixed"/>
          <w:tblCellMar>
            <w:left w:w="43" w:type="dxa"/>
            <w:right w:w="43" w:type="dxa"/>
          </w:tblCellMar>
        </w:tblPrEx>
        <w:trPr>
          <w:cantSplit/>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b/>
                <w:bCs/>
                <w:sz w:val="20"/>
                <w:szCs w:val="20"/>
              </w:rPr>
              <w:t>Smernica Európskeho parlamentu a Rady 2009/72/ES z 13. júla 2009 o spoločných pravidlách pre vnútorný trh s elektrinou, ktorou sa zrušuje smernica 2003/54/ES</w:t>
            </w:r>
          </w:p>
        </w:tc>
        <w:tc>
          <w:tcPr>
            <w:tcW w:w="9921" w:type="dxa"/>
            <w:gridSpan w:val="5"/>
            <w:tcBorders>
              <w:top w:val="single" w:sz="4" w:space="0" w:color="auto"/>
              <w:left w:val="single" w:sz="12" w:space="0" w:color="auto"/>
              <w:bottom w:val="single" w:sz="4" w:space="0" w:color="auto"/>
              <w:right w:val="single" w:sz="12" w:space="0" w:color="auto"/>
            </w:tcBorders>
            <w:textDirection w:val="lrTb"/>
            <w:vAlign w:val="center"/>
          </w:tcPr>
          <w:p w:rsidR="00076A83" w:rsidRPr="00E76415" w:rsidP="0056013F">
            <w:pPr>
              <w:tabs>
                <w:tab w:val="left" w:pos="3030"/>
              </w:tabs>
              <w:bidi w:val="0"/>
              <w:spacing w:after="0" w:line="240" w:lineRule="auto"/>
              <w:jc w:val="center"/>
              <w:rPr>
                <w:rFonts w:ascii="Times New Roman" w:hAnsi="Times New Roman"/>
                <w:sz w:val="20"/>
                <w:szCs w:val="20"/>
              </w:rPr>
            </w:pPr>
            <w:r w:rsidRPr="00E76415">
              <w:rPr>
                <w:rFonts w:ascii="Times New Roman" w:hAnsi="Times New Roman"/>
                <w:sz w:val="20"/>
                <w:szCs w:val="20"/>
              </w:rPr>
              <w:t xml:space="preserve">Návrh zákona, ktorým sa mení a dopĺňa zákon č. 251/2012 Z. z. o energetike a o zmene a doplnení niektorých zákonov v znení neskorších predpisov (ďalej len Návrh „ZoE“) </w:t>
            </w:r>
          </w:p>
          <w:p w:rsidR="00076A83" w:rsidRPr="00E76415" w:rsidP="0056013F">
            <w:pPr>
              <w:tabs>
                <w:tab w:val="left" w:pos="3030"/>
              </w:tabs>
              <w:bidi w:val="0"/>
              <w:spacing w:after="0" w:line="240" w:lineRule="auto"/>
              <w:jc w:val="center"/>
              <w:rPr>
                <w:rFonts w:ascii="Times New Roman" w:hAnsi="Times New Roman"/>
                <w:sz w:val="20"/>
                <w:szCs w:val="20"/>
              </w:rPr>
            </w:pPr>
          </w:p>
        </w:tc>
      </w:tr>
      <w:tr>
        <w:tblPrEx>
          <w:tblW w:w="15141" w:type="dxa"/>
          <w:tblInd w:w="-497"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sz w:val="20"/>
                <w:szCs w:val="20"/>
              </w:rPr>
              <w:t>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BodyText2"/>
              <w:bidi w:val="0"/>
              <w:spacing w:line="240" w:lineRule="exact"/>
              <w:rPr>
                <w:rFonts w:ascii="Times New Roman" w:hAnsi="Times New Roman"/>
                <w:sz w:val="20"/>
                <w:szCs w:val="20"/>
              </w:rPr>
            </w:pPr>
            <w:r w:rsidRPr="00E76415">
              <w:rPr>
                <w:rFonts w:ascii="Times New Roman" w:hAnsi="Times New Roman"/>
                <w:sz w:val="20"/>
                <w:szCs w:val="20"/>
              </w:rPr>
              <w:t>5</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BodyText2"/>
              <w:bidi w:val="0"/>
              <w:spacing w:line="240" w:lineRule="exact"/>
              <w:rPr>
                <w:rFonts w:ascii="Times New Roman" w:hAnsi="Times New Roman"/>
                <w:sz w:val="20"/>
                <w:szCs w:val="20"/>
              </w:rPr>
            </w:pPr>
            <w:r w:rsidRPr="00E76415">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sz w:val="20"/>
                <w:szCs w:val="20"/>
              </w:rPr>
              <w:t>7</w:t>
            </w:r>
          </w:p>
        </w:tc>
        <w:tc>
          <w:tcPr>
            <w:tcW w:w="3081"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jc w:val="center"/>
              <w:rPr>
                <w:rFonts w:ascii="Times New Roman" w:hAnsi="Times New Roman"/>
                <w:sz w:val="20"/>
                <w:szCs w:val="20"/>
              </w:rPr>
            </w:pPr>
            <w:r w:rsidRPr="00E76415">
              <w:rPr>
                <w:rFonts w:ascii="Times New Roman" w:hAnsi="Times New Roman"/>
                <w:sz w:val="20"/>
                <w:szCs w:val="20"/>
              </w:rPr>
              <w:t>8</w:t>
            </w:r>
          </w:p>
        </w:tc>
      </w:tr>
      <w:tr>
        <w:tblPrEx>
          <w:tblW w:w="15141" w:type="dxa"/>
          <w:tblInd w:w="-497"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rPr>
                <w:rFonts w:ascii="Times New Roman" w:hAnsi="Times New Roman"/>
              </w:rPr>
            </w:pPr>
            <w:r w:rsidRPr="00E76415">
              <w:rPr>
                <w:rFonts w:ascii="Times New Roman" w:hAnsi="Times New Roman"/>
              </w:rPr>
              <w:t>Článok</w:t>
            </w:r>
          </w:p>
          <w:p w:rsidR="00076A83" w:rsidRPr="00E76415" w:rsidP="0056013F">
            <w:pPr>
              <w:pStyle w:val="Normlny"/>
              <w:bidi w:val="0"/>
              <w:spacing w:after="0" w:line="240" w:lineRule="auto"/>
              <w:rPr>
                <w:rFonts w:ascii="Times New Roman" w:hAnsi="Times New Roman"/>
              </w:rPr>
            </w:pPr>
            <w:r w:rsidRPr="00E76415">
              <w:rPr>
                <w:rFonts w:ascii="Times New Roman" w:hAnsi="Times New Roman"/>
              </w:rPr>
              <w:t>(Č, O,</w:t>
            </w:r>
          </w:p>
          <w:p w:rsidR="00076A83" w:rsidRPr="00E76415" w:rsidP="0056013F">
            <w:pPr>
              <w:pStyle w:val="Normlny"/>
              <w:bidi w:val="0"/>
              <w:spacing w:after="0" w:line="240" w:lineRule="auto"/>
              <w:rPr>
                <w:rFonts w:ascii="Times New Roman" w:hAnsi="Times New Roman"/>
              </w:rPr>
            </w:pPr>
            <w:r w:rsidRPr="00E76415">
              <w:rPr>
                <w:rFonts w:ascii="Times New Roman" w:hAnsi="Times New Roman"/>
              </w:rPr>
              <w:t>V, P)</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Spôsob transp.</w:t>
            </w:r>
          </w:p>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(N, O, D, 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Číslo</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Článok</w:t>
            </w:r>
          </w:p>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 xml:space="preserve"> (Č, §, O, V, P)</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Zhoda</w:t>
            </w:r>
          </w:p>
        </w:tc>
        <w:tc>
          <w:tcPr>
            <w:tcW w:w="3081"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Poznámky</w:t>
            </w:r>
          </w:p>
          <w:p w:rsidR="00076A83" w:rsidRPr="00E76415" w:rsidP="0056013F">
            <w:pPr>
              <w:pStyle w:val="Normlny"/>
              <w:bidi w:val="0"/>
              <w:spacing w:after="0" w:line="240" w:lineRule="auto"/>
              <w:rPr>
                <w:rFonts w:ascii="Times New Roman" w:hAnsi="Times New Roman"/>
              </w:rPr>
            </w:pPr>
          </w:p>
        </w:tc>
      </w:tr>
      <w:tr>
        <w:tblPrEx>
          <w:tblW w:w="15141" w:type="dxa"/>
          <w:tblInd w:w="-497"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rPr>
                <w:rFonts w:ascii="Times New Roman" w:hAnsi="Times New Roman"/>
              </w:rPr>
            </w:pPr>
            <w:r w:rsidRPr="00E76415">
              <w:rPr>
                <w:rFonts w:ascii="Times New Roman" w:hAnsi="Times New Roman"/>
              </w:rPr>
              <w:t>Č:25</w:t>
            </w:r>
          </w:p>
          <w:p w:rsidR="00076A83" w:rsidRPr="00E76415" w:rsidP="0056013F">
            <w:pPr>
              <w:pStyle w:val="Normlny"/>
              <w:bidi w:val="0"/>
              <w:spacing w:after="0" w:line="240" w:lineRule="auto"/>
              <w:rPr>
                <w:rFonts w:ascii="Times New Roman" w:hAnsi="Times New Roman"/>
              </w:rPr>
            </w:pPr>
            <w:r w:rsidRPr="00E76415">
              <w:rPr>
                <w:rFonts w:ascii="Times New Roman" w:hAnsi="Times New Roman"/>
              </w:rPr>
              <w:t>O:5</w:t>
            </w: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p w:rsidR="00076A83" w:rsidRPr="00E76415" w:rsidP="0056013F">
            <w:pPr>
              <w:pStyle w:val="Normlny"/>
              <w:bidi w:val="0"/>
              <w:spacing w:after="0" w:line="240" w:lineRule="auto"/>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Point0"/>
              <w:bidi w:val="0"/>
              <w:spacing w:before="0" w:after="0" w:line="240" w:lineRule="auto"/>
              <w:ind w:left="0" w:firstLine="0"/>
              <w:jc w:val="both"/>
              <w:rPr>
                <w:rFonts w:ascii="Times New Roman" w:hAnsi="Times New Roman"/>
                <w:sz w:val="20"/>
                <w:szCs w:val="20"/>
              </w:rPr>
            </w:pPr>
            <w:r w:rsidRPr="00E76415">
              <w:rPr>
                <w:rFonts w:ascii="Times New Roman" w:hAnsi="Times New Roman"/>
                <w:sz w:val="20"/>
                <w:szCs w:val="20"/>
              </w:rPr>
              <w:t>Každý prevádzkovateľ distribučnej sústavy, pokiaľ vykonáva takúto činnosť, zabezpečuje energiu na pokrývanie energetických strát a rezervné kapacity v sústave transparentnými, nediskriminačnými a trhovými postupmi. Touto požiadavkou nie sú dotknuté práva na používanie elektriny získanej na základe zmlúv uzatvorených pred 1. januárom 2002.</w:t>
            </w:r>
          </w:p>
          <w:p w:rsidR="00076A83" w:rsidRPr="00E76415" w:rsidP="0056013F">
            <w:pPr>
              <w:pStyle w:val="Point0"/>
              <w:bidi w:val="0"/>
              <w:spacing w:before="0" w:after="0" w:line="240" w:lineRule="auto"/>
              <w:ind w:left="0" w:firstLine="0"/>
              <w:jc w:val="both"/>
              <w:rPr>
                <w:rFonts w:ascii="Times New Roman" w:hAnsi="Times New Roman"/>
                <w:sz w:val="20"/>
                <w:szCs w:val="20"/>
              </w:rPr>
            </w:pPr>
          </w:p>
          <w:p w:rsidR="00076A83" w:rsidRPr="00E76415" w:rsidP="0056013F">
            <w:pPr>
              <w:pStyle w:val="Point0"/>
              <w:bidi w:val="0"/>
              <w:spacing w:before="0" w:after="0" w:line="240" w:lineRule="auto"/>
              <w:ind w:left="0" w:firstLine="0"/>
              <w:jc w:val="both"/>
              <w:rPr>
                <w:rFonts w:ascii="Times New Roman" w:hAnsi="Times New Roman"/>
                <w:sz w:val="20"/>
                <w:szCs w:val="20"/>
              </w:rPr>
            </w:pPr>
          </w:p>
          <w:p w:rsidR="00076A83" w:rsidRPr="00E76415" w:rsidP="0056013F">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N</w:t>
            </w: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Návrh ZoE</w:t>
            </w: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r w:rsidRPr="00E76415">
              <w:rPr>
                <w:rFonts w:ascii="Times New Roman" w:hAnsi="Times New Roman"/>
              </w:rPr>
              <w:t>§ 31 ods. 1 písm. b)</w:t>
            </w: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bidi w:val="0"/>
              <w:spacing w:after="0" w:line="240" w:lineRule="auto"/>
              <w:ind w:left="38"/>
              <w:rPr>
                <w:rFonts w:ascii="Times New Roman" w:hAnsi="Times New Roman"/>
                <w:sz w:val="20"/>
                <w:szCs w:val="20"/>
                <w:lang w:eastAsia="en-US"/>
              </w:rPr>
            </w:pPr>
            <w:r w:rsidRPr="00E76415">
              <w:rPr>
                <w:rFonts w:ascii="Times New Roman" w:hAnsi="Times New Roman"/>
                <w:sz w:val="20"/>
                <w:szCs w:val="20"/>
                <w:lang w:eastAsia="en-US"/>
              </w:rPr>
              <w:t>V § 31 ods. 1 písm. b) sa na konci pripájajú tieto slová: „a na základe trhových postupov“.</w:t>
            </w:r>
          </w:p>
          <w:p w:rsidR="00076A83" w:rsidRPr="00E76415" w:rsidP="0056013F">
            <w:pPr>
              <w:pStyle w:val="Normlny"/>
              <w:bidi w:val="0"/>
              <w:spacing w:after="0" w:line="240" w:lineRule="auto"/>
              <w:jc w:val="both"/>
              <w:rPr>
                <w:rFonts w:ascii="Times New Roman" w:hAnsi="Times New Roman"/>
              </w:rPr>
            </w:pPr>
          </w:p>
          <w:p w:rsidR="00076A83" w:rsidRPr="00E76415" w:rsidP="0056013F">
            <w:pPr>
              <w:pStyle w:val="Normlny"/>
              <w:bidi w:val="0"/>
              <w:spacing w:after="0" w:line="240" w:lineRule="auto"/>
              <w:jc w:val="both"/>
              <w:rPr>
                <w:rFonts w:ascii="Times New Roman" w:hAnsi="Times New Roman"/>
              </w:rPr>
            </w:pPr>
          </w:p>
          <w:p w:rsidR="00076A83" w:rsidRPr="00E76415" w:rsidP="0056013F">
            <w:pPr>
              <w:pStyle w:val="Normlny"/>
              <w:bidi w:val="0"/>
              <w:spacing w:after="0" w:line="240" w:lineRule="auto"/>
              <w:jc w:val="both"/>
              <w:rPr>
                <w:rFonts w:ascii="Times New Roman" w:hAnsi="Times New Roman"/>
              </w:rPr>
            </w:pPr>
          </w:p>
          <w:p w:rsidR="00076A83" w:rsidRPr="00E76415" w:rsidP="0056013F">
            <w:pPr>
              <w:pStyle w:val="Normlny"/>
              <w:bidi w:val="0"/>
              <w:spacing w:after="0" w:line="240" w:lineRule="auto"/>
              <w:jc w:val="both"/>
              <w:rPr>
                <w:rFonts w:ascii="Times New Roman" w:hAnsi="Times New Roman"/>
              </w:rPr>
            </w:pPr>
          </w:p>
          <w:p w:rsidR="00076A83" w:rsidRPr="00E76415" w:rsidP="0056013F">
            <w:pPr>
              <w:pStyle w:val="Normlny"/>
              <w:bidi w:val="0"/>
              <w:spacing w:after="0" w:line="240" w:lineRule="auto"/>
              <w:jc w:val="both"/>
              <w:rPr>
                <w:rFonts w:ascii="Times New Roman" w:hAnsi="Times New Roman"/>
                <w:lang w:eastAsia="sk-SK"/>
              </w:rPr>
            </w:pPr>
          </w:p>
          <w:p w:rsidR="00076A83" w:rsidRPr="00E76415" w:rsidP="0056013F">
            <w:pPr>
              <w:pStyle w:val="Normlny"/>
              <w:bidi w:val="0"/>
              <w:spacing w:after="0" w:line="240" w:lineRule="auto"/>
              <w:jc w:val="both"/>
              <w:rPr>
                <w:rFonts w:ascii="Times New Roman" w:hAnsi="Times New Roman"/>
                <w:lang w:eastAsia="sk-SK"/>
              </w:rPr>
            </w:pPr>
          </w:p>
          <w:p w:rsidR="00076A83" w:rsidRPr="00E76415" w:rsidP="0056013F">
            <w:pPr>
              <w:pStyle w:val="Normlny"/>
              <w:bidi w:val="0"/>
              <w:spacing w:after="0" w:line="240" w:lineRule="auto"/>
              <w:jc w:val="both"/>
              <w:rPr>
                <w:rFonts w:ascii="Times New Roman" w:hAnsi="Times New Roman"/>
                <w:lang w:eastAsia="sk-SK"/>
              </w:rPr>
            </w:pPr>
          </w:p>
          <w:p w:rsidR="00076A83" w:rsidRPr="00E76415" w:rsidP="0056013F">
            <w:pPr>
              <w:pStyle w:val="Normlny"/>
              <w:bidi w:val="0"/>
              <w:spacing w:after="0" w:line="240" w:lineRule="auto"/>
              <w:jc w:val="both"/>
              <w:rPr>
                <w:rFonts w:ascii="Times New Roman" w:hAnsi="Times New Roman"/>
                <w:lang w:eastAsia="sk-SK"/>
              </w:rPr>
            </w:pPr>
          </w:p>
          <w:p w:rsidR="00076A83" w:rsidRPr="00E76415" w:rsidP="0056013F">
            <w:pPr>
              <w:pStyle w:val="Normlny"/>
              <w:bidi w:val="0"/>
              <w:spacing w:after="0" w:line="240" w:lineRule="auto"/>
              <w:jc w:val="both"/>
              <w:rPr>
                <w:rFonts w:ascii="Times New Roman" w:hAnsi="Times New Roman"/>
              </w:rPr>
            </w:pPr>
          </w:p>
          <w:p w:rsidR="00076A83" w:rsidRPr="00E76415" w:rsidP="0056013F">
            <w:pPr>
              <w:bidi w:val="0"/>
              <w:spacing w:after="0" w:line="240" w:lineRule="auto"/>
              <w:jc w:val="both"/>
              <w:rPr>
                <w:rFonts w:ascii="Times New Roman" w:hAnsi="Times New Roman"/>
                <w:sz w:val="20"/>
                <w:szCs w:val="20"/>
              </w:rPr>
            </w:pPr>
          </w:p>
          <w:p w:rsidR="00076A83" w:rsidRPr="00E76415" w:rsidP="005D5EA6">
            <w:pPr>
              <w:bidi w:val="0"/>
              <w:spacing w:after="0" w:line="240" w:lineRule="auto"/>
              <w:ind w:left="38"/>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P="0056013F">
            <w:pPr>
              <w:pStyle w:val="Normlny"/>
              <w:bidi w:val="0"/>
              <w:spacing w:after="0" w:line="240" w:lineRule="auto"/>
              <w:jc w:val="center"/>
              <w:rPr>
                <w:rFonts w:ascii="Times New Roman" w:hAnsi="Times New Roman"/>
              </w:rPr>
            </w:pPr>
            <w:r w:rsidRPr="00E76415">
              <w:rPr>
                <w:rFonts w:ascii="Times New Roman" w:hAnsi="Times New Roman"/>
              </w:rPr>
              <w:t>Ú</w:t>
            </w: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P="0056013F">
            <w:pPr>
              <w:pStyle w:val="Normlny"/>
              <w:bidi w:val="0"/>
              <w:spacing w:after="0" w:line="240" w:lineRule="auto"/>
              <w:jc w:val="center"/>
              <w:rPr>
                <w:rFonts w:ascii="Times New Roman" w:hAnsi="Times New Roman"/>
              </w:rPr>
            </w:pPr>
          </w:p>
          <w:p w:rsidR="00076A83" w:rsidRPr="00E76415" w:rsidP="0056013F">
            <w:pPr>
              <w:pStyle w:val="Normlny"/>
              <w:bidi w:val="0"/>
              <w:spacing w:after="0" w:line="240" w:lineRule="auto"/>
              <w:jc w:val="center"/>
              <w:rPr>
                <w:rFonts w:ascii="Times New Roman" w:hAnsi="Times New Roman"/>
              </w:rPr>
            </w:pPr>
          </w:p>
        </w:tc>
        <w:tc>
          <w:tcPr>
            <w:tcW w:w="3081" w:type="dxa"/>
            <w:tcBorders>
              <w:top w:val="single" w:sz="4" w:space="0" w:color="auto"/>
              <w:left w:val="single" w:sz="4" w:space="0" w:color="auto"/>
              <w:bottom w:val="single" w:sz="4" w:space="0" w:color="auto"/>
              <w:right w:val="single" w:sz="4" w:space="0" w:color="auto"/>
            </w:tcBorders>
            <w:textDirection w:val="lrTb"/>
            <w:vAlign w:val="top"/>
          </w:tcPr>
          <w:p w:rsidR="00076A83" w:rsidRPr="00E76415" w:rsidP="0056013F">
            <w:pPr>
              <w:pStyle w:val="Normlny"/>
              <w:bidi w:val="0"/>
              <w:spacing w:after="0" w:line="240" w:lineRule="auto"/>
              <w:jc w:val="center"/>
              <w:rPr>
                <w:rFonts w:ascii="Times New Roman" w:hAnsi="Times New Roman"/>
              </w:rPr>
            </w:pPr>
          </w:p>
        </w:tc>
      </w:tr>
    </w:tbl>
    <w:p w:rsidR="00076A83" w:rsidRPr="001A1A38" w:rsidP="00076A83">
      <w:pPr>
        <w:bidi w:val="0"/>
        <w:rPr>
          <w:rFonts w:ascii="Times New Roman" w:hAnsi="Times New Roman"/>
        </w:rPr>
      </w:pP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076A83" w:rsidRPr="001A1A38" w:rsidP="0056013F">
            <w:pPr>
              <w:pStyle w:val="Normlny"/>
              <w:autoSpaceDE/>
              <w:autoSpaceDN/>
              <w:bidi w:val="0"/>
              <w:spacing w:after="60" w:line="240" w:lineRule="auto"/>
              <w:rPr>
                <w:rFonts w:ascii="Times New Roman" w:hAnsi="Times New Roman"/>
                <w:lang w:eastAsia="sk-SK"/>
              </w:rPr>
            </w:pPr>
            <w:r w:rsidRPr="001A1A38">
              <w:rPr>
                <w:rFonts w:ascii="Times New Roman" w:hAnsi="Times New Roman"/>
                <w:lang w:eastAsia="sk-SK"/>
              </w:rPr>
              <w:t>V stĺpci (1):</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Č – článok</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O – odsek</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V – veta</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P – číslo (písmeno)</w:t>
            </w:r>
          </w:p>
          <w:p w:rsidR="00076A83" w:rsidRPr="001A1A38" w:rsidP="0056013F">
            <w:pPr>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076A83" w:rsidRPr="001A1A38" w:rsidP="0056013F">
            <w:pPr>
              <w:pStyle w:val="Normlny"/>
              <w:autoSpaceDE/>
              <w:autoSpaceDN/>
              <w:bidi w:val="0"/>
              <w:spacing w:after="60" w:line="240" w:lineRule="auto"/>
              <w:rPr>
                <w:rFonts w:ascii="Times New Roman" w:hAnsi="Times New Roman"/>
                <w:lang w:eastAsia="sk-SK"/>
              </w:rPr>
            </w:pPr>
            <w:r w:rsidRPr="001A1A38">
              <w:rPr>
                <w:rFonts w:ascii="Times New Roman" w:hAnsi="Times New Roman"/>
                <w:lang w:eastAsia="sk-SK"/>
              </w:rPr>
              <w:t>V stĺpci (3):</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N – bežná transpozícia</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O – transpozícia s možnosťou voľby</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D – transpozícia podľa úvahy (dobrovoľná)</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76A83" w:rsidRPr="001A1A38" w:rsidP="0056013F">
            <w:pPr>
              <w:pStyle w:val="Normlny"/>
              <w:autoSpaceDE/>
              <w:autoSpaceDN/>
              <w:bidi w:val="0"/>
              <w:spacing w:after="60" w:line="240" w:lineRule="auto"/>
              <w:rPr>
                <w:rFonts w:ascii="Times New Roman" w:hAnsi="Times New Roman"/>
                <w:lang w:eastAsia="sk-SK"/>
              </w:rPr>
            </w:pPr>
            <w:r w:rsidRPr="001A1A38">
              <w:rPr>
                <w:rFonts w:ascii="Times New Roman" w:hAnsi="Times New Roman"/>
                <w:lang w:eastAsia="sk-SK"/>
              </w:rPr>
              <w:t>V stĺpci (5):</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Č – článok</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 – paragraf</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O – odsek</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V – veta</w:t>
            </w:r>
          </w:p>
          <w:p w:rsidR="00076A83" w:rsidRPr="001A1A38" w:rsidP="0056013F">
            <w:pPr>
              <w:bidi w:val="0"/>
              <w:spacing w:after="0" w:line="240" w:lineRule="auto"/>
              <w:rPr>
                <w:rFonts w:ascii="Times New Roman" w:hAnsi="Times New Roman"/>
                <w:sz w:val="20"/>
                <w:szCs w:val="20"/>
              </w:rPr>
            </w:pPr>
            <w:r w:rsidRPr="001A1A38">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076A83" w:rsidRPr="001A1A38" w:rsidP="0056013F">
            <w:pPr>
              <w:pStyle w:val="Normlny"/>
              <w:autoSpaceDE/>
              <w:autoSpaceDN/>
              <w:bidi w:val="0"/>
              <w:spacing w:after="60" w:line="240" w:lineRule="auto"/>
              <w:rPr>
                <w:rFonts w:ascii="Times New Roman" w:hAnsi="Times New Roman"/>
                <w:lang w:eastAsia="sk-SK"/>
              </w:rPr>
            </w:pPr>
            <w:r w:rsidRPr="001A1A38">
              <w:rPr>
                <w:rFonts w:ascii="Times New Roman" w:hAnsi="Times New Roman"/>
                <w:lang w:eastAsia="sk-SK"/>
              </w:rPr>
              <w:t>V stĺpci (7):</w:t>
            </w:r>
          </w:p>
          <w:p w:rsidR="00076A83" w:rsidRPr="001A1A38" w:rsidP="0056013F">
            <w:pPr>
              <w:bidi w:val="0"/>
              <w:spacing w:after="0" w:line="240" w:lineRule="auto"/>
              <w:ind w:left="290" w:right="848" w:hanging="290"/>
              <w:rPr>
                <w:rFonts w:ascii="Times New Roman" w:hAnsi="Times New Roman"/>
                <w:sz w:val="20"/>
                <w:szCs w:val="20"/>
              </w:rPr>
            </w:pPr>
            <w:r w:rsidRPr="001A1A38">
              <w:rPr>
                <w:rFonts w:ascii="Times New Roman" w:hAnsi="Times New Roman"/>
                <w:sz w:val="20"/>
                <w:szCs w:val="20"/>
              </w:rPr>
              <w:t xml:space="preserve">Ú – úplná zhoda (ak bolo ustanovenie smernice prebraté v celom rozsahu, správne, v príslušnej forme, so zabezpečenou inštitucionálnou </w:t>
            </w:r>
            <w:r>
              <w:rPr>
                <w:rFonts w:ascii="Times New Roman" w:hAnsi="Times New Roman"/>
                <w:sz w:val="20"/>
                <w:szCs w:val="20"/>
              </w:rPr>
              <w:t>i</w:t>
            </w:r>
            <w:r w:rsidRPr="001A1A38">
              <w:rPr>
                <w:rFonts w:ascii="Times New Roman" w:hAnsi="Times New Roman"/>
                <w:sz w:val="20"/>
                <w:szCs w:val="20"/>
              </w:rPr>
              <w:t>nfraštruktúrou, s príslušnými sankciami a vo vzájomnej súvislosti)</w:t>
            </w:r>
          </w:p>
          <w:p w:rsidR="00076A83" w:rsidRPr="001A1A38" w:rsidP="0056013F">
            <w:pPr>
              <w:bidi w:val="0"/>
              <w:spacing w:after="0" w:line="240" w:lineRule="auto"/>
              <w:ind w:right="848"/>
              <w:rPr>
                <w:rFonts w:ascii="Times New Roman" w:hAnsi="Times New Roman"/>
                <w:sz w:val="20"/>
                <w:szCs w:val="20"/>
              </w:rPr>
            </w:pPr>
            <w:r w:rsidRPr="001A1A38">
              <w:rPr>
                <w:rFonts w:ascii="Times New Roman" w:hAnsi="Times New Roman"/>
                <w:sz w:val="20"/>
                <w:szCs w:val="20"/>
              </w:rPr>
              <w:t>Č – čiastočná zhoda (ak minimálne jedna z podmienok úplnej zhody nie je splnená)</w:t>
            </w:r>
          </w:p>
          <w:p w:rsidR="00076A83" w:rsidRPr="001A1A38" w:rsidP="0056013F">
            <w:pPr>
              <w:pStyle w:val="BodyTextIndent2"/>
              <w:bidi w:val="0"/>
              <w:ind w:left="0" w:right="848"/>
              <w:rPr>
                <w:rFonts w:ascii="Times New Roman" w:hAnsi="Times New Roman"/>
                <w:sz w:val="20"/>
                <w:szCs w:val="20"/>
              </w:rPr>
            </w:pPr>
            <w:r w:rsidRPr="001A1A38">
              <w:rPr>
                <w:rFonts w:ascii="Times New Roman" w:hAnsi="Times New Roman"/>
                <w:sz w:val="20"/>
                <w:szCs w:val="20"/>
              </w:rPr>
              <w:t xml:space="preserve">Ž – žiadna zhoda (ak nebola dosiahnutá ani úplná ani čiast. zhoda  alebo  </w:t>
              <w:br/>
              <w:t xml:space="preserve">       k prebratiu dôjde v budúcnosti)</w:t>
            </w:r>
          </w:p>
          <w:p w:rsidR="00076A83" w:rsidP="0056013F">
            <w:pPr>
              <w:bidi w:val="0"/>
              <w:spacing w:after="0" w:line="240" w:lineRule="auto"/>
              <w:ind w:left="290" w:right="848" w:hanging="290"/>
              <w:rPr>
                <w:rFonts w:ascii="Times New Roman" w:hAnsi="Times New Roman"/>
                <w:sz w:val="20"/>
                <w:szCs w:val="20"/>
              </w:rPr>
            </w:pPr>
            <w:r w:rsidRPr="001A1A38">
              <w:rPr>
                <w:rFonts w:ascii="Times New Roman" w:hAnsi="Times New Roman"/>
                <w:sz w:val="20"/>
                <w:szCs w:val="20"/>
              </w:rPr>
              <w:t>n.a. – neaplikovateľnosť (ak sa ustanovenie smernice netýka SR alebo nie je potrebné ho prebrať)</w:t>
            </w:r>
          </w:p>
          <w:p w:rsidR="00076A83" w:rsidP="0056013F">
            <w:pPr>
              <w:bidi w:val="0"/>
              <w:spacing w:after="0" w:line="240" w:lineRule="auto"/>
              <w:ind w:left="290" w:right="848" w:hanging="290"/>
              <w:rPr>
                <w:rFonts w:ascii="Times New Roman" w:hAnsi="Times New Roman"/>
                <w:sz w:val="20"/>
                <w:szCs w:val="20"/>
              </w:rPr>
            </w:pPr>
          </w:p>
          <w:p w:rsidR="00076A83" w:rsidRPr="001A1A38" w:rsidP="0056013F">
            <w:pPr>
              <w:bidi w:val="0"/>
              <w:spacing w:after="0" w:line="240" w:lineRule="auto"/>
              <w:ind w:left="290" w:hanging="290"/>
              <w:rPr>
                <w:rFonts w:ascii="Times New Roman" w:hAnsi="Times New Roman"/>
                <w:sz w:val="20"/>
                <w:szCs w:val="20"/>
              </w:rPr>
            </w:pPr>
          </w:p>
        </w:tc>
      </w:tr>
    </w:tbl>
    <w:p w:rsidR="00076A83" w:rsidRPr="001A1A38" w:rsidP="00076A83">
      <w:pPr>
        <w:bidi w:val="0"/>
        <w:rPr>
          <w:rFonts w:ascii="Times New Roman" w:hAnsi="Times New Roman"/>
        </w:rPr>
      </w:pPr>
    </w:p>
    <w:tbl>
      <w:tblPr>
        <w:tblStyle w:val="TableNormal"/>
        <w:tblW w:w="1526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73"/>
        <w:gridCol w:w="14088"/>
      </w:tblGrid>
      <w:tr>
        <w:tblPrEx>
          <w:tblW w:w="1526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Height w:val="240"/>
        </w:trPr>
        <w:tc>
          <w:tcPr>
            <w:tcW w:w="15261" w:type="dxa"/>
            <w:gridSpan w:val="2"/>
            <w:tcBorders>
              <w:top w:val="single" w:sz="12" w:space="0" w:color="auto"/>
              <w:left w:val="single" w:sz="12" w:space="0" w:color="auto"/>
              <w:bottom w:val="single" w:sz="4" w:space="0" w:color="auto"/>
              <w:right w:val="single" w:sz="12" w:space="0" w:color="auto"/>
            </w:tcBorders>
            <w:textDirection w:val="lrTb"/>
            <w:vAlign w:val="top"/>
          </w:tcPr>
          <w:p w:rsidR="00076A83" w:rsidRPr="0057707F" w:rsidP="0056013F">
            <w:pPr>
              <w:bidi w:val="0"/>
              <w:spacing w:after="0" w:line="240" w:lineRule="auto"/>
              <w:jc w:val="center"/>
              <w:rPr>
                <w:rFonts w:ascii="Times New Roman" w:hAnsi="Times New Roman"/>
                <w:b/>
                <w:bCs/>
                <w:sz w:val="20"/>
                <w:szCs w:val="20"/>
              </w:rPr>
            </w:pPr>
            <w:r w:rsidRPr="0057707F">
              <w:rPr>
                <w:rFonts w:ascii="Times New Roman" w:hAnsi="Times New Roman"/>
                <w:b/>
                <w:bCs/>
                <w:sz w:val="20"/>
                <w:szCs w:val="20"/>
              </w:rPr>
              <w:t xml:space="preserve">Zoznam všeobecne záväzných právnych predpisov preberajúcich smernicu </w:t>
            </w:r>
            <w:r w:rsidRPr="0057707F">
              <w:rPr>
                <w:rStyle w:val="Strong"/>
                <w:rFonts w:ascii="Times New Roman" w:hAnsi="Times New Roman"/>
                <w:bCs/>
                <w:sz w:val="20"/>
                <w:szCs w:val="20"/>
              </w:rPr>
              <w:t>2009/7</w:t>
            </w:r>
            <w:r>
              <w:rPr>
                <w:rStyle w:val="Strong"/>
                <w:rFonts w:ascii="Times New Roman" w:hAnsi="Times New Roman"/>
                <w:bCs/>
                <w:sz w:val="20"/>
                <w:szCs w:val="20"/>
              </w:rPr>
              <w:t>2</w:t>
            </w:r>
            <w:r w:rsidRPr="0057707F">
              <w:rPr>
                <w:rStyle w:val="Strong"/>
                <w:rFonts w:ascii="Times New Roman" w:hAnsi="Times New Roman"/>
                <w:bCs/>
                <w:sz w:val="20"/>
                <w:szCs w:val="20"/>
              </w:rPr>
              <w:t>/ES z 13. júla 2009</w:t>
            </w:r>
          </w:p>
        </w:tc>
      </w:tr>
      <w:tr>
        <w:tblPrEx>
          <w:tblW w:w="15261" w:type="dxa"/>
          <w:tblInd w:w="-497" w:type="dxa"/>
          <w:tblLayout w:type="fixed"/>
          <w:tblCellMar>
            <w:left w:w="43" w:type="dxa"/>
            <w:right w:w="43" w:type="dxa"/>
          </w:tblCellMar>
        </w:tblPrEx>
        <w:trPr>
          <w:cantSplit/>
          <w:trHeight w:val="244"/>
        </w:trPr>
        <w:tc>
          <w:tcPr>
            <w:tcW w:w="1173" w:type="dxa"/>
            <w:tcBorders>
              <w:top w:val="single" w:sz="4" w:space="0" w:color="auto"/>
              <w:left w:val="single" w:sz="12" w:space="0" w:color="auto"/>
              <w:bottom w:val="single" w:sz="4" w:space="0" w:color="auto"/>
              <w:right w:val="single" w:sz="4" w:space="0" w:color="auto"/>
            </w:tcBorders>
            <w:textDirection w:val="lrTb"/>
            <w:vAlign w:val="top"/>
          </w:tcPr>
          <w:p w:rsidR="00076A83" w:rsidRPr="0057707F" w:rsidP="0056013F">
            <w:pPr>
              <w:bidi w:val="0"/>
              <w:spacing w:after="0" w:line="240" w:lineRule="auto"/>
              <w:jc w:val="center"/>
              <w:rPr>
                <w:rFonts w:ascii="Times New Roman" w:hAnsi="Times New Roman"/>
                <w:sz w:val="20"/>
                <w:szCs w:val="20"/>
              </w:rPr>
            </w:pPr>
            <w:r w:rsidRPr="0057707F">
              <w:rPr>
                <w:rFonts w:ascii="Times New Roman" w:hAnsi="Times New Roman"/>
                <w:sz w:val="20"/>
                <w:szCs w:val="20"/>
              </w:rPr>
              <w:t>Por. č.</w:t>
            </w:r>
          </w:p>
        </w:tc>
        <w:tc>
          <w:tcPr>
            <w:tcW w:w="14087" w:type="dxa"/>
            <w:tcBorders>
              <w:top w:val="single" w:sz="4" w:space="0" w:color="auto"/>
              <w:left w:val="single" w:sz="4" w:space="0" w:color="auto"/>
              <w:bottom w:val="single" w:sz="4" w:space="0" w:color="auto"/>
              <w:right w:val="single" w:sz="12" w:space="0" w:color="auto"/>
            </w:tcBorders>
            <w:textDirection w:val="lrTb"/>
            <w:vAlign w:val="top"/>
          </w:tcPr>
          <w:p w:rsidR="00076A83" w:rsidRPr="0057707F" w:rsidP="0056013F">
            <w:pPr>
              <w:pStyle w:val="Normlny"/>
              <w:bidi w:val="0"/>
              <w:spacing w:after="0" w:line="240" w:lineRule="auto"/>
              <w:rPr>
                <w:rFonts w:ascii="Times New Roman" w:hAnsi="Times New Roman"/>
                <w:lang w:eastAsia="sk-SK"/>
              </w:rPr>
            </w:pPr>
            <w:r w:rsidRPr="0057707F">
              <w:rPr>
                <w:rFonts w:ascii="Times New Roman" w:hAnsi="Times New Roman"/>
                <w:lang w:eastAsia="sk-SK"/>
              </w:rPr>
              <w:t>Názov predpisu</w:t>
            </w:r>
          </w:p>
        </w:tc>
      </w:tr>
      <w:tr>
        <w:tblPrEx>
          <w:tblW w:w="15261" w:type="dxa"/>
          <w:tblInd w:w="-497" w:type="dxa"/>
          <w:tblLayout w:type="fixed"/>
          <w:tblCellMar>
            <w:left w:w="43" w:type="dxa"/>
            <w:right w:w="43" w:type="dxa"/>
          </w:tblCellMar>
        </w:tblPrEx>
        <w:trPr>
          <w:cantSplit/>
          <w:trHeight w:val="227"/>
        </w:trPr>
        <w:tc>
          <w:tcPr>
            <w:tcW w:w="1173" w:type="dxa"/>
            <w:tcBorders>
              <w:top w:val="single" w:sz="4" w:space="0" w:color="auto"/>
              <w:left w:val="single" w:sz="12" w:space="0" w:color="auto"/>
              <w:bottom w:val="single" w:sz="4" w:space="0" w:color="auto"/>
              <w:right w:val="single" w:sz="4" w:space="0" w:color="auto"/>
            </w:tcBorders>
            <w:textDirection w:val="lrTb"/>
            <w:vAlign w:val="top"/>
          </w:tcPr>
          <w:p w:rsidR="00076A83" w:rsidRPr="0057707F" w:rsidP="00076A83">
            <w:pPr>
              <w:numPr>
                <w:numId w:val="2"/>
              </w:numPr>
              <w:autoSpaceDE w:val="0"/>
              <w:autoSpaceDN w:val="0"/>
              <w:bidi w:val="0"/>
              <w:spacing w:after="0" w:line="240" w:lineRule="auto"/>
              <w:jc w:val="center"/>
              <w:rPr>
                <w:rFonts w:ascii="Times New Roman" w:hAnsi="Times New Roman"/>
                <w:sz w:val="20"/>
                <w:szCs w:val="20"/>
              </w:rPr>
            </w:pPr>
          </w:p>
        </w:tc>
        <w:tc>
          <w:tcPr>
            <w:tcW w:w="14087" w:type="dxa"/>
            <w:tcBorders>
              <w:top w:val="single" w:sz="4" w:space="0" w:color="auto"/>
              <w:left w:val="single" w:sz="4" w:space="0" w:color="auto"/>
              <w:bottom w:val="single" w:sz="4" w:space="0" w:color="auto"/>
              <w:right w:val="single" w:sz="12" w:space="0" w:color="auto"/>
            </w:tcBorders>
            <w:textDirection w:val="lrTb"/>
            <w:vAlign w:val="top"/>
          </w:tcPr>
          <w:p w:rsidR="00076A83" w:rsidRPr="0057707F" w:rsidP="0056013F">
            <w:pPr>
              <w:tabs>
                <w:tab w:val="left" w:pos="3030"/>
              </w:tabs>
              <w:bidi w:val="0"/>
              <w:spacing w:after="0" w:line="240" w:lineRule="auto"/>
              <w:rPr>
                <w:rFonts w:ascii="Times New Roman" w:hAnsi="Times New Roman"/>
                <w:sz w:val="20"/>
                <w:szCs w:val="20"/>
              </w:rPr>
            </w:pPr>
            <w:r>
              <w:rPr>
                <w:rFonts w:ascii="Times New Roman" w:hAnsi="Times New Roman"/>
                <w:sz w:val="20"/>
                <w:szCs w:val="20"/>
              </w:rPr>
              <w:t>Zákon č. 251/2012 Z. z.</w:t>
            </w:r>
            <w:r w:rsidRPr="0057707F">
              <w:rPr>
                <w:rFonts w:ascii="Times New Roman" w:hAnsi="Times New Roman"/>
                <w:sz w:val="20"/>
                <w:szCs w:val="20"/>
              </w:rPr>
              <w:t xml:space="preserve"> o energetike a o zmene a doplnení niektorých zákonov</w:t>
            </w:r>
            <w:r>
              <w:rPr>
                <w:rFonts w:ascii="Times New Roman" w:hAnsi="Times New Roman"/>
                <w:sz w:val="20"/>
                <w:szCs w:val="20"/>
              </w:rPr>
              <w:t xml:space="preserve"> v znení neskorších predpisov</w:t>
            </w:r>
          </w:p>
        </w:tc>
      </w:tr>
      <w:tr>
        <w:tblPrEx>
          <w:tblW w:w="15261" w:type="dxa"/>
          <w:tblInd w:w="-497" w:type="dxa"/>
          <w:tblLayout w:type="fixed"/>
          <w:tblCellMar>
            <w:left w:w="43" w:type="dxa"/>
            <w:right w:w="43" w:type="dxa"/>
          </w:tblCellMar>
        </w:tblPrEx>
        <w:trPr>
          <w:cantSplit/>
          <w:trHeight w:val="227"/>
        </w:trPr>
        <w:tc>
          <w:tcPr>
            <w:tcW w:w="1173" w:type="dxa"/>
            <w:tcBorders>
              <w:top w:val="single" w:sz="4" w:space="0" w:color="auto"/>
              <w:left w:val="single" w:sz="12" w:space="0" w:color="auto"/>
              <w:bottom w:val="single" w:sz="4" w:space="0" w:color="auto"/>
              <w:right w:val="single" w:sz="4" w:space="0" w:color="auto"/>
            </w:tcBorders>
            <w:textDirection w:val="lrTb"/>
            <w:vAlign w:val="top"/>
          </w:tcPr>
          <w:p w:rsidR="00076A83" w:rsidRPr="0057707F" w:rsidP="00076A83">
            <w:pPr>
              <w:numPr>
                <w:numId w:val="2"/>
              </w:numPr>
              <w:autoSpaceDE w:val="0"/>
              <w:autoSpaceDN w:val="0"/>
              <w:bidi w:val="0"/>
              <w:spacing w:after="0" w:line="240" w:lineRule="auto"/>
              <w:jc w:val="center"/>
              <w:rPr>
                <w:rFonts w:ascii="Times New Roman" w:hAnsi="Times New Roman"/>
                <w:sz w:val="20"/>
                <w:szCs w:val="20"/>
              </w:rPr>
            </w:pPr>
          </w:p>
        </w:tc>
        <w:tc>
          <w:tcPr>
            <w:tcW w:w="14087" w:type="dxa"/>
            <w:tcBorders>
              <w:top w:val="single" w:sz="4" w:space="0" w:color="auto"/>
              <w:left w:val="single" w:sz="4" w:space="0" w:color="auto"/>
              <w:bottom w:val="single" w:sz="4" w:space="0" w:color="auto"/>
              <w:right w:val="single" w:sz="12" w:space="0" w:color="auto"/>
            </w:tcBorders>
            <w:textDirection w:val="lrTb"/>
            <w:vAlign w:val="top"/>
          </w:tcPr>
          <w:p w:rsidR="00076A83" w:rsidRPr="0057707F" w:rsidP="0056013F">
            <w:pPr>
              <w:pStyle w:val="abc"/>
              <w:bidi w:val="0"/>
              <w:spacing w:after="0" w:line="240" w:lineRule="auto"/>
              <w:rPr>
                <w:rFonts w:ascii="Times New Roman" w:hAnsi="Times New Roman"/>
              </w:rPr>
            </w:pPr>
            <w:r>
              <w:rPr>
                <w:rFonts w:ascii="Times New Roman" w:hAnsi="Times New Roman"/>
              </w:rPr>
              <w:t>Zákon č. 250/2012 Z. z.</w:t>
            </w:r>
            <w:r w:rsidRPr="0057707F">
              <w:rPr>
                <w:rFonts w:ascii="Times New Roman" w:hAnsi="Times New Roman"/>
              </w:rPr>
              <w:t xml:space="preserve"> o regulácii v sieťových odvetviach</w:t>
            </w:r>
            <w:r>
              <w:rPr>
                <w:rFonts w:ascii="Times New Roman" w:hAnsi="Times New Roman"/>
              </w:rPr>
              <w:t xml:space="preserve"> v znení neskorších predpisov</w:t>
            </w:r>
          </w:p>
        </w:tc>
      </w:tr>
      <w:tr>
        <w:tblPrEx>
          <w:tblW w:w="15261" w:type="dxa"/>
          <w:tblInd w:w="-497" w:type="dxa"/>
          <w:tblLayout w:type="fixed"/>
          <w:tblCellMar>
            <w:left w:w="43" w:type="dxa"/>
            <w:right w:w="43" w:type="dxa"/>
          </w:tblCellMar>
        </w:tblPrEx>
        <w:trPr>
          <w:cantSplit/>
          <w:trHeight w:val="240"/>
        </w:trPr>
        <w:tc>
          <w:tcPr>
            <w:tcW w:w="1173" w:type="dxa"/>
            <w:tcBorders>
              <w:top w:val="single" w:sz="4" w:space="0" w:color="auto"/>
              <w:left w:val="single" w:sz="12" w:space="0" w:color="auto"/>
              <w:bottom w:val="single" w:sz="12" w:space="0" w:color="auto"/>
              <w:right w:val="single" w:sz="4" w:space="0" w:color="auto"/>
            </w:tcBorders>
            <w:textDirection w:val="lrTb"/>
            <w:vAlign w:val="top"/>
          </w:tcPr>
          <w:p w:rsidR="00076A83" w:rsidRPr="0057707F" w:rsidP="00076A83">
            <w:pPr>
              <w:numPr>
                <w:numId w:val="2"/>
              </w:numPr>
              <w:autoSpaceDE w:val="0"/>
              <w:autoSpaceDN w:val="0"/>
              <w:bidi w:val="0"/>
              <w:spacing w:after="0" w:line="240" w:lineRule="auto"/>
              <w:jc w:val="center"/>
              <w:rPr>
                <w:rFonts w:ascii="Times New Roman" w:hAnsi="Times New Roman"/>
                <w:sz w:val="20"/>
                <w:szCs w:val="20"/>
              </w:rPr>
            </w:pPr>
          </w:p>
        </w:tc>
        <w:tc>
          <w:tcPr>
            <w:tcW w:w="14087" w:type="dxa"/>
            <w:tcBorders>
              <w:top w:val="single" w:sz="4" w:space="0" w:color="auto"/>
              <w:left w:val="single" w:sz="4" w:space="0" w:color="auto"/>
              <w:bottom w:val="single" w:sz="12" w:space="0" w:color="auto"/>
              <w:right w:val="single" w:sz="12" w:space="0" w:color="auto"/>
            </w:tcBorders>
            <w:textDirection w:val="lrTb"/>
            <w:vAlign w:val="top"/>
          </w:tcPr>
          <w:p w:rsidR="00076A83" w:rsidRPr="00F81A73" w:rsidP="0056013F">
            <w:pPr>
              <w:pStyle w:val="abc"/>
              <w:bidi w:val="0"/>
              <w:spacing w:after="0" w:line="240" w:lineRule="auto"/>
              <w:rPr>
                <w:rFonts w:ascii="Times New Roman" w:hAnsi="Times New Roman"/>
              </w:rPr>
            </w:pPr>
            <w:r>
              <w:rPr>
                <w:rFonts w:ascii="Times New Roman" w:hAnsi="Times New Roman"/>
              </w:rPr>
              <w:t xml:space="preserve">Zákon </w:t>
            </w:r>
            <w:r w:rsidRPr="0057707F">
              <w:rPr>
                <w:rFonts w:ascii="Times New Roman" w:hAnsi="Times New Roman"/>
              </w:rPr>
              <w:t>č. 523/2004 Z. z. o rozpočtových pravidlách verejnej správy a o zmene a doplnení niektorých zákonov v znení neskorších predpisov</w:t>
            </w:r>
          </w:p>
        </w:tc>
      </w:tr>
    </w:tbl>
    <w:p w:rsidR="00076A83" w:rsidP="00076A83">
      <w:pPr>
        <w:bidi w:val="0"/>
        <w:rPr>
          <w:rFonts w:ascii="Times New Roman" w:hAnsi="Times New Roman"/>
        </w:rPr>
      </w:pPr>
    </w:p>
    <w:p w:rsidR="00076A83" w:rsidP="00076A83">
      <w:pPr>
        <w:bidi w:val="0"/>
        <w:rPr>
          <w:rFonts w:ascii="Times New Roman" w:hAnsi="Times New Roman"/>
        </w:rPr>
      </w:pPr>
      <w:r>
        <w:rPr>
          <w:rFonts w:ascii="Times New Roman" w:hAnsi="Times New Roman"/>
        </w:rPr>
        <w:br w:type="page"/>
      </w:r>
    </w:p>
    <w:tbl>
      <w:tblPr>
        <w:tblStyle w:val="TableNormal"/>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1080"/>
        <w:gridCol w:w="900"/>
        <w:gridCol w:w="3929"/>
        <w:gridCol w:w="931"/>
        <w:gridCol w:w="3240"/>
      </w:tblGrid>
      <w:tr>
        <w:tblPrEx>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076A83" w:rsidRPr="00E408FD" w:rsidP="0056013F">
            <w:pPr>
              <w:pStyle w:val="Heading1"/>
              <w:numPr>
                <w:numId w:val="0"/>
              </w:numPr>
              <w:tabs>
                <w:tab w:val="clear" w:pos="567"/>
              </w:tabs>
              <w:bidi w:val="0"/>
              <w:spacing w:after="0" w:line="240" w:lineRule="auto"/>
              <w:ind w:firstLine="0"/>
              <w:jc w:val="left"/>
              <w:rPr>
                <w:sz w:val="20"/>
              </w:rPr>
            </w:pPr>
            <w:r w:rsidRPr="00E408FD">
              <w:rPr>
                <w:rFonts w:hint="default"/>
                <w:caps/>
                <w:sz w:val="20"/>
              </w:rPr>
              <w:t>Tabuľ</w:t>
            </w:r>
            <w:r w:rsidRPr="00E408FD">
              <w:rPr>
                <w:rFonts w:hint="default"/>
                <w:caps/>
                <w:sz w:val="20"/>
              </w:rPr>
              <w:t xml:space="preserve">ka </w:t>
            </w:r>
            <w:r w:rsidRPr="00E408FD">
              <w:rPr>
                <w:sz w:val="20"/>
              </w:rPr>
              <w:t xml:space="preserve">ZHODY </w:t>
            </w:r>
          </w:p>
          <w:p w:rsidR="00076A83" w:rsidRPr="00E408FD" w:rsidP="0056013F">
            <w:pPr>
              <w:bidi w:val="0"/>
              <w:spacing w:after="0" w:line="240" w:lineRule="auto"/>
              <w:rPr>
                <w:rFonts w:ascii="Times New Roman" w:hAnsi="Times New Roman"/>
                <w:b/>
                <w:bCs/>
                <w:sz w:val="20"/>
                <w:szCs w:val="20"/>
              </w:rPr>
            </w:pPr>
            <w:r w:rsidRPr="00E408FD">
              <w:rPr>
                <w:rFonts w:ascii="Times New Roman" w:hAnsi="Times New Roman"/>
                <w:b/>
                <w:bCs/>
                <w:sz w:val="20"/>
                <w:szCs w:val="20"/>
              </w:rPr>
              <w:t>NA ÚČELY OZNÁMENIA TRANSPOZÍCIE SMERNICE 2009/73/ES</w:t>
            </w:r>
          </w:p>
        </w:tc>
      </w:tr>
      <w:tr>
        <w:tblPrEx>
          <w:tblW w:w="15300" w:type="dxa"/>
          <w:jc w:val="center"/>
          <w:tblLayout w:type="fixed"/>
          <w:tblCellMar>
            <w:left w:w="43" w:type="dxa"/>
            <w:right w:w="43" w:type="dxa"/>
          </w:tblCellMar>
        </w:tblPrEx>
        <w:trPr>
          <w:cantSplit/>
          <w:trHeight w:val="567"/>
          <w:jc w:val="center"/>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076A83" w:rsidRPr="00E408FD" w:rsidP="0056013F">
            <w:pPr>
              <w:pStyle w:val="Heading4"/>
              <w:numPr>
                <w:ilvl w:val="0"/>
                <w:numId w:val="0"/>
              </w:numPr>
              <w:tabs>
                <w:tab w:val="clear" w:pos="1418"/>
              </w:tabs>
              <w:bidi w:val="0"/>
              <w:spacing w:line="240" w:lineRule="auto"/>
              <w:ind w:firstLine="0"/>
              <w:jc w:val="center"/>
              <w:rPr>
                <w:rFonts w:ascii="Times New Roman" w:hAnsi="Times New Roman"/>
                <w:sz w:val="20"/>
                <w:szCs w:val="20"/>
              </w:rPr>
            </w:pPr>
            <w:r w:rsidRPr="00E408FD">
              <w:rPr>
                <w:rFonts w:ascii="Times New Roman" w:hAnsi="Times New Roman"/>
                <w:sz w:val="20"/>
                <w:szCs w:val="20"/>
              </w:rPr>
              <w:t>Smernica Európskeho parlamentu a Rady 2009/73/ES z 13. júla 2009 o spoločných pravidlách pre vnútorný trh so zemným plynom, ktorou sa zrušuje smernica 2003/55/ES</w:t>
            </w:r>
          </w:p>
          <w:p w:rsidR="00076A83" w:rsidRPr="00E408FD" w:rsidP="0056013F">
            <w:pPr>
              <w:bidi w:val="0"/>
              <w:spacing w:after="0" w:line="240" w:lineRule="auto"/>
              <w:jc w:val="center"/>
              <w:rPr>
                <w:rFonts w:ascii="Times New Roman" w:hAnsi="Times New Roman"/>
                <w:sz w:val="20"/>
                <w:szCs w:val="20"/>
              </w:rPr>
            </w:pP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076A83" w:rsidRPr="00E408FD" w:rsidP="0056013F">
            <w:pPr>
              <w:tabs>
                <w:tab w:val="left" w:pos="3030"/>
              </w:tabs>
              <w:bidi w:val="0"/>
              <w:spacing w:after="0" w:line="240" w:lineRule="auto"/>
              <w:jc w:val="center"/>
              <w:rPr>
                <w:rFonts w:ascii="Times New Roman" w:hAnsi="Times New Roman"/>
                <w:sz w:val="20"/>
                <w:szCs w:val="20"/>
              </w:rPr>
            </w:pPr>
            <w:r w:rsidRPr="00E408FD">
              <w:rPr>
                <w:rFonts w:ascii="Times New Roman" w:hAnsi="Times New Roman"/>
                <w:sz w:val="20"/>
                <w:szCs w:val="20"/>
              </w:rPr>
              <w:t>Návrh zákona, ktorým sa mení a dopĺňa zákon č. 251/2012 Z. z. o energetike a o zmene a doplnení niektorých zákonov v znení neskorších predpisov (ďalej len „Návrh ZoE“).</w:t>
            </w:r>
          </w:p>
          <w:p w:rsidR="00076A83" w:rsidRPr="00E408FD" w:rsidP="0056013F">
            <w:pPr>
              <w:tabs>
                <w:tab w:val="left" w:pos="3030"/>
              </w:tabs>
              <w:bidi w:val="0"/>
              <w:spacing w:after="0" w:line="240" w:lineRule="auto"/>
              <w:rPr>
                <w:rFonts w:ascii="Times New Roman" w:hAnsi="Times New Roman"/>
                <w:sz w:val="20"/>
                <w:szCs w:val="20"/>
              </w:rPr>
            </w:pPr>
          </w:p>
        </w:tc>
      </w:tr>
      <w:tr>
        <w:tblPrEx>
          <w:tblW w:w="15300" w:type="dxa"/>
          <w:jc w:val="center"/>
          <w:tblLayout w:type="fixed"/>
          <w:tblCellMar>
            <w:left w:w="43" w:type="dxa"/>
            <w:right w:w="43" w:type="dxa"/>
          </w:tblCellMar>
        </w:tblPrEx>
        <w:trPr>
          <w:jc w:val="center"/>
        </w:trPr>
        <w:tc>
          <w:tcPr>
            <w:tcW w:w="899" w:type="dxa"/>
            <w:tcBorders>
              <w:top w:val="single" w:sz="12" w:space="0" w:color="auto"/>
              <w:left w:val="single" w:sz="12" w:space="0" w:color="auto"/>
              <w:bottom w:val="single" w:sz="4" w:space="0" w:color="auto"/>
              <w:right w:val="single" w:sz="4"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rPr>
            </w:pPr>
            <w:r w:rsidRPr="00E408FD">
              <w:rPr>
                <w:rFonts w:ascii="Times New Roman" w:hAnsi="Times New Roman"/>
                <w:sz w:val="20"/>
                <w:szCs w:val="20"/>
              </w:rPr>
              <w:t>1</w:t>
            </w:r>
          </w:p>
        </w:tc>
        <w:tc>
          <w:tcPr>
            <w:tcW w:w="3421" w:type="dxa"/>
            <w:tcBorders>
              <w:top w:val="single" w:sz="12" w:space="0" w:color="auto"/>
              <w:left w:val="single" w:sz="4" w:space="0" w:color="auto"/>
              <w:bottom w:val="single" w:sz="4" w:space="0" w:color="auto"/>
              <w:right w:val="single" w:sz="4"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rPr>
            </w:pPr>
            <w:r w:rsidRPr="00E408FD">
              <w:rPr>
                <w:rFonts w:ascii="Times New Roman" w:hAnsi="Times New Roman"/>
                <w:sz w:val="20"/>
                <w:szCs w:val="20"/>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rPr>
            </w:pPr>
            <w:r w:rsidRPr="00E408FD">
              <w:rPr>
                <w:rFonts w:ascii="Times New Roman" w:hAnsi="Times New Roman"/>
                <w:sz w:val="20"/>
                <w:szCs w:val="20"/>
              </w:rPr>
              <w:t>3</w:t>
            </w:r>
          </w:p>
        </w:tc>
        <w:tc>
          <w:tcPr>
            <w:tcW w:w="1080" w:type="dxa"/>
            <w:tcBorders>
              <w:top w:val="single" w:sz="12" w:space="0" w:color="auto"/>
              <w:left w:val="nil"/>
              <w:bottom w:val="single" w:sz="4" w:space="0" w:color="auto"/>
              <w:right w:val="single" w:sz="4"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rPr>
            </w:pPr>
            <w:r w:rsidRPr="00E408FD">
              <w:rPr>
                <w:rFonts w:ascii="Times New Roman" w:hAnsi="Times New Roman"/>
                <w:sz w:val="20"/>
                <w:szCs w:val="20"/>
              </w:rPr>
              <w:t>4</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076A83" w:rsidRPr="00E408FD" w:rsidP="0056013F">
            <w:pPr>
              <w:pStyle w:val="BodyText2"/>
              <w:bidi w:val="0"/>
              <w:spacing w:line="240" w:lineRule="exact"/>
              <w:rPr>
                <w:rFonts w:ascii="Times New Roman" w:hAnsi="Times New Roman"/>
                <w:sz w:val="20"/>
                <w:szCs w:val="20"/>
              </w:rPr>
            </w:pPr>
            <w:r w:rsidRPr="00E408FD">
              <w:rPr>
                <w:rFonts w:ascii="Times New Roman" w:hAnsi="Times New Roman"/>
                <w:sz w:val="20"/>
                <w:szCs w:val="20"/>
              </w:rPr>
              <w:t>5</w:t>
            </w:r>
          </w:p>
        </w:tc>
        <w:tc>
          <w:tcPr>
            <w:tcW w:w="3929" w:type="dxa"/>
            <w:tcBorders>
              <w:top w:val="single" w:sz="12" w:space="0" w:color="auto"/>
              <w:left w:val="single" w:sz="4" w:space="0" w:color="auto"/>
              <w:bottom w:val="single" w:sz="4" w:space="0" w:color="auto"/>
              <w:right w:val="single" w:sz="4" w:space="0" w:color="auto"/>
            </w:tcBorders>
            <w:textDirection w:val="lrTb"/>
            <w:vAlign w:val="top"/>
          </w:tcPr>
          <w:p w:rsidR="00076A83" w:rsidRPr="00E408FD" w:rsidP="0056013F">
            <w:pPr>
              <w:pStyle w:val="BodyText2"/>
              <w:bidi w:val="0"/>
              <w:spacing w:line="240" w:lineRule="exact"/>
              <w:rPr>
                <w:rFonts w:ascii="Times New Roman" w:hAnsi="Times New Roman"/>
                <w:sz w:val="20"/>
                <w:szCs w:val="20"/>
              </w:rPr>
            </w:pPr>
            <w:r w:rsidRPr="00E408FD">
              <w:rPr>
                <w:rFonts w:ascii="Times New Roman" w:hAnsi="Times New Roman"/>
                <w:sz w:val="20"/>
                <w:szCs w:val="20"/>
              </w:rPr>
              <w:t>6</w:t>
            </w:r>
          </w:p>
        </w:tc>
        <w:tc>
          <w:tcPr>
            <w:tcW w:w="931" w:type="dxa"/>
            <w:tcBorders>
              <w:top w:val="single" w:sz="12" w:space="0" w:color="auto"/>
              <w:left w:val="single" w:sz="4" w:space="0" w:color="auto"/>
              <w:bottom w:val="single" w:sz="4" w:space="0" w:color="auto"/>
              <w:right w:val="single" w:sz="4"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rPr>
            </w:pPr>
            <w:r w:rsidRPr="00E408FD">
              <w:rPr>
                <w:rFonts w:ascii="Times New Roman" w:hAnsi="Times New Roman"/>
                <w:sz w:val="20"/>
                <w:szCs w:val="20"/>
              </w:rPr>
              <w:t>7</w:t>
            </w:r>
          </w:p>
        </w:tc>
        <w:tc>
          <w:tcPr>
            <w:tcW w:w="3240" w:type="dxa"/>
            <w:tcBorders>
              <w:top w:val="single" w:sz="12" w:space="0" w:color="auto"/>
              <w:left w:val="single" w:sz="4" w:space="0" w:color="auto"/>
              <w:bottom w:val="single" w:sz="4" w:space="0" w:color="auto"/>
              <w:right w:val="single" w:sz="12"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rPr>
            </w:pPr>
            <w:r w:rsidRPr="00E408FD">
              <w:rPr>
                <w:rFonts w:ascii="Times New Roman" w:hAnsi="Times New Roman"/>
                <w:sz w:val="20"/>
                <w:szCs w:val="20"/>
              </w:rPr>
              <w:t>8</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Článok</w:t>
            </w:r>
          </w:p>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(Č, O,</w:t>
            </w:r>
          </w:p>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Spôsob transp.</w:t>
            </w:r>
          </w:p>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(N, O, D, n.a.)</w:t>
            </w:r>
          </w:p>
        </w:tc>
        <w:tc>
          <w:tcPr>
            <w:tcW w:w="1080" w:type="dxa"/>
            <w:tcBorders>
              <w:top w:val="single" w:sz="4" w:space="0" w:color="auto"/>
              <w:left w:val="nil"/>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Článok</w:t>
            </w:r>
          </w:p>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 xml:space="preserve"> (Č, §, O, V, P)</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Text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Zhoda</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Poznámky</w:t>
            </w:r>
          </w:p>
          <w:p w:rsidR="00076A83" w:rsidRPr="00E408FD" w:rsidP="0056013F">
            <w:pPr>
              <w:pStyle w:val="Normlny"/>
              <w:bidi w:val="0"/>
              <w:spacing w:after="0" w:line="240" w:lineRule="auto"/>
              <w:ind w:right="-43"/>
              <w:jc w:val="center"/>
              <w:rPr>
                <w:rFonts w:ascii="Times New Roman" w:hAnsi="Times New Roman"/>
              </w:rPr>
            </w:pPr>
            <w:r w:rsidRPr="00E408FD">
              <w:rPr>
                <w:rFonts w:ascii="Times New Roman" w:hAnsi="Times New Roman"/>
              </w:rPr>
              <w:t>(pri návrhu predpisu – predpokladaný dátum účinnosti**)</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D5EA6" w:rsidP="0056013F">
            <w:pPr>
              <w:pStyle w:val="Normlny"/>
              <w:bidi w:val="0"/>
              <w:spacing w:after="0" w:line="240" w:lineRule="auto"/>
              <w:rPr>
                <w:rFonts w:ascii="Times New Roman" w:hAnsi="Times New Roman"/>
              </w:rPr>
            </w:pPr>
            <w:r>
              <w:rPr>
                <w:rFonts w:ascii="Times New Roman" w:hAnsi="Times New Roman"/>
              </w:rPr>
              <w:t>Čl. 4</w:t>
            </w:r>
          </w:p>
          <w:p w:rsidR="005D5EA6" w:rsidRPr="00E408FD" w:rsidP="0056013F">
            <w:pPr>
              <w:pStyle w:val="Normlny"/>
              <w:bidi w:val="0"/>
              <w:spacing w:after="0" w:line="240" w:lineRule="auto"/>
              <w:rPr>
                <w:rFonts w:ascii="Times New Roman" w:hAnsi="Times New Roman"/>
              </w:rPr>
            </w:pPr>
            <w:r>
              <w:rPr>
                <w:rFonts w:ascii="Times New Roman" w:hAnsi="Times New Roman"/>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5EA6" w:rsidRPr="00E408FD" w:rsidP="005D5EA6">
            <w:pPr>
              <w:pStyle w:val="ManualNumPar1"/>
              <w:bidi w:val="0"/>
              <w:spacing w:before="0" w:after="0" w:line="240" w:lineRule="auto"/>
              <w:ind w:left="0" w:firstLine="0"/>
              <w:jc w:val="both"/>
              <w:rPr>
                <w:rFonts w:ascii="Times New Roman" w:hAnsi="Times New Roman"/>
                <w:sz w:val="20"/>
                <w:szCs w:val="20"/>
              </w:rPr>
            </w:pPr>
            <w:r w:rsidRPr="005D5EA6">
              <w:rPr>
                <w:rFonts w:ascii="Times New Roman" w:hAnsi="Times New Roman"/>
                <w:sz w:val="20"/>
                <w:szCs w:val="20"/>
              </w:rPr>
              <w:t>Za okolností, v ktorých je na výstavbu alebo prevádzku plynárenských zariadení potrebné povolenie (napr. licencia, povolenie, koncesia, súhlas alebo schválenie), členské štáty alebo</w:t>
            </w:r>
            <w:r w:rsidR="0008469C">
              <w:rPr>
                <w:rFonts w:ascii="Times New Roman" w:hAnsi="Times New Roman"/>
                <w:sz w:val="20"/>
                <w:szCs w:val="20"/>
              </w:rPr>
              <w:t xml:space="preserve"> </w:t>
            </w:r>
            <w:r w:rsidRPr="005D5EA6">
              <w:rPr>
                <w:rFonts w:ascii="Times New Roman" w:hAnsi="Times New Roman"/>
                <w:sz w:val="20"/>
                <w:szCs w:val="20"/>
              </w:rPr>
              <w:t>akýkoľvek nimi určený príslušný orgán udeľujú povolenie na výstavbu a/alebo prevádzku týchto zariadení, plynovodov a súvisiacich zariadení na svojom území v súlade s odsekmi 2 až 4. Členské</w:t>
            </w:r>
            <w:r w:rsidR="0008469C">
              <w:rPr>
                <w:rFonts w:ascii="Times New Roman" w:hAnsi="Times New Roman"/>
                <w:sz w:val="20"/>
                <w:szCs w:val="20"/>
              </w:rPr>
              <w:t xml:space="preserve"> </w:t>
            </w:r>
            <w:r w:rsidRPr="005D5EA6">
              <w:rPr>
                <w:rFonts w:ascii="Times New Roman" w:hAnsi="Times New Roman"/>
                <w:sz w:val="20"/>
                <w:szCs w:val="20"/>
              </w:rPr>
              <w:t>štáty alebo akýkoľvek nimi určený príslušný orgán môžu na rovnakom základe udeľovať povolenia aj pre dodávku zemného plynu a pre veľkoobchodných odberateľov.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D5EA6" w:rsidRPr="00E408FD" w:rsidP="0056013F">
            <w:pPr>
              <w:bidi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D5EA6" w:rsidRPr="00E408FD" w:rsidP="0056013F">
            <w:pPr>
              <w:pStyle w:val="Normlny"/>
              <w:bidi w:val="0"/>
              <w:spacing w:after="0" w:line="240" w:lineRule="auto"/>
              <w:jc w:val="center"/>
              <w:rPr>
                <w:rFonts w:ascii="Times New Roman" w:hAnsi="Times New Roman"/>
              </w:rPr>
            </w:pPr>
            <w:r>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D5EA6" w:rsidRPr="00E408FD" w:rsidP="0056013F">
            <w:pPr>
              <w:pStyle w:val="Normlny"/>
              <w:bidi w:val="0"/>
              <w:spacing w:after="0" w:line="240" w:lineRule="auto"/>
              <w:jc w:val="center"/>
              <w:rPr>
                <w:rFonts w:ascii="Times New Roman" w:hAnsi="Times New Roman"/>
              </w:rPr>
            </w:pPr>
            <w:r w:rsidR="0008469C">
              <w:rPr>
                <w:rFonts w:ascii="Times New Roman" w:hAnsi="Times New Roman"/>
              </w:rPr>
              <w:t>§ 7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08469C" w:rsidRPr="0008469C" w:rsidP="0008469C">
            <w:pPr>
              <w:widowControl w:val="0"/>
              <w:bidi w:val="0"/>
              <w:spacing w:after="0" w:line="240" w:lineRule="auto"/>
              <w:jc w:val="both"/>
              <w:rPr>
                <w:rFonts w:ascii="Times New Roman" w:hAnsi="Times New Roman"/>
                <w:bCs/>
                <w:sz w:val="20"/>
                <w:szCs w:val="20"/>
                <w:lang w:eastAsia="en-US"/>
              </w:rPr>
            </w:pPr>
            <w:r w:rsidRPr="0008469C">
              <w:rPr>
                <w:rFonts w:ascii="Times New Roman" w:hAnsi="Times New Roman"/>
                <w:bCs/>
                <w:sz w:val="20"/>
                <w:szCs w:val="20"/>
                <w:lang w:eastAsia="en-US"/>
              </w:rPr>
              <w:t>V § 7 ods. 5 sa na konci pripája táto veta:</w:t>
            </w:r>
          </w:p>
          <w:p w:rsidR="0008469C" w:rsidRPr="0008469C" w:rsidP="0008469C">
            <w:pPr>
              <w:widowControl w:val="0"/>
              <w:bidi w:val="0"/>
              <w:spacing w:after="0" w:line="240" w:lineRule="auto"/>
              <w:ind w:left="12"/>
              <w:jc w:val="both"/>
              <w:rPr>
                <w:rFonts w:ascii="Times New Roman" w:hAnsi="Times New Roman"/>
                <w:bCs/>
                <w:sz w:val="20"/>
                <w:szCs w:val="20"/>
                <w:lang w:eastAsia="en-US"/>
              </w:rPr>
            </w:pPr>
            <w:r w:rsidRPr="0008469C">
              <w:rPr>
                <w:rFonts w:ascii="Times New Roman" w:hAnsi="Times New Roman"/>
                <w:bCs/>
                <w:sz w:val="20"/>
                <w:szCs w:val="20"/>
                <w:lang w:eastAsia="en-US"/>
              </w:rPr>
              <w:t>„Žiadateľ o vydanie povolenia na distribúciu plynu je povinný okrem splnenia podmienok uvedených v odsekoch 1 a 2 preukázať osvedčenie na výstavbu energetického zariadenia podľa § 12 aj vtedy, ak bude prevádzkovať novú distribučnú sieť vybudovanú ako rozšírenie existujúcej distribučnej siete iného prevádzkovateľa.“.</w:t>
            </w:r>
          </w:p>
          <w:p w:rsidR="005D5EA6" w:rsidRPr="00E408FD" w:rsidP="0056013F">
            <w:pPr>
              <w:widowControl w:val="0"/>
              <w:bidi w:val="0"/>
              <w:spacing w:after="0" w:line="240" w:lineRule="auto"/>
              <w:ind w:left="12"/>
              <w:jc w:val="both"/>
              <w:rPr>
                <w:rFonts w:ascii="Times New Roman" w:hAnsi="Times New Roman"/>
                <w:bCs/>
                <w:sz w:val="20"/>
                <w:szCs w:val="20"/>
                <w:lang w:eastAsia="en-US"/>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D5EA6" w:rsidRPr="00E408FD" w:rsidP="0056013F">
            <w:pPr>
              <w:pStyle w:val="Normlny"/>
              <w:bidi w:val="0"/>
              <w:spacing w:after="0" w:line="240" w:lineRule="auto"/>
              <w:jc w:val="center"/>
              <w:rPr>
                <w:rFonts w:ascii="Times New Roman" w:hAnsi="Times New Roman"/>
              </w:rPr>
            </w:pPr>
            <w:r w:rsidR="0008469C">
              <w:rPr>
                <w:rFonts w:ascii="Times New Roman" w:hAnsi="Times New Roman"/>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D5EA6" w:rsidRPr="00E408FD" w:rsidP="0056013F">
            <w:pPr>
              <w:pStyle w:val="Normlny"/>
              <w:bidi w:val="0"/>
              <w:spacing w:after="0" w:line="240" w:lineRule="auto"/>
              <w:ind w:right="-43"/>
              <w:jc w:val="center"/>
              <w:rPr>
                <w:rFonts w:ascii="Times New Roman" w:hAnsi="Times New Roman"/>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rPr>
                <w:rFonts w:ascii="Times New Roman" w:hAnsi="Times New Roman"/>
              </w:rPr>
            </w:pPr>
            <w:r w:rsidRPr="00E408FD">
              <w:rPr>
                <w:rFonts w:ascii="Times New Roman" w:hAnsi="Times New Roman"/>
              </w:rPr>
              <w:t>Čl. 41</w:t>
            </w:r>
          </w:p>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ManualNumPar1"/>
              <w:bidi w:val="0"/>
              <w:spacing w:before="0" w:after="0" w:line="240" w:lineRule="auto"/>
              <w:ind w:left="0" w:firstLine="0"/>
              <w:jc w:val="both"/>
              <w:rPr>
                <w:rFonts w:ascii="Times New Roman" w:hAnsi="Times New Roman"/>
                <w:sz w:val="20"/>
                <w:szCs w:val="20"/>
              </w:rPr>
            </w:pPr>
            <w:r w:rsidRPr="00E408FD">
              <w:rPr>
                <w:rFonts w:ascii="Times New Roman" w:hAnsi="Times New Roman"/>
                <w:sz w:val="20"/>
                <w:szCs w:val="20"/>
              </w:rPr>
              <w:t>Ak bol podľa článku 14 určený nezávislý prevádzkovateľ siete, regulačný orgán okrem plnenia svojich povinností ustanovených v odseku 1 tohto článku:</w:t>
            </w:r>
          </w:p>
          <w:p w:rsidR="00076A83" w:rsidRPr="00E408FD" w:rsidP="0056013F">
            <w:pPr>
              <w:pStyle w:val="Point1"/>
              <w:bidi w:val="0"/>
              <w:spacing w:before="0" w:after="0" w:line="240" w:lineRule="auto"/>
              <w:ind w:left="0" w:firstLine="0"/>
              <w:jc w:val="both"/>
              <w:rPr>
                <w:rFonts w:ascii="Times New Roman" w:hAnsi="Times New Roman"/>
                <w:sz w:val="20"/>
                <w:szCs w:val="20"/>
              </w:rPr>
            </w:pPr>
            <w:r w:rsidRPr="00E408FD">
              <w:rPr>
                <w:rFonts w:ascii="Times New Roman" w:hAnsi="Times New Roman"/>
                <w:sz w:val="20"/>
                <w:szCs w:val="20"/>
              </w:rPr>
              <w:t>a) monitoruje, či si vlastník prepravnej siete a nezávislý prevádzkovateľ siete plnia svoje povinnosti vyplývajúce z tohto článku, a ukladá sankcie za ich neplnenie v súlade s odsekom 4 písm. d);</w:t>
            </w:r>
          </w:p>
          <w:p w:rsidR="00076A83" w:rsidRPr="00E408FD" w:rsidP="0056013F">
            <w:pPr>
              <w:pStyle w:val="Point1"/>
              <w:bidi w:val="0"/>
              <w:spacing w:before="0" w:after="0" w:line="240" w:lineRule="auto"/>
              <w:ind w:left="0" w:firstLine="0"/>
              <w:jc w:val="both"/>
              <w:rPr>
                <w:rFonts w:ascii="Times New Roman" w:hAnsi="Times New Roman"/>
                <w:sz w:val="20"/>
                <w:szCs w:val="20"/>
              </w:rPr>
            </w:pPr>
            <w:r w:rsidRPr="00E408FD">
              <w:rPr>
                <w:rFonts w:ascii="Times New Roman" w:hAnsi="Times New Roman"/>
                <w:sz w:val="20"/>
                <w:szCs w:val="20"/>
              </w:rPr>
              <w:t>b) monitoruje vzťahy a komunikáciu medzi nezávislým prevádzkovateľom siete a vlastníkom prepravnej siete tak, aby sa zabezpečilo plnenie povinností zo strany nezávislého prevádzkovateľa siete, a predovšetkým schvaľuje zmluvy a koná ako orgán na urovnanie sporov medzi nezávislým prevádzkovateľom siete a vlastníkom prepravnej siete v súvislosti so sťažnosťami ktorejkoľvek strany podľa odseku 11;</w:t>
            </w:r>
          </w:p>
          <w:p w:rsidR="00076A83" w:rsidRPr="00E408FD" w:rsidP="0056013F">
            <w:pPr>
              <w:pStyle w:val="Point1"/>
              <w:bidi w:val="0"/>
              <w:spacing w:before="0" w:after="0" w:line="240" w:lineRule="auto"/>
              <w:ind w:left="0" w:firstLine="0"/>
              <w:jc w:val="both"/>
              <w:rPr>
                <w:rFonts w:ascii="Times New Roman" w:hAnsi="Times New Roman"/>
                <w:sz w:val="20"/>
                <w:szCs w:val="20"/>
              </w:rPr>
            </w:pPr>
            <w:r w:rsidRPr="00E408FD">
              <w:rPr>
                <w:rFonts w:ascii="Times New Roman" w:hAnsi="Times New Roman"/>
                <w:sz w:val="20"/>
                <w:szCs w:val="20"/>
              </w:rPr>
              <w:t>c) bez toho, aby bol dotknutý postup uvedený v článku 14 ods. 2 písm. c), schvaľuje v súvislosti s prvým 10-ročným plánom rozvoja siete investičné plánovanie a viacročný plán rozvoja siete, ktoré každoročne predkladá nezávislý prevádzkovateľ siete;</w:t>
            </w:r>
          </w:p>
          <w:p w:rsidR="00076A83" w:rsidRPr="00E408FD" w:rsidP="0056013F">
            <w:pPr>
              <w:pStyle w:val="Point1"/>
              <w:bidi w:val="0"/>
              <w:spacing w:before="0" w:after="0" w:line="240" w:lineRule="auto"/>
              <w:ind w:left="0" w:firstLine="0"/>
              <w:jc w:val="both"/>
              <w:rPr>
                <w:rFonts w:ascii="Times New Roman" w:hAnsi="Times New Roman"/>
                <w:sz w:val="20"/>
                <w:szCs w:val="20"/>
              </w:rPr>
            </w:pPr>
            <w:r w:rsidRPr="00E408FD">
              <w:rPr>
                <w:rFonts w:ascii="Times New Roman" w:hAnsi="Times New Roman"/>
                <w:sz w:val="20"/>
                <w:szCs w:val="20"/>
              </w:rPr>
              <w:t>d) zabezpečuje, aby tarify za prístup do siete, ktoré vyberá nezávislý prevádzkovateľ siete, zahŕňali náhradu pre vlastníka siete alebo vlastníkov siete, ktorá tvorí primeranú kompenzáciu za používanie aktív siete a všetky nové investície do nej za predpokladu, že sú hospodárne a efektívne; a</w:t>
            </w:r>
          </w:p>
          <w:p w:rsidR="00076A83" w:rsidRPr="00E408FD" w:rsidP="0056013F">
            <w:pPr>
              <w:pStyle w:val="Normlny"/>
              <w:bidi w:val="0"/>
              <w:spacing w:after="0" w:line="240" w:lineRule="auto"/>
              <w:jc w:val="both"/>
              <w:rPr>
                <w:rFonts w:ascii="Times New Roman" w:hAnsi="Times New Roman"/>
              </w:rPr>
            </w:pPr>
            <w:r w:rsidRPr="00E408FD">
              <w:rPr>
                <w:rFonts w:ascii="Times New Roman" w:hAnsi="Times New Roman"/>
              </w:rPr>
              <w:t>e) má právomoc vykonávať inšpekcie v priestoroch vlastníka prepravnej siete a nezávislého prevádzkovateľa siete vrátane neohlásených inšpekcií.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lang w:eastAsia="en-US"/>
              </w:rPr>
            </w:pPr>
            <w:r w:rsidRPr="00E408FD">
              <w:rPr>
                <w:rFonts w:ascii="Times New Roman" w:hAnsi="Times New Roman"/>
                <w:sz w:val="20"/>
                <w:szCs w:val="20"/>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 63</w:t>
            </w:r>
          </w:p>
          <w:p w:rsidR="00076A83" w:rsidRPr="00E408FD" w:rsidP="0056013F">
            <w:pPr>
              <w:bidi w:val="0"/>
              <w:spacing w:after="0" w:line="240" w:lineRule="auto"/>
              <w:jc w:val="center"/>
              <w:rPr>
                <w:rFonts w:ascii="Times New Roman" w:hAnsi="Times New Roman"/>
                <w:sz w:val="20"/>
                <w:szCs w:val="20"/>
                <w:lang w:eastAsia="en-US"/>
              </w:rPr>
            </w:pPr>
            <w:r w:rsidRPr="00E408FD">
              <w:rPr>
                <w:rFonts w:ascii="Times New Roman" w:hAnsi="Times New Roman"/>
                <w:sz w:val="20"/>
                <w:szCs w:val="20"/>
              </w:rPr>
              <w:t>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widowControl w:val="0"/>
              <w:bidi w:val="0"/>
              <w:spacing w:after="0" w:line="240" w:lineRule="auto"/>
              <w:ind w:left="12"/>
              <w:jc w:val="both"/>
              <w:rPr>
                <w:rFonts w:ascii="Times New Roman" w:hAnsi="Times New Roman"/>
                <w:bCs/>
                <w:sz w:val="20"/>
                <w:szCs w:val="20"/>
                <w:lang w:eastAsia="en-US"/>
              </w:rPr>
            </w:pPr>
            <w:r w:rsidRPr="00E408FD">
              <w:rPr>
                <w:rFonts w:ascii="Times New Roman" w:hAnsi="Times New Roman"/>
                <w:bCs/>
                <w:sz w:val="20"/>
                <w:szCs w:val="20"/>
                <w:lang w:eastAsia="en-US"/>
              </w:rPr>
              <w:t>V § 63 ods. 5 sa vypúšťajú slová „treťou osobou“.</w:t>
            </w:r>
          </w:p>
          <w:p w:rsidR="00076A83" w:rsidRPr="00E408FD" w:rsidP="0056013F">
            <w:pPr>
              <w:pStyle w:val="Normlny"/>
              <w:bidi w:val="0"/>
              <w:spacing w:after="0" w:line="240" w:lineRule="auto"/>
              <w:jc w:val="both"/>
              <w:rPr>
                <w:rFonts w:ascii="Times New Roman" w:eastAsia="Arial Unicode MS" w:hAnsi="Times New Roman"/>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076A83" w:rsidRPr="00E408FD" w:rsidP="0056013F">
            <w:pPr>
              <w:pStyle w:val="Normlny"/>
              <w:bidi w:val="0"/>
              <w:spacing w:after="0" w:line="240" w:lineRule="auto"/>
              <w:ind w:right="-43"/>
              <w:jc w:val="center"/>
              <w:rPr>
                <w:rFonts w:ascii="Times New Roman" w:hAnsi="Times New Roman"/>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rPr>
                <w:rFonts w:ascii="Times New Roman" w:hAnsi="Times New Roman"/>
              </w:rPr>
            </w:pPr>
            <w:r w:rsidRPr="00E408FD">
              <w:rPr>
                <w:rFonts w:ascii="Times New Roman" w:hAnsi="Times New Roman"/>
              </w:rPr>
              <w:t>Čl. 41</w:t>
            </w:r>
          </w:p>
          <w:p w:rsidR="00076A83" w:rsidRPr="00E408FD" w:rsidP="0056013F">
            <w:pPr>
              <w:pStyle w:val="Normlny"/>
              <w:bidi w:val="0"/>
              <w:spacing w:after="0" w:line="240" w:lineRule="auto"/>
              <w:rPr>
                <w:rFonts w:ascii="Times New Roman" w:hAnsi="Times New Roman"/>
              </w:rPr>
            </w:pPr>
            <w:r w:rsidRPr="00E408FD">
              <w:rPr>
                <w:rFonts w:ascii="Times New Roman" w:hAnsi="Times New Roman"/>
              </w:rPr>
              <w:t>O:4</w:t>
            </w:r>
          </w:p>
          <w:p w:rsidR="00076A83" w:rsidRPr="00E408FD" w:rsidP="0056013F">
            <w:pPr>
              <w:pStyle w:val="Normlny"/>
              <w:bidi w:val="0"/>
              <w:spacing w:after="0" w:line="240" w:lineRule="auto"/>
              <w:rPr>
                <w:rFonts w:ascii="Times New Roman" w:hAnsi="Times New Roman"/>
              </w:rPr>
            </w:pPr>
            <w:r w:rsidRPr="00E408FD">
              <w:rPr>
                <w:rFonts w:ascii="Times New Roman" w:hAnsi="Times New Roman"/>
              </w:rPr>
              <w:t>P:d</w:t>
            </w:r>
          </w:p>
          <w:p w:rsidR="00076A83" w:rsidRPr="00E408FD" w:rsidP="0056013F">
            <w:pPr>
              <w:pStyle w:val="Normlny"/>
              <w:bidi w:val="0"/>
              <w:spacing w:after="0" w:line="240" w:lineRule="auto"/>
              <w:rPr>
                <w:rFonts w:ascii="Times New Roman" w:hAnsi="Times New Roman"/>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ManualNumPar1"/>
              <w:bidi w:val="0"/>
              <w:spacing w:before="0" w:after="0" w:line="240" w:lineRule="auto"/>
              <w:ind w:left="0" w:firstLine="0"/>
              <w:jc w:val="both"/>
              <w:rPr>
                <w:rFonts w:ascii="Times New Roman" w:hAnsi="Times New Roman"/>
                <w:sz w:val="20"/>
                <w:szCs w:val="20"/>
              </w:rPr>
            </w:pPr>
            <w:r w:rsidRPr="00E408FD">
              <w:rPr>
                <w:rFonts w:ascii="Times New Roman" w:hAnsi="Times New Roman"/>
                <w:sz w:val="20"/>
                <w:szCs w:val="20"/>
              </w:rPr>
              <w:t>d) plynárenským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 ukladať prevádzkovateľovi prepravnej siete alebo vertikálne integrovanému podniku podľa situácie sankcie za neplnenie ich príslušných povinností, ktoré vyplývajú z tejto smernice, alebo navrhovať uloženie takýchto sankcií, v maximálnej výške 10 % ročného obratu prevádzkovateľa prepravnej siete alebo až 10 % ročného obratu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076A83" w:rsidRPr="00E408FD" w:rsidP="0056013F">
            <w:pPr>
              <w:bidi w:val="0"/>
              <w:spacing w:after="0" w:line="240" w:lineRule="auto"/>
              <w:jc w:val="center"/>
              <w:rPr>
                <w:rFonts w:ascii="Times New Roman" w:hAnsi="Times New Roman"/>
                <w:sz w:val="20"/>
                <w:szCs w:val="20"/>
                <w:lang w:eastAsia="en-US"/>
              </w:rPr>
            </w:pPr>
            <w:r w:rsidRPr="00E408FD">
              <w:rPr>
                <w:rFonts w:ascii="Times New Roman" w:hAnsi="Times New Roman"/>
                <w:sz w:val="20"/>
                <w:szCs w:val="20"/>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 91 ods. 2</w:t>
            </w: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p w:rsidR="00076A83" w:rsidRPr="00E408FD" w:rsidP="0056013F">
            <w:pPr>
              <w:pStyle w:val="Normlny"/>
              <w:bidi w:val="0"/>
              <w:spacing w:after="0" w:line="240" w:lineRule="auto"/>
              <w:jc w:val="center"/>
              <w:rPr>
                <w:rFonts w:ascii="Times New Roman" w:hAnsi="Times New Roman"/>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076A83">
            <w:pPr>
              <w:widowControl w:val="0"/>
              <w:numPr>
                <w:numId w:val="3"/>
              </w:numPr>
              <w:bidi w:val="0"/>
              <w:spacing w:after="0" w:line="240" w:lineRule="auto"/>
              <w:ind w:left="12"/>
              <w:jc w:val="both"/>
              <w:rPr>
                <w:rFonts w:ascii="Times New Roman" w:hAnsi="Times New Roman"/>
                <w:sz w:val="20"/>
                <w:szCs w:val="20"/>
                <w:lang w:eastAsia="en-US"/>
              </w:rPr>
            </w:pPr>
            <w:r w:rsidRPr="00E408FD">
              <w:rPr>
                <w:rFonts w:ascii="Times New Roman" w:hAnsi="Times New Roman"/>
                <w:sz w:val="20"/>
                <w:szCs w:val="20"/>
                <w:lang w:eastAsia="en-US"/>
              </w:rPr>
              <w:t>V § 91 ods. 2 sa na začiatku vkladajú písmená a) a b), ktoré znejú:</w:t>
            </w:r>
          </w:p>
          <w:p w:rsidR="00076A83" w:rsidRPr="00E408FD" w:rsidP="0056013F">
            <w:pPr>
              <w:widowControl w:val="0"/>
              <w:bidi w:val="0"/>
              <w:spacing w:after="0" w:line="240" w:lineRule="auto"/>
              <w:ind w:left="12"/>
              <w:jc w:val="both"/>
              <w:rPr>
                <w:rFonts w:ascii="Times New Roman" w:hAnsi="Times New Roman"/>
                <w:sz w:val="20"/>
                <w:szCs w:val="20"/>
                <w:lang w:eastAsia="en-US"/>
              </w:rPr>
            </w:pPr>
          </w:p>
          <w:p w:rsidR="00676E5D" w:rsidRPr="00676E5D" w:rsidP="00676E5D">
            <w:pPr>
              <w:widowControl w:val="0"/>
              <w:bidi w:val="0"/>
              <w:spacing w:after="0" w:line="240" w:lineRule="auto"/>
              <w:jc w:val="both"/>
              <w:rPr>
                <w:rFonts w:ascii="Times New Roman" w:hAnsi="Times New Roman"/>
                <w:sz w:val="20"/>
                <w:szCs w:val="20"/>
                <w:lang w:eastAsia="en-US"/>
              </w:rPr>
            </w:pPr>
            <w:r w:rsidRPr="00676E5D">
              <w:rPr>
                <w:rFonts w:ascii="Times New Roman" w:hAnsi="Times New Roman"/>
                <w:sz w:val="20"/>
                <w:szCs w:val="20"/>
                <w:lang w:eastAsia="en-US"/>
              </w:rPr>
              <w:t xml:space="preserve">a) do 10%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 15 ods. 9, 12, 17, 18, § 16, § 19 ods. 6, 8, § 28 ods. 2 písm. i) až q), x) až z), § 28 ods. 3 písm. a), b), e) až g), i), p) až u), w), x), z) až ac), § 28 ods. 5, § 29, § 30, § 49 ods. 3 až 5, § 49 ods. 6 písm. c) až h), j), k), m), </w:t>
            </w:r>
            <w:hyperlink r:id="rId5" w:anchor="paragraf-49.odsek-7.pismeno-a" w:tooltip="Odkaz na predpis alebo ustanovenie" w:history="1">
              <w:r w:rsidRPr="00676E5D">
                <w:rPr>
                  <w:rFonts w:ascii="Times New Roman" w:hAnsi="Times New Roman"/>
                  <w:sz w:val="20"/>
                  <w:szCs w:val="20"/>
                  <w:lang w:eastAsia="en-US"/>
                </w:rPr>
                <w:t>§ 49 ods. 7 písm. a)</w:t>
              </w:r>
            </w:hyperlink>
            <w:r w:rsidRPr="00676E5D">
              <w:rPr>
                <w:rFonts w:ascii="Times New Roman" w:hAnsi="Times New Roman"/>
                <w:sz w:val="20"/>
                <w:szCs w:val="20"/>
                <w:lang w:eastAsia="en-US"/>
              </w:rPr>
              <w:t>, </w:t>
            </w:r>
            <w:hyperlink r:id="rId5" w:anchor="paragraf-49.odsek-7.pismeno-c" w:tooltip="Odkaz na predpis alebo ustanovenie" w:history="1">
              <w:r w:rsidRPr="00676E5D">
                <w:rPr>
                  <w:rFonts w:ascii="Times New Roman" w:hAnsi="Times New Roman"/>
                  <w:sz w:val="20"/>
                  <w:szCs w:val="20"/>
                  <w:lang w:eastAsia="en-US"/>
                </w:rPr>
                <w:t>b), c)</w:t>
              </w:r>
            </w:hyperlink>
            <w:r w:rsidRPr="00676E5D">
              <w:rPr>
                <w:rFonts w:ascii="Times New Roman" w:hAnsi="Times New Roman"/>
                <w:sz w:val="20"/>
                <w:szCs w:val="20"/>
                <w:lang w:eastAsia="en-US"/>
              </w:rPr>
              <w:t>, </w:t>
            </w:r>
            <w:hyperlink r:id="rId5" w:anchor="paragraf-49.odsek-7.pismeno-h" w:tooltip="Odkaz na predpis alebo ustanovenie" w:history="1">
              <w:r w:rsidRPr="00676E5D">
                <w:rPr>
                  <w:rFonts w:ascii="Times New Roman" w:hAnsi="Times New Roman"/>
                  <w:sz w:val="20"/>
                  <w:szCs w:val="20"/>
                  <w:lang w:eastAsia="en-US"/>
                </w:rPr>
                <w:t>f)</w:t>
              </w:r>
            </w:hyperlink>
            <w:r w:rsidRPr="00676E5D">
              <w:rPr>
                <w:rFonts w:ascii="Times New Roman" w:hAnsi="Times New Roman"/>
                <w:sz w:val="20"/>
                <w:szCs w:val="20"/>
                <w:lang w:eastAsia="en-US"/>
              </w:rPr>
              <w:t>, </w:t>
            </w:r>
            <w:hyperlink r:id="rId5" w:anchor="paragraf-49.odsek-7.pismeno-k" w:tooltip="Odkaz na predpis alebo ustanovenie" w:history="1">
              <w:r w:rsidRPr="00676E5D">
                <w:rPr>
                  <w:rFonts w:ascii="Times New Roman" w:hAnsi="Times New Roman"/>
                  <w:sz w:val="20"/>
                  <w:szCs w:val="20"/>
                  <w:lang w:eastAsia="en-US"/>
                </w:rPr>
                <w:t>h) až m)</w:t>
              </w:r>
            </w:hyperlink>
            <w:r w:rsidRPr="00676E5D">
              <w:rPr>
                <w:rFonts w:ascii="Times New Roman" w:hAnsi="Times New Roman"/>
                <w:sz w:val="20"/>
                <w:szCs w:val="20"/>
                <w:lang w:eastAsia="en-US"/>
              </w:rPr>
              <w:t>, § 49 ods. 8 až 10, § 50 až 63, § 96 ods. 14, 16, 22,</w:t>
            </w:r>
          </w:p>
          <w:p w:rsidR="00676E5D" w:rsidRPr="00676E5D" w:rsidP="00676E5D">
            <w:pPr>
              <w:widowControl w:val="0"/>
              <w:autoSpaceDE w:val="0"/>
              <w:autoSpaceDN w:val="0"/>
              <w:bidi w:val="0"/>
              <w:adjustRightInd w:val="0"/>
              <w:spacing w:after="0" w:line="240" w:lineRule="auto"/>
              <w:jc w:val="both"/>
              <w:rPr>
                <w:rFonts w:ascii="Times New Roman" w:hAnsi="Times New Roman"/>
                <w:sz w:val="20"/>
                <w:szCs w:val="20"/>
                <w:lang w:eastAsia="en-US"/>
              </w:rPr>
            </w:pPr>
            <w:r w:rsidRPr="00676E5D">
              <w:rPr>
                <w:rFonts w:ascii="Times New Roman" w:hAnsi="Times New Roman"/>
                <w:sz w:val="20"/>
                <w:szCs w:val="20"/>
                <w:lang w:eastAsia="en-US"/>
              </w:rPr>
              <w:t>b) do 10% celkového obratu vertikálne integrovaného podniku za rok predchádzajúci roku, v ktorom došlo k porušeniu povinností, za porušenie povinností vertikálne integrovaného podniku uložených v § 15 ods. 9, 12, 17, 18, § 16, § 19 ods. 6, 8, § 28 ods. 2 písm. i) až q), x) až z), § 28 ods. 3 písm. a), b), e) až g), i), p) až u), w), x), z) až ac), § 28 ods. 5, § 29, § 30, § 32, § 49 ods. 3 až 5, § 49 ods. 6 písm. c) až h), j), k), m), § 49 ods. 7 písm. a), c) až e), h), k) až p), § 49 ods. 8 až 10, § 50 až 63, § 65, § 96 ods. 14, 16, 22,</w:t>
            </w:r>
          </w:p>
          <w:p w:rsidR="00076A83" w:rsidRPr="00E408FD" w:rsidP="0056013F">
            <w:pPr>
              <w:widowControl w:val="0"/>
              <w:bidi w:val="0"/>
              <w:spacing w:after="0" w:line="240" w:lineRule="auto"/>
              <w:ind w:left="12"/>
              <w:jc w:val="both"/>
              <w:rPr>
                <w:rFonts w:ascii="Times New Roman" w:hAnsi="Times New Roman"/>
                <w:sz w:val="20"/>
                <w:szCs w:val="20"/>
                <w:lang w:eastAsia="en-US"/>
              </w:rPr>
            </w:pPr>
          </w:p>
          <w:p w:rsidR="00076A83" w:rsidRPr="00E408FD" w:rsidP="0056013F">
            <w:pPr>
              <w:widowControl w:val="0"/>
              <w:bidi w:val="0"/>
              <w:spacing w:after="0" w:line="240" w:lineRule="auto"/>
              <w:ind w:left="12"/>
              <w:jc w:val="both"/>
              <w:rPr>
                <w:rFonts w:ascii="Times New Roman" w:hAnsi="Times New Roman"/>
                <w:sz w:val="20"/>
                <w:szCs w:val="20"/>
                <w:lang w:eastAsia="en-US"/>
              </w:rPr>
            </w:pPr>
            <w:r w:rsidRPr="00E408FD">
              <w:rPr>
                <w:rFonts w:ascii="Times New Roman" w:hAnsi="Times New Roman"/>
                <w:sz w:val="20"/>
                <w:szCs w:val="20"/>
                <w:lang w:eastAsia="en-US"/>
              </w:rPr>
              <w:t>Doterajšie písmená a) až h) sa označujú ako písmená c) až j).</w:t>
            </w:r>
          </w:p>
          <w:p w:rsidR="00076A83" w:rsidRPr="00E408FD" w:rsidP="0056013F">
            <w:pPr>
              <w:widowControl w:val="0"/>
              <w:bidi w:val="0"/>
              <w:spacing w:after="0" w:line="240" w:lineRule="auto"/>
              <w:ind w:left="12"/>
              <w:jc w:val="both"/>
              <w:rPr>
                <w:rFonts w:ascii="Times New Roman" w:hAnsi="Times New Roman"/>
                <w:sz w:val="20"/>
                <w:szCs w:val="20"/>
                <w:lang w:eastAsia="en-US"/>
              </w:rPr>
            </w:pPr>
          </w:p>
          <w:p w:rsidR="00676E5D" w:rsidRPr="00676E5D" w:rsidP="00676E5D">
            <w:pPr>
              <w:widowControl w:val="0"/>
              <w:bidi w:val="0"/>
              <w:spacing w:after="0" w:line="240" w:lineRule="auto"/>
              <w:jc w:val="both"/>
              <w:rPr>
                <w:rFonts w:ascii="Times New Roman" w:hAnsi="Times New Roman"/>
                <w:sz w:val="20"/>
                <w:szCs w:val="20"/>
                <w:lang w:eastAsia="en-US"/>
              </w:rPr>
            </w:pPr>
            <w:r w:rsidRPr="00676E5D">
              <w:rPr>
                <w:rFonts w:ascii="Times New Roman" w:hAnsi="Times New Roman"/>
                <w:sz w:val="20"/>
                <w:szCs w:val="20"/>
                <w:lang w:eastAsia="en-US"/>
              </w:rPr>
              <w:t>V § 91 ods. 2 písmeno c) znie:</w:t>
            </w:r>
          </w:p>
          <w:p w:rsidR="00676E5D" w:rsidRPr="00676E5D" w:rsidP="00676E5D">
            <w:pPr>
              <w:widowControl w:val="0"/>
              <w:bidi w:val="0"/>
              <w:spacing w:after="0" w:line="240" w:lineRule="auto"/>
              <w:jc w:val="both"/>
              <w:rPr>
                <w:rFonts w:ascii="Times New Roman" w:hAnsi="Times New Roman"/>
                <w:sz w:val="20"/>
                <w:szCs w:val="20"/>
                <w:lang w:eastAsia="en-US"/>
              </w:rPr>
            </w:pPr>
          </w:p>
          <w:p w:rsidR="00676E5D" w:rsidRPr="00676E5D" w:rsidP="00676E5D">
            <w:pPr>
              <w:widowControl w:val="0"/>
              <w:bidi w:val="0"/>
              <w:spacing w:after="0" w:line="240" w:lineRule="auto"/>
              <w:jc w:val="both"/>
              <w:rPr>
                <w:rFonts w:ascii="Times New Roman" w:hAnsi="Times New Roman"/>
                <w:sz w:val="20"/>
                <w:szCs w:val="20"/>
                <w:lang w:eastAsia="en-US"/>
              </w:rPr>
            </w:pPr>
            <w:r w:rsidRPr="00676E5D">
              <w:rPr>
                <w:rFonts w:ascii="Times New Roman" w:hAnsi="Times New Roman"/>
                <w:sz w:val="20"/>
                <w:szCs w:val="20"/>
                <w:lang w:eastAsia="en-US"/>
              </w:rPr>
              <w:t>„c) od 1 000 eur do 1 000 000 eur za porušenie povinností podľa § 18 ods. 3, § 19 ods. 7 alebo za porušenie povinností organizátora krátkodobého cezhraničného trhu s elektrinou alebo subjektu zúčtovania uložených v § 15 ods. 9 a 10, § 37 alebo prevádzkovateľa kombinovanej siete uložených v § 68,“.</w:t>
            </w:r>
          </w:p>
          <w:p w:rsidR="00076A83" w:rsidRPr="00E408FD" w:rsidP="0056013F">
            <w:pPr>
              <w:widowControl w:val="0"/>
              <w:bidi w:val="0"/>
              <w:spacing w:after="0" w:line="240" w:lineRule="auto"/>
              <w:ind w:left="12"/>
              <w:jc w:val="both"/>
              <w:rPr>
                <w:rFonts w:ascii="Times New Roman" w:hAnsi="Times New Roman"/>
                <w:sz w:val="20"/>
                <w:szCs w:val="20"/>
                <w:lang w:eastAsia="en-US"/>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076A83" w:rsidRPr="00E408FD" w:rsidP="0056013F">
            <w:pPr>
              <w:pStyle w:val="Normlny"/>
              <w:bidi w:val="0"/>
              <w:spacing w:after="0" w:line="240" w:lineRule="auto"/>
              <w:jc w:val="center"/>
              <w:rPr>
                <w:rFonts w:ascii="Times New Roman" w:hAnsi="Times New Roman"/>
              </w:rPr>
            </w:pPr>
            <w:r w:rsidRPr="00E408FD">
              <w:rPr>
                <w:rFonts w:ascii="Times New Roman" w:hAnsi="Times New Roman"/>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076A83" w:rsidRPr="00E408FD" w:rsidP="0056013F">
            <w:pPr>
              <w:pStyle w:val="Normlny"/>
              <w:bidi w:val="0"/>
              <w:spacing w:after="0" w:line="240" w:lineRule="auto"/>
              <w:ind w:right="-43"/>
              <w:jc w:val="center"/>
              <w:rPr>
                <w:rFonts w:ascii="Times New Roman" w:hAnsi="Times New Roman"/>
              </w:rPr>
            </w:pPr>
          </w:p>
        </w:tc>
      </w:tr>
    </w:tbl>
    <w:p w:rsidR="00076A83" w:rsidRPr="0057707F" w:rsidP="00076A83">
      <w:pPr>
        <w:bidi w:val="0"/>
        <w:rPr>
          <w:rFonts w:ascii="Times New Roman" w:hAnsi="Times New Roman"/>
        </w:rPr>
      </w:pPr>
      <w:bookmarkStart w:id="0" w:name="_GoBack"/>
      <w:bookmarkEnd w:id="0"/>
    </w:p>
    <w:p w:rsidR="00076A83" w:rsidRPr="0057707F" w:rsidP="00076A83">
      <w:pPr>
        <w:bidi w:val="0"/>
        <w:rPr>
          <w:rFonts w:ascii="Times New Roman" w:hAnsi="Times New Roman"/>
        </w:rPr>
      </w:pP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076A83" w:rsidRPr="0057707F" w:rsidP="0056013F">
            <w:pPr>
              <w:pStyle w:val="Normlny"/>
              <w:autoSpaceDE/>
              <w:autoSpaceDN/>
              <w:bidi w:val="0"/>
              <w:spacing w:after="60" w:line="240" w:lineRule="auto"/>
              <w:rPr>
                <w:rFonts w:ascii="Times New Roman" w:hAnsi="Times New Roman"/>
                <w:lang w:eastAsia="sk-SK"/>
              </w:rPr>
            </w:pPr>
            <w:r w:rsidRPr="0057707F">
              <w:rPr>
                <w:rFonts w:ascii="Times New Roman" w:hAnsi="Times New Roman"/>
                <w:lang w:eastAsia="sk-SK"/>
              </w:rPr>
              <w:t>V stĺpci (1):</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Č – článok</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O – odsek</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V – veta</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P – číslo (písmeno)</w:t>
            </w:r>
          </w:p>
          <w:p w:rsidR="00076A83" w:rsidRPr="0057707F" w:rsidP="0056013F">
            <w:pPr>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076A83" w:rsidRPr="0057707F" w:rsidP="0056013F">
            <w:pPr>
              <w:pStyle w:val="Normlny"/>
              <w:autoSpaceDE/>
              <w:autoSpaceDN/>
              <w:bidi w:val="0"/>
              <w:spacing w:after="60" w:line="240" w:lineRule="auto"/>
              <w:rPr>
                <w:rFonts w:ascii="Times New Roman" w:hAnsi="Times New Roman"/>
                <w:lang w:eastAsia="sk-SK"/>
              </w:rPr>
            </w:pPr>
            <w:r w:rsidRPr="0057707F">
              <w:rPr>
                <w:rFonts w:ascii="Times New Roman" w:hAnsi="Times New Roman"/>
                <w:lang w:eastAsia="sk-SK"/>
              </w:rPr>
              <w:t>V stĺpci (3):</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N – bežná transpozícia</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O – transpozícia s možnosťou voľby</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D – transpozícia podľa úvahy (dobrovoľná)</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76A83" w:rsidRPr="0057707F" w:rsidP="0056013F">
            <w:pPr>
              <w:pStyle w:val="Normlny"/>
              <w:autoSpaceDE/>
              <w:autoSpaceDN/>
              <w:bidi w:val="0"/>
              <w:spacing w:after="60" w:line="240" w:lineRule="auto"/>
              <w:rPr>
                <w:rFonts w:ascii="Times New Roman" w:hAnsi="Times New Roman"/>
                <w:lang w:eastAsia="sk-SK"/>
              </w:rPr>
            </w:pPr>
            <w:r w:rsidRPr="0057707F">
              <w:rPr>
                <w:rFonts w:ascii="Times New Roman" w:hAnsi="Times New Roman"/>
                <w:lang w:eastAsia="sk-SK"/>
              </w:rPr>
              <w:t>V stĺpci (5):</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Č – článok</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 – paragraf</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O – odsek</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V – veta</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076A83" w:rsidRPr="0057707F" w:rsidP="0056013F">
            <w:pPr>
              <w:pStyle w:val="Normlny"/>
              <w:autoSpaceDE/>
              <w:autoSpaceDN/>
              <w:bidi w:val="0"/>
              <w:spacing w:after="60" w:line="240" w:lineRule="auto"/>
              <w:rPr>
                <w:rFonts w:ascii="Times New Roman" w:hAnsi="Times New Roman"/>
                <w:lang w:eastAsia="sk-SK"/>
              </w:rPr>
            </w:pPr>
            <w:r w:rsidRPr="0057707F">
              <w:rPr>
                <w:rFonts w:ascii="Times New Roman" w:hAnsi="Times New Roman"/>
                <w:lang w:eastAsia="sk-SK"/>
              </w:rPr>
              <w:t>V stĺpci (7):</w:t>
            </w:r>
          </w:p>
          <w:p w:rsidR="00076A83" w:rsidRPr="0057707F" w:rsidP="00F667F9">
            <w:pPr>
              <w:bidi w:val="0"/>
              <w:spacing w:after="0" w:line="240" w:lineRule="auto"/>
              <w:ind w:left="290" w:right="422" w:hanging="290"/>
              <w:rPr>
                <w:rFonts w:ascii="Times New Roman" w:hAnsi="Times New Roman"/>
                <w:sz w:val="20"/>
                <w:szCs w:val="20"/>
              </w:rPr>
            </w:pPr>
            <w:r w:rsidRPr="0057707F">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076A83" w:rsidRPr="0057707F" w:rsidP="0056013F">
            <w:pPr>
              <w:bidi w:val="0"/>
              <w:spacing w:after="0" w:line="240" w:lineRule="auto"/>
              <w:rPr>
                <w:rFonts w:ascii="Times New Roman" w:hAnsi="Times New Roman"/>
                <w:sz w:val="20"/>
                <w:szCs w:val="20"/>
              </w:rPr>
            </w:pPr>
            <w:r w:rsidRPr="0057707F">
              <w:rPr>
                <w:rFonts w:ascii="Times New Roman" w:hAnsi="Times New Roman"/>
                <w:sz w:val="20"/>
                <w:szCs w:val="20"/>
              </w:rPr>
              <w:t>Č – čiastočná zhoda (ak minimálne jedna z podmienok úplnej zhody nie je splnená)</w:t>
            </w:r>
          </w:p>
          <w:p w:rsidR="00076A83" w:rsidRPr="0057707F" w:rsidP="00F667F9">
            <w:pPr>
              <w:pStyle w:val="BodyTextIndent2"/>
              <w:bidi w:val="0"/>
              <w:spacing w:after="0" w:line="240" w:lineRule="auto"/>
              <w:ind w:left="0"/>
              <w:rPr>
                <w:rFonts w:ascii="Times New Roman" w:hAnsi="Times New Roman"/>
                <w:sz w:val="20"/>
                <w:szCs w:val="20"/>
              </w:rPr>
            </w:pPr>
            <w:r w:rsidRPr="0057707F">
              <w:rPr>
                <w:rFonts w:ascii="Times New Roman" w:hAnsi="Times New Roman"/>
                <w:sz w:val="20"/>
                <w:szCs w:val="20"/>
              </w:rPr>
              <w:t xml:space="preserve">Ž – žiadna zhoda (ak nebola dosiahnutá ani úplná ani čiastočná zhoda alebo  </w:t>
              <w:br/>
              <w:t xml:space="preserve">       k prebratiu dôjde v budúcnosti)</w:t>
            </w:r>
          </w:p>
          <w:p w:rsidR="00076A83" w:rsidRPr="0057707F" w:rsidP="00F667F9">
            <w:pPr>
              <w:bidi w:val="0"/>
              <w:spacing w:after="0" w:line="240" w:lineRule="auto"/>
              <w:ind w:left="290" w:right="281" w:hanging="290"/>
              <w:rPr>
                <w:rFonts w:ascii="Times New Roman" w:hAnsi="Times New Roman"/>
                <w:sz w:val="20"/>
                <w:szCs w:val="20"/>
              </w:rPr>
            </w:pPr>
            <w:r w:rsidRPr="0057707F">
              <w:rPr>
                <w:rFonts w:ascii="Times New Roman" w:hAnsi="Times New Roman"/>
                <w:sz w:val="20"/>
                <w:szCs w:val="20"/>
              </w:rPr>
              <w:t>n.a. – neaplikovateľnosť (ak sa ustanovenie smernice netýka SR alebo nie je potrebné ho prebrať)</w:t>
            </w:r>
          </w:p>
        </w:tc>
      </w:tr>
    </w:tbl>
    <w:p w:rsidR="00076A83" w:rsidRPr="0057707F" w:rsidP="00076A83">
      <w:pPr>
        <w:bidi w:val="0"/>
        <w:rPr>
          <w:rFonts w:ascii="Times New Roman" w:hAnsi="Times New Roman"/>
        </w:rPr>
      </w:pPr>
    </w:p>
    <w:p w:rsidR="00076A83" w:rsidRPr="0057707F" w:rsidP="00076A83">
      <w:pPr>
        <w:bidi w:val="0"/>
        <w:rPr>
          <w:rFonts w:ascii="Times New Roman" w:hAnsi="Times New Roman"/>
        </w:rPr>
      </w:pPr>
    </w:p>
    <w:tbl>
      <w:tblPr>
        <w:tblStyle w:val="TableNormal"/>
        <w:tblW w:w="15472" w:type="dxa"/>
        <w:tblInd w:w="-74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35"/>
        <w:gridCol w:w="14337"/>
      </w:tblGrid>
      <w:tr>
        <w:tblPrEx>
          <w:tblW w:w="15472" w:type="dxa"/>
          <w:tblInd w:w="-74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Height w:val="240"/>
        </w:trPr>
        <w:tc>
          <w:tcPr>
            <w:tcW w:w="15472" w:type="dxa"/>
            <w:gridSpan w:val="2"/>
            <w:tcBorders>
              <w:top w:val="single" w:sz="12" w:space="0" w:color="auto"/>
              <w:left w:val="single" w:sz="12" w:space="0" w:color="auto"/>
              <w:bottom w:val="single" w:sz="4" w:space="0" w:color="auto"/>
              <w:right w:val="single" w:sz="12" w:space="0" w:color="auto"/>
            </w:tcBorders>
            <w:textDirection w:val="lrTb"/>
            <w:vAlign w:val="top"/>
          </w:tcPr>
          <w:p w:rsidR="00076A83" w:rsidRPr="0057707F" w:rsidP="0056013F">
            <w:pPr>
              <w:bidi w:val="0"/>
              <w:spacing w:after="0" w:line="240" w:lineRule="auto"/>
              <w:jc w:val="center"/>
              <w:rPr>
                <w:rFonts w:ascii="Times New Roman" w:hAnsi="Times New Roman"/>
                <w:b/>
                <w:bCs/>
                <w:sz w:val="20"/>
                <w:szCs w:val="20"/>
              </w:rPr>
            </w:pPr>
            <w:r w:rsidRPr="0057707F">
              <w:rPr>
                <w:rFonts w:ascii="Times New Roman" w:hAnsi="Times New Roman"/>
                <w:b/>
                <w:bCs/>
                <w:sz w:val="20"/>
                <w:szCs w:val="20"/>
              </w:rPr>
              <w:t xml:space="preserve">Zoznam všeobecne záväzných právnych predpisov preberajúcich smernicu </w:t>
            </w:r>
            <w:r w:rsidRPr="0057707F">
              <w:rPr>
                <w:rStyle w:val="Strong"/>
                <w:rFonts w:ascii="Times New Roman" w:hAnsi="Times New Roman"/>
                <w:bCs/>
                <w:sz w:val="20"/>
                <w:szCs w:val="20"/>
              </w:rPr>
              <w:t>2009/73/ES z 13. júla 2009</w:t>
            </w:r>
          </w:p>
        </w:tc>
      </w:tr>
      <w:tr>
        <w:tblPrEx>
          <w:tblW w:w="15472" w:type="dxa"/>
          <w:tblInd w:w="-742" w:type="dxa"/>
          <w:tblLayout w:type="fixed"/>
          <w:tblCellMar>
            <w:left w:w="43" w:type="dxa"/>
            <w:right w:w="43" w:type="dxa"/>
          </w:tblCellMar>
        </w:tblPrEx>
        <w:trPr>
          <w:cantSplit/>
          <w:trHeight w:val="184"/>
        </w:trPr>
        <w:tc>
          <w:tcPr>
            <w:tcW w:w="1135" w:type="dxa"/>
            <w:tcBorders>
              <w:top w:val="single" w:sz="4" w:space="0" w:color="auto"/>
              <w:left w:val="single" w:sz="12" w:space="0" w:color="auto"/>
              <w:bottom w:val="single" w:sz="4" w:space="0" w:color="auto"/>
              <w:right w:val="single" w:sz="4" w:space="0" w:color="auto"/>
            </w:tcBorders>
            <w:textDirection w:val="lrTb"/>
            <w:vAlign w:val="top"/>
          </w:tcPr>
          <w:p w:rsidR="00076A83" w:rsidRPr="0057707F" w:rsidP="0056013F">
            <w:pPr>
              <w:bidi w:val="0"/>
              <w:spacing w:after="0" w:line="240" w:lineRule="auto"/>
              <w:jc w:val="center"/>
              <w:rPr>
                <w:rFonts w:ascii="Times New Roman" w:hAnsi="Times New Roman"/>
                <w:sz w:val="20"/>
                <w:szCs w:val="20"/>
              </w:rPr>
            </w:pPr>
            <w:r w:rsidRPr="0057707F">
              <w:rPr>
                <w:rFonts w:ascii="Times New Roman" w:hAnsi="Times New Roman"/>
                <w:sz w:val="20"/>
                <w:szCs w:val="20"/>
              </w:rPr>
              <w:t>Por. č.</w:t>
            </w:r>
          </w:p>
        </w:tc>
        <w:tc>
          <w:tcPr>
            <w:tcW w:w="14337" w:type="dxa"/>
            <w:tcBorders>
              <w:top w:val="single" w:sz="4" w:space="0" w:color="auto"/>
              <w:left w:val="single" w:sz="4" w:space="0" w:color="auto"/>
              <w:bottom w:val="single" w:sz="4" w:space="0" w:color="auto"/>
              <w:right w:val="single" w:sz="12" w:space="0" w:color="auto"/>
            </w:tcBorders>
            <w:textDirection w:val="lrTb"/>
            <w:vAlign w:val="top"/>
          </w:tcPr>
          <w:p w:rsidR="00076A83" w:rsidRPr="0057707F" w:rsidP="0056013F">
            <w:pPr>
              <w:pStyle w:val="Normlny"/>
              <w:bidi w:val="0"/>
              <w:spacing w:after="0" w:line="240" w:lineRule="auto"/>
              <w:rPr>
                <w:rFonts w:ascii="Times New Roman" w:hAnsi="Times New Roman"/>
                <w:lang w:eastAsia="sk-SK"/>
              </w:rPr>
            </w:pPr>
            <w:r w:rsidRPr="0057707F">
              <w:rPr>
                <w:rFonts w:ascii="Times New Roman" w:hAnsi="Times New Roman"/>
                <w:lang w:eastAsia="sk-SK"/>
              </w:rPr>
              <w:t>Názov predpisu</w:t>
            </w:r>
          </w:p>
        </w:tc>
      </w:tr>
      <w:tr>
        <w:tblPrEx>
          <w:tblW w:w="15472" w:type="dxa"/>
          <w:tblInd w:w="-742" w:type="dxa"/>
          <w:tblLayout w:type="fixed"/>
          <w:tblCellMar>
            <w:left w:w="43" w:type="dxa"/>
            <w:right w:w="43" w:type="dxa"/>
          </w:tblCellMar>
        </w:tblPrEx>
        <w:trPr>
          <w:cantSplit/>
          <w:trHeight w:val="240"/>
        </w:trPr>
        <w:tc>
          <w:tcPr>
            <w:tcW w:w="1135" w:type="dxa"/>
            <w:tcBorders>
              <w:top w:val="single" w:sz="4" w:space="0" w:color="auto"/>
              <w:left w:val="single" w:sz="12" w:space="0" w:color="auto"/>
              <w:bottom w:val="single" w:sz="4" w:space="0" w:color="auto"/>
              <w:right w:val="single" w:sz="4" w:space="0" w:color="auto"/>
            </w:tcBorders>
            <w:textDirection w:val="lrTb"/>
            <w:vAlign w:val="top"/>
          </w:tcPr>
          <w:p w:rsidR="00076A83" w:rsidRPr="0057707F" w:rsidP="00076A83">
            <w:pPr>
              <w:numPr>
                <w:numId w:val="2"/>
              </w:numPr>
              <w:autoSpaceDE w:val="0"/>
              <w:autoSpaceDN w:val="0"/>
              <w:bidi w:val="0"/>
              <w:spacing w:after="0" w:line="240" w:lineRule="auto"/>
              <w:jc w:val="center"/>
              <w:rPr>
                <w:rFonts w:ascii="Times New Roman" w:hAnsi="Times New Roman"/>
                <w:sz w:val="20"/>
                <w:szCs w:val="20"/>
              </w:rPr>
            </w:pPr>
          </w:p>
        </w:tc>
        <w:tc>
          <w:tcPr>
            <w:tcW w:w="14337" w:type="dxa"/>
            <w:tcBorders>
              <w:top w:val="single" w:sz="4" w:space="0" w:color="auto"/>
              <w:left w:val="single" w:sz="4" w:space="0" w:color="auto"/>
              <w:bottom w:val="single" w:sz="4" w:space="0" w:color="auto"/>
              <w:right w:val="single" w:sz="12" w:space="0" w:color="auto"/>
            </w:tcBorders>
            <w:textDirection w:val="lrTb"/>
            <w:vAlign w:val="top"/>
          </w:tcPr>
          <w:p w:rsidR="00076A83" w:rsidRPr="0057707F" w:rsidP="0056013F">
            <w:pPr>
              <w:tabs>
                <w:tab w:val="left" w:pos="3030"/>
              </w:tabs>
              <w:bidi w:val="0"/>
              <w:spacing w:after="0" w:line="240" w:lineRule="auto"/>
              <w:rPr>
                <w:rFonts w:ascii="Times New Roman" w:hAnsi="Times New Roman"/>
                <w:sz w:val="20"/>
                <w:szCs w:val="20"/>
              </w:rPr>
            </w:pPr>
            <w:r>
              <w:rPr>
                <w:rFonts w:ascii="Times New Roman" w:hAnsi="Times New Roman"/>
                <w:sz w:val="20"/>
                <w:szCs w:val="20"/>
              </w:rPr>
              <w:t>Zákon č. 251/2012 Z. z.</w:t>
            </w:r>
            <w:r w:rsidRPr="0057707F">
              <w:rPr>
                <w:rFonts w:ascii="Times New Roman" w:hAnsi="Times New Roman"/>
                <w:sz w:val="20"/>
                <w:szCs w:val="20"/>
              </w:rPr>
              <w:t xml:space="preserve"> o energetike a o zmene a doplnení niektorých zákonov</w:t>
            </w:r>
            <w:r>
              <w:rPr>
                <w:rFonts w:ascii="Times New Roman" w:hAnsi="Times New Roman"/>
                <w:sz w:val="20"/>
                <w:szCs w:val="20"/>
              </w:rPr>
              <w:t xml:space="preserve"> v znení neskorších predpisov</w:t>
            </w:r>
          </w:p>
        </w:tc>
      </w:tr>
      <w:tr>
        <w:tblPrEx>
          <w:tblW w:w="15472" w:type="dxa"/>
          <w:tblInd w:w="-742" w:type="dxa"/>
          <w:tblLayout w:type="fixed"/>
          <w:tblCellMar>
            <w:left w:w="43" w:type="dxa"/>
            <w:right w:w="43" w:type="dxa"/>
          </w:tblCellMar>
        </w:tblPrEx>
        <w:trPr>
          <w:cantSplit/>
          <w:trHeight w:val="227"/>
        </w:trPr>
        <w:tc>
          <w:tcPr>
            <w:tcW w:w="1135" w:type="dxa"/>
            <w:tcBorders>
              <w:top w:val="single" w:sz="4" w:space="0" w:color="auto"/>
              <w:left w:val="single" w:sz="12" w:space="0" w:color="auto"/>
              <w:bottom w:val="single" w:sz="4" w:space="0" w:color="auto"/>
              <w:right w:val="single" w:sz="4" w:space="0" w:color="auto"/>
            </w:tcBorders>
            <w:textDirection w:val="lrTb"/>
            <w:vAlign w:val="top"/>
          </w:tcPr>
          <w:p w:rsidR="00076A83" w:rsidRPr="0057707F" w:rsidP="00076A83">
            <w:pPr>
              <w:numPr>
                <w:numId w:val="2"/>
              </w:numPr>
              <w:autoSpaceDE w:val="0"/>
              <w:autoSpaceDN w:val="0"/>
              <w:bidi w:val="0"/>
              <w:spacing w:after="0" w:line="240" w:lineRule="auto"/>
              <w:jc w:val="center"/>
              <w:rPr>
                <w:rFonts w:ascii="Times New Roman" w:hAnsi="Times New Roman"/>
                <w:sz w:val="20"/>
                <w:szCs w:val="20"/>
              </w:rPr>
            </w:pPr>
          </w:p>
        </w:tc>
        <w:tc>
          <w:tcPr>
            <w:tcW w:w="14337" w:type="dxa"/>
            <w:tcBorders>
              <w:top w:val="single" w:sz="4" w:space="0" w:color="auto"/>
              <w:left w:val="single" w:sz="4" w:space="0" w:color="auto"/>
              <w:bottom w:val="single" w:sz="4" w:space="0" w:color="auto"/>
              <w:right w:val="single" w:sz="12" w:space="0" w:color="auto"/>
            </w:tcBorders>
            <w:textDirection w:val="lrTb"/>
            <w:vAlign w:val="top"/>
          </w:tcPr>
          <w:p w:rsidR="00076A83" w:rsidRPr="0057707F" w:rsidP="0056013F">
            <w:pPr>
              <w:pStyle w:val="abc"/>
              <w:bidi w:val="0"/>
              <w:spacing w:after="0" w:line="240" w:lineRule="auto"/>
              <w:rPr>
                <w:rFonts w:ascii="Times New Roman" w:hAnsi="Times New Roman"/>
              </w:rPr>
            </w:pPr>
            <w:r>
              <w:rPr>
                <w:rFonts w:ascii="Times New Roman" w:hAnsi="Times New Roman"/>
              </w:rPr>
              <w:t>Zákon č. 250/2012 Z. z.</w:t>
            </w:r>
            <w:r w:rsidRPr="0057707F">
              <w:rPr>
                <w:rFonts w:ascii="Times New Roman" w:hAnsi="Times New Roman"/>
              </w:rPr>
              <w:t xml:space="preserve"> o regulácii v sieťových odvetviach</w:t>
            </w:r>
            <w:r>
              <w:rPr>
                <w:rFonts w:ascii="Times New Roman" w:hAnsi="Times New Roman"/>
              </w:rPr>
              <w:t xml:space="preserve"> v znení neskorších predpisov</w:t>
            </w:r>
          </w:p>
        </w:tc>
      </w:tr>
      <w:tr>
        <w:tblPrEx>
          <w:tblW w:w="15472" w:type="dxa"/>
          <w:tblInd w:w="-742" w:type="dxa"/>
          <w:tblLayout w:type="fixed"/>
          <w:tblCellMar>
            <w:left w:w="43" w:type="dxa"/>
            <w:right w:w="43" w:type="dxa"/>
          </w:tblCellMar>
        </w:tblPrEx>
        <w:trPr>
          <w:cantSplit/>
          <w:trHeight w:val="227"/>
        </w:trPr>
        <w:tc>
          <w:tcPr>
            <w:tcW w:w="1135" w:type="dxa"/>
            <w:tcBorders>
              <w:top w:val="single" w:sz="4" w:space="0" w:color="auto"/>
              <w:left w:val="single" w:sz="12" w:space="0" w:color="auto"/>
              <w:bottom w:val="single" w:sz="12" w:space="0" w:color="auto"/>
              <w:right w:val="single" w:sz="4" w:space="0" w:color="auto"/>
            </w:tcBorders>
            <w:textDirection w:val="lrTb"/>
            <w:vAlign w:val="top"/>
          </w:tcPr>
          <w:p w:rsidR="00076A83" w:rsidRPr="0057707F" w:rsidP="00076A83">
            <w:pPr>
              <w:numPr>
                <w:numId w:val="2"/>
              </w:numPr>
              <w:autoSpaceDE w:val="0"/>
              <w:autoSpaceDN w:val="0"/>
              <w:bidi w:val="0"/>
              <w:spacing w:after="0" w:line="240" w:lineRule="auto"/>
              <w:jc w:val="center"/>
              <w:rPr>
                <w:rFonts w:ascii="Times New Roman" w:hAnsi="Times New Roman"/>
                <w:sz w:val="20"/>
                <w:szCs w:val="20"/>
              </w:rPr>
            </w:pPr>
          </w:p>
        </w:tc>
        <w:tc>
          <w:tcPr>
            <w:tcW w:w="14337" w:type="dxa"/>
            <w:tcBorders>
              <w:top w:val="single" w:sz="4" w:space="0" w:color="auto"/>
              <w:left w:val="single" w:sz="4" w:space="0" w:color="auto"/>
              <w:bottom w:val="single" w:sz="12" w:space="0" w:color="auto"/>
              <w:right w:val="single" w:sz="12" w:space="0" w:color="auto"/>
            </w:tcBorders>
            <w:textDirection w:val="lrTb"/>
            <w:vAlign w:val="top"/>
          </w:tcPr>
          <w:p w:rsidR="00076A83" w:rsidRPr="00F81A73" w:rsidP="0056013F">
            <w:pPr>
              <w:pStyle w:val="abc"/>
              <w:bidi w:val="0"/>
              <w:spacing w:after="0" w:line="240" w:lineRule="auto"/>
              <w:rPr>
                <w:rFonts w:ascii="Times New Roman" w:hAnsi="Times New Roman"/>
              </w:rPr>
            </w:pPr>
            <w:r>
              <w:rPr>
                <w:rFonts w:ascii="Times New Roman" w:hAnsi="Times New Roman"/>
              </w:rPr>
              <w:t xml:space="preserve">Zákon </w:t>
            </w:r>
            <w:r w:rsidRPr="0057707F">
              <w:rPr>
                <w:rFonts w:ascii="Times New Roman" w:hAnsi="Times New Roman"/>
              </w:rPr>
              <w:t>č. 523/2004 Z. z. o rozpočtových pravidlách verejnej správy a o zmene a doplnení niektorých zákonov v znení neskorších predpisov</w:t>
            </w:r>
          </w:p>
        </w:tc>
      </w:tr>
    </w:tbl>
    <w:p w:rsidR="00076A83" w:rsidP="00076A83">
      <w:pPr>
        <w:bidi w:val="0"/>
        <w:rPr>
          <w:rFonts w:ascii="Times New Roman" w:hAnsi="Times New Roman"/>
        </w:rPr>
      </w:pPr>
    </w:p>
    <w:p w:rsidR="00076A83" w:rsidRPr="00304B31" w:rsidP="00076A83">
      <w:pPr>
        <w:bidi w:val="0"/>
        <w:rPr>
          <w:rFonts w:ascii="Times New Roman" w:hAnsi="Times New Roman"/>
        </w:rPr>
      </w:pPr>
    </w:p>
    <w:p w:rsidR="0093203B">
      <w:pPr>
        <w:bidi w:val="0"/>
        <w:rPr>
          <w:rFonts w:ascii="Times New Roman" w:hAnsi="Times New Roman"/>
        </w:rPr>
      </w:pPr>
    </w:p>
    <w:sectPr w:rsidSect="00076A83">
      <w:footerReference w:type="default" r:id="rId6"/>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3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63BDB">
      <w:rPr>
        <w:rFonts w:ascii="Times New Roman" w:hAnsi="Times New Roman"/>
        <w:noProof/>
      </w:rPr>
      <w:t>1</w:t>
    </w:r>
    <w:r>
      <w:rPr>
        <w:rFonts w:ascii="Times New Roman" w:hAnsi="Times New Roman"/>
      </w:rPr>
      <w:fldChar w:fldCharType="end"/>
    </w:r>
  </w:p>
  <w:p w:rsidR="00F3123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2">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3371"/>
        </w:tabs>
        <w:ind w:left="3371"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3">
    <w:nsid w:val="1D4B6F50"/>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6FF1DAD"/>
    <w:multiLevelType w:val="hybridMultilevel"/>
    <w:tmpl w:val="D480E9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4711832"/>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rawingGridHorizontalSpacing w:val="110"/>
  <w:displayHorizontalDrawingGridEvery w:val="2"/>
  <w:characterSpacingControl w:val="doNotCompress"/>
  <w:compat/>
  <w:rsids>
    <w:rsidRoot w:val="00076A83"/>
    <w:rsid w:val="00063BDB"/>
    <w:rsid w:val="00076A83"/>
    <w:rsid w:val="0008469C"/>
    <w:rsid w:val="001A1A38"/>
    <w:rsid w:val="002A6C27"/>
    <w:rsid w:val="002F5846"/>
    <w:rsid w:val="00304B31"/>
    <w:rsid w:val="003142AF"/>
    <w:rsid w:val="0042601F"/>
    <w:rsid w:val="004A02A2"/>
    <w:rsid w:val="0056013F"/>
    <w:rsid w:val="0057707F"/>
    <w:rsid w:val="005D5EA6"/>
    <w:rsid w:val="005E6E5F"/>
    <w:rsid w:val="00676E5D"/>
    <w:rsid w:val="0093203B"/>
    <w:rsid w:val="00A75B7D"/>
    <w:rsid w:val="00E16D4C"/>
    <w:rsid w:val="00E408FD"/>
    <w:rsid w:val="00E76415"/>
    <w:rsid w:val="00F3123D"/>
    <w:rsid w:val="00F667F9"/>
    <w:rsid w:val="00F81A73"/>
    <w:rsid w:val="00FF0D9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8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76A83"/>
    <w:pPr>
      <w:keepNext/>
      <w:numPr>
        <w:numId w:val="1"/>
      </w:numPr>
      <w:tabs>
        <w:tab w:val="num" w:pos="567"/>
      </w:tabs>
      <w:ind w:left="567" w:hanging="567"/>
      <w:jc w:val="center"/>
      <w:outlineLvl w:val="0"/>
    </w:pPr>
    <w:rPr>
      <w:rFonts w:ascii="Times New Roman" w:eastAsia="Arial Unicode MS" w:hAnsi="Times New Roman"/>
      <w:b/>
      <w:sz w:val="28"/>
      <w:szCs w:val="20"/>
    </w:rPr>
  </w:style>
  <w:style w:type="paragraph" w:styleId="Heading2">
    <w:name w:val="heading 2"/>
    <w:aliases w:val="Úloha"/>
    <w:basedOn w:val="Normal"/>
    <w:next w:val="Normal"/>
    <w:link w:val="Nadpis2Char"/>
    <w:qFormat/>
    <w:rsid w:val="00076A83"/>
    <w:pPr>
      <w:keepNext/>
      <w:numPr>
        <w:ilvl w:val="1"/>
        <w:numId w:val="1"/>
      </w:numPr>
      <w:tabs>
        <w:tab w:val="num" w:pos="3371"/>
      </w:tabs>
      <w:spacing w:before="240" w:after="60"/>
      <w:ind w:left="3371" w:hanging="851"/>
      <w:jc w:val="left"/>
      <w:outlineLvl w:val="1"/>
    </w:pPr>
    <w:rPr>
      <w:rFonts w:ascii="Arial" w:hAnsi="Arial" w:cs="Arial"/>
      <w:b/>
      <w:bCs/>
      <w:i/>
      <w:iCs/>
      <w:sz w:val="28"/>
      <w:szCs w:val="28"/>
    </w:rPr>
  </w:style>
  <w:style w:type="paragraph" w:styleId="Heading3">
    <w:name w:val="heading 3"/>
    <w:basedOn w:val="Normal"/>
    <w:next w:val="Normal"/>
    <w:link w:val="Nadpis3Char"/>
    <w:qFormat/>
    <w:rsid w:val="00076A83"/>
    <w:pPr>
      <w:keepNext/>
      <w:numPr>
        <w:ilvl w:val="2"/>
        <w:numId w:val="1"/>
      </w:numPr>
      <w:tabs>
        <w:tab w:val="num" w:pos="1418"/>
      </w:tabs>
      <w:spacing w:before="240" w:after="60"/>
      <w:ind w:left="1418" w:hanging="851"/>
      <w:jc w:val="left"/>
      <w:outlineLvl w:val="2"/>
    </w:pPr>
    <w:rPr>
      <w:rFonts w:ascii="Arial" w:hAnsi="Arial" w:cs="Arial"/>
      <w:b/>
      <w:bCs/>
      <w:sz w:val="26"/>
      <w:szCs w:val="26"/>
    </w:rPr>
  </w:style>
  <w:style w:type="paragraph" w:styleId="Heading4">
    <w:name w:val="heading 4"/>
    <w:basedOn w:val="Normal"/>
    <w:next w:val="Normal"/>
    <w:link w:val="Nadpis4Char"/>
    <w:qFormat/>
    <w:rsid w:val="00076A83"/>
    <w:pPr>
      <w:keepNext/>
      <w:numPr>
        <w:ilvl w:val="3"/>
        <w:numId w:val="1"/>
      </w:numPr>
      <w:tabs>
        <w:tab w:val="num" w:pos="1418"/>
      </w:tabs>
      <w:spacing w:before="240" w:after="60"/>
      <w:ind w:left="1418" w:hanging="1418"/>
      <w:jc w:val="left"/>
      <w:outlineLvl w:val="3"/>
    </w:pPr>
    <w:rPr>
      <w:b/>
      <w:bCs/>
      <w:sz w:val="28"/>
      <w:szCs w:val="28"/>
    </w:rPr>
  </w:style>
  <w:style w:type="paragraph" w:styleId="Heading5">
    <w:name w:val="heading 5"/>
    <w:basedOn w:val="Normal"/>
    <w:next w:val="Normal"/>
    <w:link w:val="Nadpis5Char"/>
    <w:qFormat/>
    <w:rsid w:val="00076A83"/>
    <w:pPr>
      <w:keepNext/>
      <w:numPr>
        <w:ilvl w:val="4"/>
        <w:numId w:val="1"/>
      </w:numPr>
      <w:tabs>
        <w:tab w:val="num" w:pos="3240"/>
      </w:tabs>
      <w:ind w:left="2880"/>
      <w:jc w:val="left"/>
      <w:outlineLvl w:val="4"/>
    </w:pPr>
    <w:rPr>
      <w:b/>
      <w:bCs/>
    </w:rPr>
  </w:style>
  <w:style w:type="paragraph" w:styleId="Heading6">
    <w:name w:val="heading 6"/>
    <w:basedOn w:val="Normal"/>
    <w:next w:val="Normal"/>
    <w:link w:val="Nadpis6Char"/>
    <w:qFormat/>
    <w:rsid w:val="00076A83"/>
    <w:pPr>
      <w:keepNext/>
      <w:numPr>
        <w:ilvl w:val="5"/>
        <w:numId w:val="1"/>
      </w:numPr>
      <w:tabs>
        <w:tab w:val="num" w:pos="3960"/>
      </w:tabs>
      <w:ind w:left="3600"/>
      <w:jc w:val="both"/>
      <w:outlineLvl w:val="5"/>
    </w:pPr>
    <w:rPr>
      <w:b/>
      <w:bCs/>
      <w:u w:val="single"/>
    </w:rPr>
  </w:style>
  <w:style w:type="paragraph" w:styleId="Heading7">
    <w:name w:val="heading 7"/>
    <w:basedOn w:val="Normal"/>
    <w:next w:val="Normal"/>
    <w:link w:val="Nadpis7Char"/>
    <w:uiPriority w:val="99"/>
    <w:qFormat/>
    <w:rsid w:val="00076A83"/>
    <w:pPr>
      <w:keepNext/>
      <w:numPr>
        <w:ilvl w:val="6"/>
        <w:numId w:val="1"/>
      </w:numPr>
      <w:tabs>
        <w:tab w:val="num" w:pos="4680"/>
      </w:tabs>
      <w:ind w:left="4320"/>
      <w:jc w:val="both"/>
      <w:outlineLvl w:val="6"/>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76A83"/>
    <w:rPr>
      <w:rFonts w:ascii="Times New Roman" w:eastAsia="Arial Unicode MS" w:hAnsi="Times New Roman" w:cs="Times New Roman"/>
      <w:b/>
      <w:sz w:val="20"/>
      <w:szCs w:val="20"/>
      <w:rtl w:val="0"/>
      <w:cs w:val="0"/>
      <w:lang w:val="x-none" w:eastAsia="sk-SK"/>
    </w:rPr>
  </w:style>
  <w:style w:type="character" w:customStyle="1" w:styleId="Nadpis2Char">
    <w:name w:val="Nadpis 2 Char"/>
    <w:aliases w:val="Úloha Char"/>
    <w:basedOn w:val="DefaultParagraphFont"/>
    <w:link w:val="Heading2"/>
    <w:locked/>
    <w:rsid w:val="00076A83"/>
    <w:rPr>
      <w:rFonts w:ascii="Arial" w:hAnsi="Arial" w:cs="Arial"/>
      <w:b/>
      <w:bCs/>
      <w:i/>
      <w:iCs/>
      <w:sz w:val="28"/>
      <w:szCs w:val="28"/>
      <w:rtl w:val="0"/>
      <w:cs w:val="0"/>
      <w:lang w:val="x-none" w:eastAsia="sk-SK"/>
    </w:rPr>
  </w:style>
  <w:style w:type="character" w:customStyle="1" w:styleId="Nadpis3Char">
    <w:name w:val="Nadpis 3 Char"/>
    <w:basedOn w:val="DefaultParagraphFont"/>
    <w:link w:val="Heading3"/>
    <w:locked/>
    <w:rsid w:val="00076A83"/>
    <w:rPr>
      <w:rFonts w:ascii="Arial" w:hAnsi="Arial" w:cs="Arial"/>
      <w:b/>
      <w:bCs/>
      <w:sz w:val="26"/>
      <w:szCs w:val="26"/>
      <w:rtl w:val="0"/>
      <w:cs w:val="0"/>
      <w:lang w:val="x-none" w:eastAsia="sk-SK"/>
    </w:rPr>
  </w:style>
  <w:style w:type="character" w:customStyle="1" w:styleId="Nadpis4Char">
    <w:name w:val="Nadpis 4 Char"/>
    <w:basedOn w:val="DefaultParagraphFont"/>
    <w:link w:val="Heading4"/>
    <w:locked/>
    <w:rsid w:val="00076A83"/>
    <w:rPr>
      <w:rFonts w:ascii="Times New Roman" w:hAnsi="Times New Roman" w:cs="Times New Roman"/>
      <w:b/>
      <w:bCs/>
      <w:sz w:val="28"/>
      <w:szCs w:val="28"/>
      <w:rtl w:val="0"/>
      <w:cs w:val="0"/>
      <w:lang w:val="x-none" w:eastAsia="sk-SK"/>
    </w:rPr>
  </w:style>
  <w:style w:type="character" w:customStyle="1" w:styleId="Nadpis5Char">
    <w:name w:val="Nadpis 5 Char"/>
    <w:basedOn w:val="DefaultParagraphFont"/>
    <w:link w:val="Heading5"/>
    <w:locked/>
    <w:rsid w:val="00076A83"/>
    <w:rPr>
      <w:rFonts w:ascii="Times New Roman" w:hAnsi="Times New Roman" w:cs="Times New Roman"/>
      <w:b/>
      <w:bCs/>
      <w:sz w:val="24"/>
      <w:szCs w:val="24"/>
      <w:rtl w:val="0"/>
      <w:cs w:val="0"/>
      <w:lang w:val="x-none" w:eastAsia="sk-SK"/>
    </w:rPr>
  </w:style>
  <w:style w:type="character" w:customStyle="1" w:styleId="Nadpis6Char">
    <w:name w:val="Nadpis 6 Char"/>
    <w:basedOn w:val="DefaultParagraphFont"/>
    <w:link w:val="Heading6"/>
    <w:locked/>
    <w:rsid w:val="00076A83"/>
    <w:rPr>
      <w:rFonts w:ascii="Times New Roman" w:hAnsi="Times New Roman" w:cs="Times New Roman"/>
      <w:b/>
      <w:bCs/>
      <w:sz w:val="24"/>
      <w:szCs w:val="24"/>
      <w:u w:val="single"/>
      <w:rtl w:val="0"/>
      <w:cs w:val="0"/>
      <w:lang w:val="x-none" w:eastAsia="sk-SK"/>
    </w:rPr>
  </w:style>
  <w:style w:type="character" w:customStyle="1" w:styleId="Nadpis7Char">
    <w:name w:val="Nadpis 7 Char"/>
    <w:basedOn w:val="DefaultParagraphFont"/>
    <w:link w:val="Heading7"/>
    <w:uiPriority w:val="99"/>
    <w:locked/>
    <w:rsid w:val="00076A83"/>
    <w:rPr>
      <w:rFonts w:ascii="Times New Roman" w:hAnsi="Times New Roman" w:cs="Times New Roman"/>
      <w:b/>
      <w:sz w:val="26"/>
      <w:szCs w:val="26"/>
      <w:rtl w:val="0"/>
      <w:cs w:val="0"/>
      <w:lang w:val="x-none" w:eastAsia="sk-SK"/>
    </w:rPr>
  </w:style>
  <w:style w:type="paragraph" w:styleId="BodyText2">
    <w:name w:val="Body Text 2"/>
    <w:basedOn w:val="Normal"/>
    <w:link w:val="Zkladntext2Char"/>
    <w:rsid w:val="00076A83"/>
    <w:pPr>
      <w:spacing w:after="120" w:line="480" w:lineRule="auto"/>
      <w:jc w:val="left"/>
    </w:pPr>
  </w:style>
  <w:style w:type="character" w:customStyle="1" w:styleId="Zkladntext2Char">
    <w:name w:val="Základný text 2 Char"/>
    <w:basedOn w:val="DefaultParagraphFont"/>
    <w:link w:val="BodyText2"/>
    <w:locked/>
    <w:rsid w:val="00076A83"/>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rsid w:val="00076A8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076A83"/>
    <w:rPr>
      <w:rFonts w:ascii="Times New Roman" w:hAnsi="Times New Roman" w:cs="Times New Roman"/>
      <w:sz w:val="24"/>
      <w:szCs w:val="24"/>
      <w:rtl w:val="0"/>
      <w:cs w:val="0"/>
      <w:lang w:val="x-none" w:eastAsia="sk-SK"/>
    </w:rPr>
  </w:style>
  <w:style w:type="character" w:styleId="Strong">
    <w:name w:val="Strong"/>
    <w:uiPriority w:val="22"/>
    <w:qFormat/>
    <w:rsid w:val="00076A83"/>
    <w:rPr>
      <w:b/>
    </w:rPr>
  </w:style>
  <w:style w:type="paragraph" w:customStyle="1" w:styleId="Normlny">
    <w:name w:val="_Normálny"/>
    <w:basedOn w:val="Normal"/>
    <w:rsid w:val="00076A83"/>
    <w:pPr>
      <w:autoSpaceDE w:val="0"/>
      <w:autoSpaceDN w:val="0"/>
      <w:jc w:val="left"/>
    </w:pPr>
    <w:rPr>
      <w:sz w:val="20"/>
      <w:szCs w:val="20"/>
      <w:lang w:eastAsia="en-US"/>
    </w:rPr>
  </w:style>
  <w:style w:type="paragraph" w:customStyle="1" w:styleId="abc">
    <w:name w:val="abc"/>
    <w:basedOn w:val="Normal"/>
    <w:rsid w:val="00076A83"/>
    <w:pPr>
      <w:widowControl w:val="0"/>
      <w:tabs>
        <w:tab w:val="left" w:pos="360"/>
        <w:tab w:val="left" w:pos="680"/>
      </w:tabs>
      <w:autoSpaceDE w:val="0"/>
      <w:autoSpaceDN w:val="0"/>
      <w:jc w:val="both"/>
    </w:pPr>
    <w:rPr>
      <w:sz w:val="20"/>
      <w:szCs w:val="20"/>
      <w:lang w:eastAsia="en-US"/>
    </w:rPr>
  </w:style>
  <w:style w:type="paragraph" w:customStyle="1" w:styleId="Point0">
    <w:name w:val="Point 0"/>
    <w:basedOn w:val="Normal"/>
    <w:uiPriority w:val="99"/>
    <w:rsid w:val="00076A83"/>
    <w:pPr>
      <w:spacing w:before="120" w:after="120" w:line="360" w:lineRule="auto"/>
      <w:ind w:left="850" w:hanging="850"/>
      <w:jc w:val="left"/>
    </w:pPr>
    <w:rPr>
      <w:lang w:eastAsia="en-US"/>
    </w:rPr>
  </w:style>
  <w:style w:type="paragraph" w:customStyle="1" w:styleId="Tiret2">
    <w:name w:val="Tiret 2"/>
    <w:basedOn w:val="Normal"/>
    <w:rsid w:val="00076A83"/>
    <w:pPr>
      <w:numPr>
        <w:numId w:val="4"/>
      </w:numPr>
      <w:tabs>
        <w:tab w:val="num" w:pos="1984"/>
      </w:tabs>
      <w:spacing w:before="120" w:after="120" w:line="360" w:lineRule="auto"/>
      <w:ind w:left="1984" w:hanging="567"/>
      <w:jc w:val="left"/>
    </w:pPr>
    <w:rPr>
      <w:lang w:eastAsia="en-US"/>
    </w:rPr>
  </w:style>
  <w:style w:type="paragraph" w:customStyle="1" w:styleId="Point1">
    <w:name w:val="Point 1"/>
    <w:basedOn w:val="Normal"/>
    <w:link w:val="Point1Char"/>
    <w:rsid w:val="00076A83"/>
    <w:pPr>
      <w:spacing w:before="120" w:after="120" w:line="360" w:lineRule="auto"/>
      <w:ind w:left="1417" w:hanging="567"/>
      <w:jc w:val="left"/>
    </w:pPr>
    <w:rPr>
      <w:lang w:eastAsia="en-US"/>
    </w:rPr>
  </w:style>
  <w:style w:type="paragraph" w:customStyle="1" w:styleId="ManualNumPar1">
    <w:name w:val="Manual NumPar 1"/>
    <w:basedOn w:val="Normal"/>
    <w:next w:val="Normal"/>
    <w:rsid w:val="00076A83"/>
    <w:pPr>
      <w:spacing w:before="120" w:after="120" w:line="360" w:lineRule="auto"/>
      <w:ind w:left="850" w:hanging="850"/>
      <w:jc w:val="left"/>
    </w:pPr>
    <w:rPr>
      <w:lang w:eastAsia="en-US"/>
    </w:rPr>
  </w:style>
  <w:style w:type="character" w:customStyle="1" w:styleId="Point1Char">
    <w:name w:val="Point 1 Char"/>
    <w:link w:val="Point1"/>
    <w:locked/>
    <w:rsid w:val="00076A83"/>
    <w:rPr>
      <w:rFonts w:ascii="Times New Roman" w:hAnsi="Times New Roman" w:cs="Times New Roman"/>
      <w:sz w:val="24"/>
    </w:rPr>
  </w:style>
  <w:style w:type="paragraph" w:styleId="Header">
    <w:name w:val="header"/>
    <w:basedOn w:val="Normal"/>
    <w:link w:val="HlavikaChar"/>
    <w:uiPriority w:val="99"/>
    <w:semiHidden/>
    <w:unhideWhenUsed/>
    <w:rsid w:val="00F3123D"/>
    <w:pPr>
      <w:tabs>
        <w:tab w:val="center" w:pos="4536"/>
        <w:tab w:val="right" w:pos="9072"/>
      </w:tabs>
      <w:jc w:val="left"/>
    </w:pPr>
  </w:style>
  <w:style w:type="character" w:customStyle="1" w:styleId="HlavikaChar">
    <w:name w:val="Hlavička Char"/>
    <w:basedOn w:val="DefaultParagraphFont"/>
    <w:link w:val="Header"/>
    <w:uiPriority w:val="99"/>
    <w:semiHidden/>
    <w:locked/>
    <w:rsid w:val="00F3123D"/>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3123D"/>
    <w:pPr>
      <w:tabs>
        <w:tab w:val="center" w:pos="4536"/>
        <w:tab w:val="right" w:pos="9072"/>
      </w:tabs>
      <w:jc w:val="left"/>
    </w:pPr>
  </w:style>
  <w:style w:type="character" w:customStyle="1" w:styleId="PtaChar">
    <w:name w:val="Päta Char"/>
    <w:basedOn w:val="DefaultParagraphFont"/>
    <w:link w:val="Footer"/>
    <w:uiPriority w:val="99"/>
    <w:locked/>
    <w:rsid w:val="00F3123D"/>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2/251/201708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tab_zhody"/>
    <f:field ref="objsubject" par="" edit="true" text=""/>
    <f:field ref="objcreatedby" par="" text="Fscclone"/>
    <f:field ref="objcreatedat" par="" text="23.12.2017 1:15:51"/>
    <f:field ref="objchangedby" par="" text="Fscclone"/>
    <f:field ref="objmodifiedat" par="" text="23.12.2017 1:16:1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6</Pages>
  <Words>1440</Words>
  <Characters>8208</Characters>
  <Application>Microsoft Office Word</Application>
  <DocSecurity>0</DocSecurity>
  <Lines>0</Lines>
  <Paragraphs>0</Paragraphs>
  <ScaleCrop>false</ScaleCrop>
  <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franczel</dc:creator>
  <cp:lastModifiedBy>franczel</cp:lastModifiedBy>
  <cp:revision>2</cp:revision>
  <cp:lastPrinted>2018-02-21T12:45:00Z</cp:lastPrinted>
  <dcterms:created xsi:type="dcterms:W3CDTF">2018-02-23T12:25:00Z</dcterms:created>
  <dcterms:modified xsi:type="dcterms:W3CDTF">2018-02-23T12:25:00Z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COO.2145.1000.3.2340149</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LP/2017/883</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hospodárstva Slovenskej republiky</vt:lpwstr>
  </property>
  <property fmtid="{D5CDD505-2E9C-101B-9397-08002B2CF9AE}" pid="122" name="FSC#SKEDITIONSLOVLEX@103.510:funkciaZodpPredAkuzativ">
    <vt:lpwstr>ministerovi hospodárstva Slovenskej republiky</vt:lpwstr>
  </property>
  <property fmtid="{D5CDD505-2E9C-101B-9397-08002B2CF9AE}" pid="123" name="FSC#SKEDITIONSLOVLEX@103.510:funkciaZodpPredDativ">
    <vt:lpwstr>ministera hospodárstva Slovenskej republiky</vt:lpwstr>
  </property>
  <property fmtid="{D5CDD505-2E9C-101B-9397-08002B2CF9AE}" pid="124" name="FSC#SKEDITIONSLOVLEX@103.510:legoblast">
    <vt:lpwstr>Energetika a priemysel</vt:lpwstr>
  </property>
  <property fmtid="{D5CDD505-2E9C-101B-9397-08002B2CF9AE}" pid="125" name="FSC#SKEDITIONSLOVLEX@103.510:nazovpredpis">
    <vt:lpwstr>, ktorým sa mení a dopĺňa zákon č. 251/2012 Z. z. o energetike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251/2012 Z. z. o energetike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vt:lpwstr>
  </property>
  <property fmtid="{D5CDD505-2E9C-101B-9397-08002B2CF9AE}" pid="136" name="FSC#SKEDITIONSLOVLEX@103.510:povodpredpis">
    <vt:lpwstr>Slovlex (eLeg)</vt:lpwstr>
  </property>
  <property fmtid="{D5CDD505-2E9C-101B-9397-08002B2CF9AE}" pid="137" name="FSC#SKEDITIONSLOVLEX@103.510:predkladatel">
    <vt:lpwstr>JUDr. Marek Franczel</vt:lpwstr>
  </property>
  <property fmtid="{D5CDD505-2E9C-101B-9397-08002B2CF9AE}" pid="138" name="FSC#SKEDITIONSLOVLEX@103.510:predkladateliaObalSD">
    <vt:lpwstr>Ing. Peter Žiga
minister hospodárstva Slovenskej republiky</vt:lpwstr>
  </property>
  <property fmtid="{D5CDD505-2E9C-101B-9397-08002B2CF9AE}" pid="139" name="FSC#SKEDITIONSLOVLEX@103.510:pripomienkovatelia">
    <vt:lpwstr/>
  </property>
  <property fmtid="{D5CDD505-2E9C-101B-9397-08002B2CF9AE}" pid="140" name="FSC#SKEDITIONSLOVLEX@103.510:rezortcislopredpis">
    <vt:lpwstr>27227/2017-2062-50709</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23. 12. 2017</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Peter Žiga</vt:lpwstr>
  </property>
</Properties>
</file>