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D5748" w:rsidRPr="007D5748" w:rsidP="007D5748">
      <w:pPr>
        <w:bidi w:val="0"/>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t>Analýza vplyvov na rozpočet verejnej správy,</w:t>
      </w:r>
    </w:p>
    <w:p w:rsidR="007D5748" w:rsidRPr="007D5748" w:rsidP="007D5748">
      <w:pPr>
        <w:bidi w:val="0"/>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t>na zamestnanosť vo verejnej správe a financovanie návrhu</w:t>
      </w:r>
    </w:p>
    <w:p w:rsidR="00E963A3" w:rsidRPr="00212894" w:rsidP="007D5748">
      <w:pPr>
        <w:bidi w:val="0"/>
        <w:spacing w:after="0" w:line="240" w:lineRule="auto"/>
        <w:jc w:val="right"/>
        <w:rPr>
          <w:rFonts w:ascii="Times New Roman" w:hAnsi="Times New Roman"/>
          <w:b/>
          <w:bCs/>
          <w:sz w:val="24"/>
          <w:szCs w:val="24"/>
          <w:lang w:eastAsia="sk-SK"/>
        </w:rPr>
      </w:pPr>
    </w:p>
    <w:p w:rsidR="00E963A3" w:rsidRPr="00873396" w:rsidP="00212894">
      <w:pPr>
        <w:bidi w:val="0"/>
        <w:spacing w:after="0" w:line="240" w:lineRule="auto"/>
        <w:rPr>
          <w:rFonts w:ascii="Times New Roman" w:hAnsi="Times New Roman"/>
          <w:b/>
          <w:bCs/>
          <w:sz w:val="24"/>
          <w:szCs w:val="24"/>
          <w:lang w:eastAsia="sk-SK"/>
        </w:rPr>
      </w:pPr>
      <w:r w:rsidRPr="00873396">
        <w:rPr>
          <w:rFonts w:ascii="Times New Roman" w:hAnsi="Times New Roman"/>
          <w:b/>
          <w:bCs/>
          <w:sz w:val="24"/>
          <w:szCs w:val="24"/>
          <w:lang w:eastAsia="sk-SK"/>
        </w:rPr>
        <w:t>2.1 Zhrnutie vplyvov na rozpočet verejnej správy v</w:t>
      </w:r>
      <w:r w:rsidRPr="00873396" w:rsidR="00880277">
        <w:rPr>
          <w:rFonts w:ascii="Times New Roman" w:hAnsi="Times New Roman"/>
          <w:b/>
          <w:bCs/>
          <w:sz w:val="24"/>
          <w:szCs w:val="24"/>
          <w:lang w:eastAsia="sk-SK"/>
        </w:rPr>
        <w:t> </w:t>
      </w:r>
      <w:r w:rsidRPr="00873396">
        <w:rPr>
          <w:rFonts w:ascii="Times New Roman" w:hAnsi="Times New Roman"/>
          <w:b/>
          <w:bCs/>
          <w:sz w:val="24"/>
          <w:szCs w:val="24"/>
          <w:lang w:eastAsia="sk-SK"/>
        </w:rPr>
        <w:t>návrhu</w:t>
      </w:r>
    </w:p>
    <w:p w:rsidR="00880277" w:rsidRPr="00873396" w:rsidP="00212894">
      <w:pPr>
        <w:bidi w:val="0"/>
        <w:spacing w:after="0" w:line="240" w:lineRule="auto"/>
        <w:rPr>
          <w:rFonts w:ascii="Times New Roman" w:hAnsi="Times New Roman"/>
          <w:b/>
          <w:bCs/>
          <w:sz w:val="24"/>
          <w:szCs w:val="24"/>
          <w:lang w:eastAsia="sk-SK"/>
        </w:rPr>
      </w:pPr>
    </w:p>
    <w:p w:rsidR="00E963A3" w:rsidRPr="00873396" w:rsidP="00880277">
      <w:pPr>
        <w:bidi w:val="0"/>
        <w:spacing w:line="240" w:lineRule="auto"/>
        <w:jc w:val="both"/>
        <w:rPr>
          <w:rFonts w:ascii="Times New Roman" w:hAnsi="Times New Roman"/>
          <w:sz w:val="24"/>
          <w:szCs w:val="24"/>
          <w:lang w:eastAsia="sk-SK"/>
        </w:rPr>
      </w:pPr>
      <w:r w:rsidRPr="00873396" w:rsidR="00880277">
        <w:rPr>
          <w:rFonts w:ascii="Times New Roman" w:hAnsi="Times New Roman"/>
          <w:sz w:val="24"/>
          <w:szCs w:val="24"/>
          <w:lang w:eastAsia="cs-CZ"/>
        </w:rPr>
        <w:t>Návrh zákona</w:t>
      </w:r>
      <w:r w:rsidR="00DA058D">
        <w:rPr>
          <w:rFonts w:ascii="Times New Roman" w:hAnsi="Times New Roman"/>
          <w:sz w:val="24"/>
          <w:szCs w:val="24"/>
          <w:lang w:eastAsia="cs-CZ"/>
        </w:rPr>
        <w:t xml:space="preserve"> z .......... 2018</w:t>
      </w:r>
      <w:r w:rsidRPr="00873396" w:rsidR="00880277">
        <w:rPr>
          <w:rFonts w:ascii="Times New Roman" w:hAnsi="Times New Roman"/>
          <w:sz w:val="24"/>
          <w:szCs w:val="24"/>
          <w:lang w:eastAsia="cs-CZ"/>
        </w:rPr>
        <w:t xml:space="preserve">, ktorým sa mení a dopĺňa zákon č. 362/2011 Z. z. o liekoch a zdravotníckych pomôckach a o zmene a doplnení niektorých zákonov </w:t>
      </w:r>
      <w:r w:rsidRPr="00D200FD" w:rsidR="00880277">
        <w:rPr>
          <w:rFonts w:ascii="Times New Roman" w:hAnsi="Times New Roman"/>
          <w:sz w:val="24"/>
          <w:szCs w:val="24"/>
          <w:lang w:eastAsia="cs-CZ"/>
        </w:rPr>
        <w:t xml:space="preserve">bude mať </w:t>
      </w:r>
      <w:r w:rsidRPr="00D200FD" w:rsidR="008C2668">
        <w:rPr>
          <w:rFonts w:ascii="Times New Roman" w:hAnsi="Times New Roman"/>
          <w:sz w:val="24"/>
          <w:szCs w:val="24"/>
          <w:lang w:eastAsia="cs-CZ"/>
        </w:rPr>
        <w:t>pozitívny</w:t>
      </w:r>
      <w:r w:rsidRPr="00D200FD" w:rsidR="00880277">
        <w:rPr>
          <w:rFonts w:ascii="Times New Roman" w:hAnsi="Times New Roman"/>
          <w:sz w:val="24"/>
          <w:szCs w:val="24"/>
          <w:lang w:eastAsia="cs-CZ"/>
        </w:rPr>
        <w:t xml:space="preserve"> </w:t>
      </w:r>
      <w:r w:rsidRPr="00D200FD" w:rsidR="00995177">
        <w:rPr>
          <w:rFonts w:ascii="Times New Roman" w:hAnsi="Times New Roman"/>
          <w:sz w:val="24"/>
          <w:szCs w:val="24"/>
          <w:lang w:eastAsia="cs-CZ"/>
        </w:rPr>
        <w:t xml:space="preserve">aj negatívny </w:t>
      </w:r>
      <w:r w:rsidRPr="00D200FD" w:rsidR="00880277">
        <w:rPr>
          <w:rFonts w:ascii="Times New Roman" w:hAnsi="Times New Roman"/>
          <w:sz w:val="24"/>
          <w:szCs w:val="24"/>
          <w:lang w:eastAsia="cs-CZ"/>
        </w:rPr>
        <w:t xml:space="preserve">vplyv na </w:t>
      </w:r>
      <w:r w:rsidRPr="00D200FD" w:rsidR="00995177">
        <w:rPr>
          <w:rFonts w:ascii="Times New Roman" w:hAnsi="Times New Roman"/>
          <w:sz w:val="24"/>
          <w:szCs w:val="24"/>
          <w:lang w:eastAsia="cs-CZ"/>
        </w:rPr>
        <w:t xml:space="preserve">rozpočet </w:t>
      </w:r>
      <w:r w:rsidRPr="00D200FD" w:rsidR="00880277">
        <w:rPr>
          <w:rFonts w:ascii="Times New Roman" w:hAnsi="Times New Roman"/>
          <w:sz w:val="24"/>
          <w:szCs w:val="24"/>
          <w:lang w:eastAsia="cs-CZ"/>
        </w:rPr>
        <w:t>verejn</w:t>
      </w:r>
      <w:r w:rsidRPr="00D200FD" w:rsidR="00995177">
        <w:rPr>
          <w:rFonts w:ascii="Times New Roman" w:hAnsi="Times New Roman"/>
          <w:sz w:val="24"/>
          <w:szCs w:val="24"/>
          <w:lang w:eastAsia="cs-CZ"/>
        </w:rPr>
        <w:t xml:space="preserve">ej </w:t>
      </w:r>
      <w:r w:rsidRPr="002901F8" w:rsidR="00995177">
        <w:rPr>
          <w:rFonts w:ascii="Times New Roman" w:hAnsi="Times New Roman"/>
          <w:sz w:val="24"/>
          <w:szCs w:val="24"/>
          <w:lang w:eastAsia="cs-CZ"/>
        </w:rPr>
        <w:t>správy</w:t>
      </w:r>
      <w:r w:rsidRPr="002901F8" w:rsidR="00880277">
        <w:rPr>
          <w:rFonts w:ascii="Times New Roman" w:hAnsi="Times New Roman"/>
          <w:sz w:val="24"/>
          <w:szCs w:val="24"/>
          <w:lang w:eastAsia="cs-CZ"/>
        </w:rPr>
        <w:t>.</w:t>
      </w:r>
      <w:r w:rsidR="00995177">
        <w:rPr>
          <w:rFonts w:ascii="Times New Roman" w:hAnsi="Times New Roman"/>
          <w:sz w:val="24"/>
          <w:szCs w:val="24"/>
          <w:lang w:eastAsia="cs-CZ"/>
        </w:rPr>
        <w:t xml:space="preserve"> Vplyvy sú rozpočtovo zabezpečené. </w:t>
      </w:r>
      <w:r w:rsidRPr="00873396" w:rsidR="00880277">
        <w:rPr>
          <w:rFonts w:ascii="Times New Roman" w:hAnsi="Times New Roman"/>
          <w:sz w:val="24"/>
          <w:szCs w:val="24"/>
          <w:lang w:eastAsia="sk-SK"/>
        </w:rPr>
        <w:t xml:space="preserve"> </w:t>
      </w:r>
    </w:p>
    <w:p w:rsidR="007D5748" w:rsidRPr="007D5748" w:rsidP="007D5748">
      <w:pPr>
        <w:bidi w:val="0"/>
        <w:spacing w:after="0" w:line="240" w:lineRule="auto"/>
        <w:jc w:val="right"/>
        <w:rPr>
          <w:rFonts w:ascii="Times New Roman" w:hAnsi="Times New Roman"/>
          <w:sz w:val="20"/>
          <w:szCs w:val="20"/>
          <w:lang w:eastAsia="sk-SK"/>
        </w:rPr>
      </w:pPr>
      <w:r w:rsidRPr="007D5748">
        <w:rPr>
          <w:rFonts w:ascii="Times New Roman" w:hAnsi="Times New Roman"/>
          <w:sz w:val="20"/>
          <w:szCs w:val="20"/>
          <w:lang w:eastAsia="sk-SK"/>
        </w:rPr>
        <w:t xml:space="preserve">Tabuľka č. 1 </w:t>
      </w:r>
    </w:p>
    <w:tbl>
      <w:tblPr>
        <w:tblStyle w:val="TableNormal"/>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C92271">
            <w:pPr>
              <w:bidi w:val="0"/>
              <w:spacing w:after="0" w:line="240" w:lineRule="auto"/>
              <w:jc w:val="center"/>
              <w:rPr>
                <w:rFonts w:ascii="Times New Roman" w:hAnsi="Times New Roman"/>
                <w:b/>
                <w:bCs/>
                <w:sz w:val="24"/>
                <w:szCs w:val="24"/>
                <w:lang w:eastAsia="sk-SK"/>
              </w:rPr>
            </w:pPr>
            <w:bookmarkStart w:id="0" w:name="OLE_LINK1"/>
            <w:r w:rsidRPr="007D5748">
              <w:rPr>
                <w:rFonts w:ascii="Times New Roman" w:hAnsi="Times New Roman"/>
                <w:b/>
                <w:bCs/>
                <w:sz w:val="24"/>
                <w:szCs w:val="24"/>
                <w:lang w:eastAsia="sk-SK"/>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C92271">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 (v eurách)</w:t>
            </w:r>
          </w:p>
        </w:tc>
      </w:tr>
      <w:tr>
        <w:tblPrEx>
          <w:tblW w:w="9729" w:type="dxa"/>
          <w:jc w:val="center"/>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C92271">
            <w:pPr>
              <w:bidi w:val="0"/>
              <w:spacing w:after="0" w:line="240" w:lineRule="auto"/>
              <w:jc w:val="center"/>
              <w:rPr>
                <w:rFonts w:ascii="Times New Roman" w:hAnsi="Times New Roman"/>
                <w:b/>
                <w:b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1E157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sidR="00880277">
              <w:rPr>
                <w:rFonts w:ascii="Times New Roman" w:hAnsi="Times New Roman"/>
                <w:b/>
                <w:bCs/>
                <w:sz w:val="24"/>
                <w:szCs w:val="24"/>
                <w:lang w:eastAsia="sk-SK"/>
              </w:rPr>
              <w:t>. 201</w:t>
            </w:r>
            <w:r w:rsidR="001E1570">
              <w:rPr>
                <w:rFonts w:ascii="Times New Roman" w:hAnsi="Times New Roman"/>
                <w:b/>
                <w:bCs/>
                <w:sz w:val="24"/>
                <w:szCs w:val="24"/>
                <w:lang w:eastAsia="sk-SK"/>
              </w:rPr>
              <w:t>8</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1E157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sidR="00880277">
              <w:rPr>
                <w:rFonts w:ascii="Times New Roman" w:hAnsi="Times New Roman"/>
                <w:b/>
                <w:bCs/>
                <w:sz w:val="24"/>
                <w:szCs w:val="24"/>
                <w:lang w:eastAsia="sk-SK"/>
              </w:rPr>
              <w:t>. 201</w:t>
            </w:r>
            <w:r w:rsidR="001E1570">
              <w:rPr>
                <w:rFonts w:ascii="Times New Roman" w:hAnsi="Times New Roman"/>
                <w:b/>
                <w:bCs/>
                <w:sz w:val="24"/>
                <w:szCs w:val="24"/>
                <w:lang w:eastAsia="sk-SK"/>
              </w:rPr>
              <w:t>9</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1E157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sidR="00880277">
              <w:rPr>
                <w:rFonts w:ascii="Times New Roman" w:hAnsi="Times New Roman"/>
                <w:b/>
                <w:bCs/>
                <w:sz w:val="24"/>
                <w:szCs w:val="24"/>
                <w:lang w:eastAsia="sk-SK"/>
              </w:rPr>
              <w:t>. 20</w:t>
            </w:r>
            <w:r w:rsidR="001E1570">
              <w:rPr>
                <w:rFonts w:ascii="Times New Roman" w:hAnsi="Times New Roman"/>
                <w:b/>
                <w:bCs/>
                <w:sz w:val="24"/>
                <w:szCs w:val="24"/>
                <w:lang w:eastAsia="sk-SK"/>
              </w:rPr>
              <w:t>20</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2D350E">
            <w:pPr>
              <w:bidi w:val="0"/>
              <w:spacing w:after="0" w:line="240" w:lineRule="auto"/>
              <w:jc w:val="center"/>
              <w:rPr>
                <w:rFonts w:ascii="Times New Roman" w:hAnsi="Times New Roman"/>
                <w:b/>
                <w:bCs/>
                <w:sz w:val="24"/>
                <w:szCs w:val="24"/>
                <w:lang w:eastAsia="sk-SK"/>
              </w:rPr>
            </w:pPr>
            <w:r w:rsidR="00880277">
              <w:rPr>
                <w:rFonts w:ascii="Times New Roman" w:hAnsi="Times New Roman"/>
                <w:b/>
                <w:bCs/>
                <w:sz w:val="24"/>
                <w:szCs w:val="24"/>
                <w:lang w:eastAsia="sk-SK"/>
              </w:rPr>
              <w:t>r. 202</w:t>
            </w:r>
            <w:r w:rsidR="002D350E">
              <w:rPr>
                <w:rFonts w:ascii="Times New Roman" w:hAnsi="Times New Roman"/>
                <w:b/>
                <w:bCs/>
                <w:sz w:val="24"/>
                <w:szCs w:val="24"/>
                <w:lang w:eastAsia="sk-SK"/>
              </w:rPr>
              <w:t>1</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E1570" w:rsidRPr="007D5748" w:rsidP="001E1570">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1E1570" w:rsidRPr="00880277" w:rsidP="001E1570">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1E1570" w:rsidRPr="00C336EB" w:rsidP="001E1570">
            <w:pPr>
              <w:bidi w:val="0"/>
              <w:spacing w:after="0" w:line="240" w:lineRule="auto"/>
              <w:jc w:val="right"/>
              <w:rPr>
                <w:rFonts w:ascii="Times New Roman" w:hAnsi="Times New Roman"/>
                <w:b/>
                <w:sz w:val="24"/>
                <w:szCs w:val="24"/>
              </w:rPr>
            </w:pPr>
            <w:r>
              <w:rPr>
                <w:rFonts w:ascii="Times New Roman" w:hAnsi="Times New Roman"/>
                <w:b/>
                <w:sz w:val="24"/>
                <w:szCs w:val="24"/>
              </w:rPr>
              <w:t>762 962,54</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1E1570" w:rsidRPr="00C336EB" w:rsidP="001E1570">
            <w:pPr>
              <w:bidi w:val="0"/>
              <w:spacing w:after="0" w:line="240" w:lineRule="auto"/>
              <w:jc w:val="right"/>
              <w:rPr>
                <w:rFonts w:ascii="Times New Roman" w:hAnsi="Times New Roman"/>
                <w:b/>
                <w:sz w:val="24"/>
                <w:szCs w:val="24"/>
              </w:rPr>
            </w:pPr>
            <w:r>
              <w:rPr>
                <w:rFonts w:ascii="Times New Roman" w:hAnsi="Times New Roman"/>
                <w:b/>
                <w:sz w:val="24"/>
                <w:szCs w:val="24"/>
              </w:rPr>
              <w:t>762 962,54</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1E1570" w:rsidRPr="00C336EB" w:rsidP="001E1570">
            <w:pPr>
              <w:bidi w:val="0"/>
              <w:spacing w:after="0" w:line="240" w:lineRule="auto"/>
              <w:jc w:val="right"/>
              <w:rPr>
                <w:rFonts w:ascii="Times New Roman" w:hAnsi="Times New Roman"/>
                <w:b/>
                <w:sz w:val="24"/>
                <w:szCs w:val="24"/>
              </w:rPr>
            </w:pPr>
            <w:r>
              <w:rPr>
                <w:rFonts w:ascii="Times New Roman" w:hAnsi="Times New Roman"/>
                <w:b/>
                <w:sz w:val="24"/>
                <w:szCs w:val="24"/>
              </w:rPr>
              <w:t>762 962,54</w:t>
            </w:r>
          </w:p>
        </w:tc>
      </w:tr>
      <w:tr>
        <w:tblPrEx>
          <w:tblW w:w="9729" w:type="dxa"/>
          <w:jc w:val="center"/>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7D5748" w:rsidP="001E1570">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762 962,54</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762 962,54</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762 962,54</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7D5748" w:rsidP="001E157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7D5748" w:rsidP="001E157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E1570" w:rsidRPr="00880277" w:rsidP="001E1570">
            <w:pPr>
              <w:bidi w:val="0"/>
              <w:spacing w:after="0"/>
              <w:jc w:val="right"/>
              <w:rPr>
                <w:rFonts w:ascii="Times New Roman" w:hAnsi="Times New Roman"/>
                <w:b/>
                <w:sz w:val="24"/>
                <w:szCs w:val="24"/>
              </w:rPr>
            </w:pPr>
            <w:r>
              <w:rPr>
                <w:rFonts w:ascii="Times New Roman" w:hAnsi="Times New Roman"/>
                <w:b/>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E1570" w:rsidRPr="00C336EB" w:rsidP="001E1570">
            <w:pPr>
              <w:bidi w:val="0"/>
              <w:spacing w:after="0"/>
              <w:jc w:val="right"/>
              <w:rPr>
                <w:rFonts w:ascii="Times New Roman" w:hAnsi="Times New Roman"/>
                <w:b/>
                <w:sz w:val="24"/>
                <w:szCs w:val="24"/>
              </w:rPr>
            </w:pPr>
            <w:r w:rsidRPr="00C336EB">
              <w:rPr>
                <w:rFonts w:ascii="Times New Roman" w:hAnsi="Times New Roman"/>
                <w:b/>
                <w:sz w:val="24"/>
                <w:szCs w:val="24"/>
                <w:lang w:eastAsia="sk-SK"/>
              </w:rPr>
              <w:t>762 962,54</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E1570" w:rsidRPr="00C336EB" w:rsidP="001E1570">
            <w:pPr>
              <w:bidi w:val="0"/>
              <w:spacing w:after="0"/>
              <w:jc w:val="right"/>
              <w:rPr>
                <w:rFonts w:ascii="Times New Roman" w:hAnsi="Times New Roman"/>
                <w:b/>
                <w:sz w:val="24"/>
                <w:szCs w:val="24"/>
              </w:rPr>
            </w:pPr>
            <w:r w:rsidRPr="00C336EB">
              <w:rPr>
                <w:rFonts w:ascii="Times New Roman" w:hAnsi="Times New Roman"/>
                <w:b/>
                <w:sz w:val="24"/>
                <w:szCs w:val="24"/>
                <w:lang w:eastAsia="sk-SK"/>
              </w:rPr>
              <w:t>762 962,54</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E1570" w:rsidRPr="00C336EB" w:rsidP="001E1570">
            <w:pPr>
              <w:bidi w:val="0"/>
              <w:spacing w:after="0"/>
              <w:jc w:val="right"/>
              <w:rPr>
                <w:rFonts w:ascii="Times New Roman" w:hAnsi="Times New Roman"/>
                <w:b/>
                <w:sz w:val="24"/>
                <w:szCs w:val="24"/>
              </w:rPr>
            </w:pPr>
            <w:r w:rsidRPr="00C336EB">
              <w:rPr>
                <w:rFonts w:ascii="Times New Roman" w:hAnsi="Times New Roman"/>
                <w:b/>
                <w:sz w:val="24"/>
                <w:szCs w:val="24"/>
                <w:lang w:eastAsia="sk-SK"/>
              </w:rPr>
              <w:t>762 962,54</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7D5748" w:rsidP="001E1570">
            <w:pPr>
              <w:bidi w:val="0"/>
              <w:spacing w:after="0" w:line="240" w:lineRule="auto"/>
              <w:ind w:left="259"/>
              <w:rPr>
                <w:rFonts w:ascii="Times New Roman" w:hAnsi="Times New Roman"/>
                <w:b/>
                <w:bCs/>
                <w:i/>
                <w:iCs/>
                <w:sz w:val="24"/>
                <w:szCs w:val="24"/>
                <w:lang w:eastAsia="sk-SK"/>
              </w:rPr>
            </w:pPr>
            <w:r>
              <w:rPr>
                <w:rFonts w:ascii="Times New Roman" w:hAnsi="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sz w:val="24"/>
                <w:szCs w:val="24"/>
                <w:lang w:eastAsia="sk-SK"/>
              </w:rPr>
              <w:t>762 962,54</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sz w:val="24"/>
                <w:szCs w:val="24"/>
                <w:lang w:eastAsia="sk-SK"/>
              </w:rPr>
              <w:t>762 962,54</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sz w:val="24"/>
                <w:szCs w:val="24"/>
                <w:lang w:eastAsia="sk-SK"/>
              </w:rPr>
              <w:t>762 962,54</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D350E" w:rsidRPr="007D5748" w:rsidP="002D350E">
            <w:pPr>
              <w:bidi w:val="0"/>
              <w:spacing w:after="0" w:line="240" w:lineRule="auto"/>
              <w:ind w:left="259"/>
              <w:rPr>
                <w:rFonts w:ascii="Times New Roman" w:hAnsi="Times New Roman"/>
                <w:bCs/>
                <w:i/>
                <w:iCs/>
                <w:sz w:val="24"/>
                <w:szCs w:val="24"/>
                <w:lang w:eastAsia="sk-SK"/>
              </w:rPr>
            </w:pPr>
            <w:r w:rsidRPr="007D5748">
              <w:rPr>
                <w:rFonts w:ascii="Times New Roman" w:hAnsi="Times New Roman"/>
                <w:bCs/>
                <w:i/>
                <w:iCs/>
                <w:sz w:val="24"/>
                <w:szCs w:val="24"/>
                <w:lang w:eastAsia="sk-SK"/>
              </w:rPr>
              <w:t>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350E" w:rsidRPr="00880277" w:rsidP="002D350E">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350E" w:rsidRPr="00880277" w:rsidP="002D350E">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350E" w:rsidRPr="00880277" w:rsidP="002D350E">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350E" w:rsidRPr="00880277" w:rsidP="002D350E">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D350E" w:rsidRPr="007D5748" w:rsidP="002D350E">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350E" w:rsidRPr="00880277" w:rsidP="002D350E">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350E" w:rsidRPr="00880277" w:rsidP="002D350E">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350E" w:rsidRPr="00880277" w:rsidP="002D350E">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350E" w:rsidRPr="00880277" w:rsidP="002D350E">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D350E" w:rsidRPr="007D5748" w:rsidP="002D350E">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350E" w:rsidRPr="00880277" w:rsidP="002D350E">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350E" w:rsidRPr="00880277" w:rsidP="002D350E">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350E" w:rsidRPr="00880277" w:rsidP="002D350E">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350E" w:rsidRPr="00880277" w:rsidP="002D350E">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D350E" w:rsidRPr="007D5748" w:rsidP="002D350E">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350E" w:rsidRPr="00880277" w:rsidP="002D350E">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350E" w:rsidRPr="00880277" w:rsidP="002D350E">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350E" w:rsidRPr="00880277" w:rsidP="002D350E">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350E" w:rsidRPr="00880277" w:rsidP="002D350E">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E1570" w:rsidRPr="007D5748" w:rsidP="001E157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E1570" w:rsidRPr="00880277" w:rsidP="001E1570">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1E1570" w:rsidRPr="009B4479" w:rsidP="001E1570">
            <w:pPr>
              <w:pStyle w:val="NormalWeb"/>
              <w:bidi w:val="0"/>
              <w:spacing w:before="0" w:beforeAutospacing="0" w:after="0" w:afterAutospacing="0" w:line="240" w:lineRule="auto"/>
              <w:jc w:val="right"/>
              <w:rPr>
                <w:rFonts w:ascii="Times New Roman" w:hAnsi="Times New Roman"/>
                <w:b/>
              </w:rPr>
            </w:pPr>
            <w:r w:rsidRPr="009B4479">
              <w:rPr>
                <w:rFonts w:ascii="Times New Roman" w:hAnsi="Times New Roman"/>
                <w:b/>
              </w:rPr>
              <w:t>697 964,72</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1E1570" w:rsidRPr="009B4479" w:rsidP="001E1570">
            <w:pPr>
              <w:pStyle w:val="NormalWeb"/>
              <w:bidi w:val="0"/>
              <w:spacing w:before="0" w:beforeAutospacing="0" w:after="0" w:afterAutospacing="0" w:line="240" w:lineRule="auto"/>
              <w:jc w:val="right"/>
              <w:rPr>
                <w:rFonts w:ascii="Times New Roman" w:hAnsi="Times New Roman"/>
                <w:b/>
              </w:rPr>
            </w:pPr>
            <w:r>
              <w:rPr>
                <w:rFonts w:ascii="Times New Roman" w:hAnsi="Times New Roman"/>
                <w:b/>
              </w:rPr>
              <w:t>692 364,72</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1E1570" w:rsidRPr="009B4479" w:rsidP="001E1570">
            <w:pPr>
              <w:pStyle w:val="NormalWeb"/>
              <w:bidi w:val="0"/>
              <w:spacing w:before="0" w:beforeAutospacing="0" w:after="0" w:afterAutospacing="0" w:line="240" w:lineRule="auto"/>
              <w:jc w:val="right"/>
              <w:rPr>
                <w:rFonts w:ascii="Times New Roman" w:hAnsi="Times New Roman"/>
                <w:b/>
              </w:rPr>
            </w:pPr>
            <w:r>
              <w:rPr>
                <w:rFonts w:ascii="Times New Roman" w:hAnsi="Times New Roman"/>
                <w:b/>
              </w:rPr>
              <w:t>692 364,72</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E1570" w:rsidP="001E1570">
            <w:pPr>
              <w:bidi w:val="0"/>
              <w:spacing w:after="0" w:line="240" w:lineRule="auto"/>
              <w:rPr>
                <w:rFonts w:ascii="Times New Roman" w:hAnsi="Times New Roman"/>
                <w:sz w:val="24"/>
                <w:szCs w:val="24"/>
                <w:lang w:eastAsia="sk-SK"/>
              </w:rPr>
            </w:pPr>
            <w:r>
              <w:rPr>
                <w:rFonts w:ascii="Times New Roman" w:hAnsi="Times New Roman"/>
                <w:sz w:val="24"/>
                <w:szCs w:val="24"/>
                <w:lang w:eastAsia="sk-SK"/>
              </w:rPr>
              <w:t xml:space="preserve">v tom: za Štátny ústav pre kontrolu liečiv </w:t>
            </w:r>
          </w:p>
          <w:p w:rsidR="001E1570" w:rsidRPr="007D5748" w:rsidP="001E1570">
            <w:pPr>
              <w:bidi w:val="0"/>
              <w:spacing w:after="0" w:line="240" w:lineRule="auto"/>
              <w:rPr>
                <w:rFonts w:ascii="Times New Roman" w:hAnsi="Times New Roman"/>
                <w:sz w:val="24"/>
                <w:szCs w:val="24"/>
                <w:lang w:eastAsia="sk-SK"/>
              </w:rPr>
            </w:pPr>
            <w:r>
              <w:rPr>
                <w:rFonts w:ascii="Times New Roman" w:hAnsi="Times New Roman"/>
                <w:sz w:val="24"/>
                <w:szCs w:val="24"/>
                <w:lang w:eastAsia="sk-SK"/>
              </w:rPr>
              <w:t xml:space="preserve">           za Ministerstvo zdravotníctva SR</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E1570" w:rsidP="001E1570">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p w:rsidR="001E1570" w:rsidRPr="00880277" w:rsidP="001E1570">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E1570" w:rsidP="001E1570">
            <w:pPr>
              <w:bidi w:val="0"/>
              <w:spacing w:after="0" w:line="240" w:lineRule="auto"/>
              <w:jc w:val="right"/>
              <w:rPr>
                <w:rFonts w:ascii="Times New Roman" w:hAnsi="Times New Roman"/>
                <w:sz w:val="24"/>
                <w:szCs w:val="24"/>
                <w:lang w:eastAsia="sk-SK"/>
              </w:rPr>
            </w:pPr>
            <w:r w:rsidRPr="009B4479">
              <w:rPr>
                <w:rFonts w:ascii="Times New Roman" w:hAnsi="Times New Roman"/>
                <w:sz w:val="24"/>
                <w:szCs w:val="24"/>
                <w:lang w:eastAsia="sk-SK"/>
              </w:rPr>
              <w:t>517 964,72</w:t>
            </w:r>
          </w:p>
          <w:p w:rsidR="001E1570" w:rsidRPr="009B4479" w:rsidP="001E1570">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180 000,00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E1570" w:rsidP="001E1570">
            <w:pPr>
              <w:bidi w:val="0"/>
              <w:spacing w:after="0" w:line="240" w:lineRule="auto"/>
              <w:jc w:val="right"/>
              <w:rPr>
                <w:rFonts w:ascii="Times New Roman" w:hAnsi="Times New Roman"/>
                <w:sz w:val="24"/>
                <w:szCs w:val="24"/>
                <w:lang w:eastAsia="sk-SK"/>
              </w:rPr>
            </w:pPr>
            <w:r w:rsidRPr="009B4479">
              <w:rPr>
                <w:rFonts w:ascii="Times New Roman" w:hAnsi="Times New Roman"/>
                <w:sz w:val="24"/>
                <w:szCs w:val="24"/>
                <w:lang w:eastAsia="sk-SK"/>
              </w:rPr>
              <w:t>512 364,72</w:t>
            </w:r>
          </w:p>
          <w:p w:rsidR="001E1570" w:rsidRPr="009B4479" w:rsidP="001E1570">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180 000,00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E1570" w:rsidP="001E1570">
            <w:pPr>
              <w:bidi w:val="0"/>
              <w:spacing w:after="0" w:line="240" w:lineRule="auto"/>
              <w:jc w:val="right"/>
              <w:rPr>
                <w:rFonts w:ascii="Times New Roman" w:hAnsi="Times New Roman"/>
                <w:sz w:val="24"/>
                <w:szCs w:val="24"/>
                <w:lang w:eastAsia="sk-SK"/>
              </w:rPr>
            </w:pPr>
            <w:r w:rsidRPr="009B4479">
              <w:rPr>
                <w:rFonts w:ascii="Times New Roman" w:hAnsi="Times New Roman"/>
                <w:sz w:val="24"/>
                <w:szCs w:val="24"/>
                <w:lang w:eastAsia="sk-SK"/>
              </w:rPr>
              <w:t>512 364,72</w:t>
            </w:r>
          </w:p>
          <w:p w:rsidR="001E1570" w:rsidRPr="009B4479" w:rsidP="001E1570">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180 000,00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7D5748" w:rsidP="001E157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48159A" w:rsidP="001E1570">
            <w:pPr>
              <w:bidi w:val="0"/>
              <w:spacing w:after="0" w:line="240" w:lineRule="auto"/>
              <w:jc w:val="right"/>
              <w:rPr>
                <w:rFonts w:ascii="Times New Roman" w:hAnsi="Times New Roman"/>
                <w:b/>
                <w:bCs/>
                <w:iCs/>
                <w:sz w:val="24"/>
                <w:szCs w:val="24"/>
                <w:highlight w:val="yellow"/>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48159A" w:rsidP="001E1570">
            <w:pPr>
              <w:bidi w:val="0"/>
              <w:spacing w:after="0" w:line="240" w:lineRule="auto"/>
              <w:jc w:val="right"/>
              <w:rPr>
                <w:rFonts w:ascii="Times New Roman" w:hAnsi="Times New Roman"/>
                <w:b/>
                <w:bCs/>
                <w:iCs/>
                <w:sz w:val="24"/>
                <w:szCs w:val="24"/>
                <w:highlight w:val="yellow"/>
                <w:lang w:eastAsia="sk-SK"/>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7D5748" w:rsidP="001E157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E33C3C" w:rsidP="001E1570">
            <w:pPr>
              <w:bidi w:val="0"/>
              <w:spacing w:after="0" w:line="240" w:lineRule="auto"/>
              <w:jc w:val="right"/>
              <w:rPr>
                <w:rFonts w:ascii="Times New Roman" w:hAnsi="Times New Roman"/>
                <w:b/>
                <w:sz w:val="24"/>
                <w:szCs w:val="24"/>
                <w:lang w:eastAsia="sk-SK"/>
              </w:rPr>
            </w:pPr>
            <w:r>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E33C3C" w:rsidP="001E1570">
            <w:pPr>
              <w:bidi w:val="0"/>
              <w:spacing w:after="0" w:line="240" w:lineRule="auto"/>
              <w:jc w:val="right"/>
              <w:rPr>
                <w:rFonts w:ascii="Times New Roman" w:hAnsi="Times New Roman"/>
                <w:b/>
                <w:sz w:val="24"/>
                <w:szCs w:val="24"/>
                <w:lang w:eastAsia="sk-SK"/>
              </w:rPr>
            </w:pPr>
            <w:r>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E33C3C" w:rsidP="001E1570">
            <w:pPr>
              <w:bidi w:val="0"/>
              <w:spacing w:after="0" w:line="240" w:lineRule="auto"/>
              <w:jc w:val="right"/>
              <w:rPr>
                <w:rFonts w:ascii="Times New Roman" w:hAnsi="Times New Roman"/>
                <w:b/>
                <w:sz w:val="24"/>
                <w:szCs w:val="24"/>
                <w:lang w:eastAsia="sk-SK"/>
              </w:rPr>
            </w:pPr>
            <w:r>
              <w:rPr>
                <w:rFonts w:ascii="Times New Roman" w:hAnsi="Times New Roman"/>
                <w:b/>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7D5748" w:rsidP="001E1570">
            <w:pPr>
              <w:bidi w:val="0"/>
              <w:spacing w:after="0" w:line="240" w:lineRule="auto"/>
              <w:ind w:left="259"/>
              <w:rPr>
                <w:rFonts w:ascii="Times New Roman" w:hAnsi="Times New Roman"/>
                <w:b/>
                <w:bCs/>
                <w:i/>
                <w:iCs/>
                <w:sz w:val="24"/>
                <w:szCs w:val="24"/>
                <w:lang w:eastAsia="sk-SK"/>
              </w:rPr>
            </w:pPr>
            <w:r>
              <w:rPr>
                <w:rFonts w:ascii="Times New Roman" w:hAnsi="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7D5748" w:rsidP="001E1570">
            <w:pPr>
              <w:bidi w:val="0"/>
              <w:spacing w:after="0" w:line="240" w:lineRule="auto"/>
              <w:rPr>
                <w:rFonts w:ascii="Times New Roman" w:hAnsi="Times New Roman"/>
                <w:bCs/>
                <w:i/>
                <w:iCs/>
                <w:sz w:val="24"/>
                <w:szCs w:val="24"/>
                <w:lang w:eastAsia="sk-SK"/>
              </w:rPr>
            </w:pPr>
            <w:r w:rsidRPr="007D5748">
              <w:rPr>
                <w:rFonts w:ascii="Times New Roman" w:hAnsi="Times New Roman"/>
                <w:bCs/>
                <w:i/>
                <w:iCs/>
                <w:sz w:val="24"/>
                <w:szCs w:val="24"/>
                <w:lang w:eastAsia="sk-SK"/>
              </w:rPr>
              <w:t xml:space="preserve">    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sz w:val="24"/>
                <w:szCs w:val="24"/>
                <w:lang w:eastAsia="sk-SK"/>
              </w:rPr>
            </w:pPr>
            <w:r w:rsidRPr="00880277">
              <w:rPr>
                <w:rFonts w:ascii="Times New Roman" w:hAnsi="Times New Roman"/>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7D5748" w:rsidP="001E1570">
            <w:pPr>
              <w:bidi w:val="0"/>
              <w:spacing w:after="0" w:line="240" w:lineRule="auto"/>
              <w:rPr>
                <w:rFonts w:ascii="Times New Roman" w:hAnsi="Times New Roman"/>
                <w:bCs/>
                <w:i/>
                <w:iCs/>
                <w:sz w:val="24"/>
                <w:szCs w:val="24"/>
                <w:lang w:eastAsia="sk-SK"/>
              </w:rPr>
            </w:pPr>
            <w:r w:rsidRPr="007D5748">
              <w:rPr>
                <w:rFonts w:ascii="Times New Roman" w:hAnsi="Times New Roman"/>
                <w:bCs/>
                <w:i/>
                <w:iCs/>
                <w:sz w:val="24"/>
                <w:szCs w:val="24"/>
                <w:lang w:eastAsia="sk-SK"/>
              </w:rPr>
              <w:t xml:space="preserve">    spolufinancovanie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sz w:val="24"/>
                <w:szCs w:val="24"/>
                <w:lang w:eastAsia="sk-SK"/>
              </w:rPr>
            </w:pPr>
            <w:r w:rsidRPr="00880277">
              <w:rPr>
                <w:rFonts w:ascii="Times New Roman" w:hAnsi="Times New Roman"/>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7D5748" w:rsidP="001E157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sidRPr="00880277">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7D5748" w:rsidP="001E157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sidRPr="00880277">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7D5748" w:rsidP="001E1570">
            <w:pPr>
              <w:bidi w:val="0"/>
              <w:spacing w:after="0" w:line="240" w:lineRule="auto"/>
              <w:rPr>
                <w:rFonts w:ascii="Times New Roman" w:hAnsi="Times New Roman"/>
                <w:b/>
                <w:b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1E1570" w:rsidRPr="007D5748" w:rsidP="001E157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top"/>
          </w:tcPr>
          <w:p w:rsidR="001E1570" w:rsidRPr="00880277" w:rsidP="001E1570">
            <w:pPr>
              <w:bidi w:val="0"/>
              <w:spacing w:after="0"/>
              <w:jc w:val="right"/>
              <w:rPr>
                <w:rFonts w:ascii="Times New Roman" w:hAnsi="Times New Roman"/>
                <w:b/>
                <w:sz w:val="24"/>
                <w:szCs w:val="24"/>
              </w:rPr>
            </w:pPr>
            <w:r>
              <w:rPr>
                <w:rFonts w:ascii="Times New Roman" w:hAnsi="Times New Roman"/>
                <w:b/>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top"/>
          </w:tcPr>
          <w:p w:rsidR="001E1570" w:rsidRPr="009B4479" w:rsidP="001E1570">
            <w:pPr>
              <w:bidi w:val="0"/>
              <w:spacing w:after="0"/>
              <w:jc w:val="right"/>
              <w:rPr>
                <w:rFonts w:ascii="Times New Roman" w:hAnsi="Times New Roman"/>
                <w:b/>
                <w:sz w:val="24"/>
                <w:szCs w:val="24"/>
              </w:rPr>
            </w:pPr>
            <w:r w:rsidRPr="009B4479">
              <w:rPr>
                <w:rFonts w:ascii="Times New Roman" w:hAnsi="Times New Roman"/>
                <w:b/>
                <w:sz w:val="24"/>
                <w:szCs w:val="24"/>
              </w:rPr>
              <w:t>2</w:t>
            </w:r>
            <w:r>
              <w:rPr>
                <w:rFonts w:ascii="Times New Roman" w:hAnsi="Times New Roman"/>
                <w:b/>
                <w:sz w:val="24"/>
                <w:szCs w:val="24"/>
              </w:rPr>
              <w:t>5</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top"/>
          </w:tcPr>
          <w:p w:rsidR="001E1570" w:rsidRPr="009B4479" w:rsidP="001E1570">
            <w:pPr>
              <w:bidi w:val="0"/>
              <w:spacing w:after="0"/>
              <w:jc w:val="right"/>
              <w:rPr>
                <w:rFonts w:ascii="Times New Roman" w:hAnsi="Times New Roman"/>
                <w:b/>
                <w:sz w:val="24"/>
                <w:szCs w:val="24"/>
              </w:rPr>
            </w:pPr>
            <w:r w:rsidRPr="009B4479">
              <w:rPr>
                <w:rFonts w:ascii="Times New Roman" w:hAnsi="Times New Roman"/>
                <w:b/>
                <w:sz w:val="24"/>
                <w:szCs w:val="24"/>
              </w:rPr>
              <w:t>2</w:t>
            </w:r>
            <w:r>
              <w:rPr>
                <w:rFonts w:ascii="Times New Roman" w:hAnsi="Times New Roman"/>
                <w:b/>
                <w:sz w:val="24"/>
                <w:szCs w:val="24"/>
              </w:rPr>
              <w:t>5</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top"/>
          </w:tcPr>
          <w:p w:rsidR="001E1570" w:rsidRPr="009B4479" w:rsidP="001E1570">
            <w:pPr>
              <w:bidi w:val="0"/>
              <w:spacing w:after="0"/>
              <w:jc w:val="right"/>
              <w:rPr>
                <w:rFonts w:ascii="Times New Roman" w:hAnsi="Times New Roman"/>
                <w:b/>
                <w:sz w:val="24"/>
                <w:szCs w:val="24"/>
              </w:rPr>
            </w:pPr>
            <w:r w:rsidRPr="009B4479">
              <w:rPr>
                <w:rFonts w:ascii="Times New Roman" w:hAnsi="Times New Roman"/>
                <w:b/>
                <w:sz w:val="24"/>
                <w:szCs w:val="24"/>
              </w:rPr>
              <w:t>2</w:t>
            </w:r>
            <w:r>
              <w:rPr>
                <w:rFonts w:ascii="Times New Roman" w:hAnsi="Times New Roman"/>
                <w:b/>
                <w:sz w:val="24"/>
                <w:szCs w:val="24"/>
              </w:rPr>
              <w:t>5</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7D5748" w:rsidP="001E157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E1570" w:rsidRPr="00357D67" w:rsidP="001E1570">
            <w:pPr>
              <w:pStyle w:val="NormalWeb"/>
              <w:bidi w:val="0"/>
              <w:spacing w:before="0" w:beforeAutospacing="0" w:after="0" w:afterAutospacing="0" w:line="240" w:lineRule="auto"/>
              <w:jc w:val="right"/>
              <w:rPr>
                <w:rFonts w:ascii="Times New Roman" w:hAnsi="Times New Roman"/>
              </w:rPr>
            </w:pPr>
            <w:r>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E1570" w:rsidRPr="009B4479" w:rsidP="001E1570">
            <w:pPr>
              <w:pStyle w:val="NormalWeb"/>
              <w:bidi w:val="0"/>
              <w:spacing w:before="0" w:beforeAutospacing="0" w:after="0" w:afterAutospacing="0" w:line="240" w:lineRule="auto"/>
              <w:jc w:val="right"/>
              <w:rPr>
                <w:rFonts w:ascii="Times New Roman" w:hAnsi="Times New Roman"/>
              </w:rPr>
            </w:pPr>
            <w:r>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E1570" w:rsidRPr="009B4479" w:rsidP="001E1570">
            <w:pPr>
              <w:pStyle w:val="NormalWeb"/>
              <w:bidi w:val="0"/>
              <w:spacing w:before="0" w:beforeAutospacing="0" w:after="0" w:afterAutospacing="0" w:line="240" w:lineRule="auto"/>
              <w:jc w:val="right"/>
              <w:rPr>
                <w:rFonts w:ascii="Times New Roman" w:hAnsi="Times New Roman"/>
              </w:rPr>
            </w:pPr>
            <w:r>
              <w:rPr>
                <w:rFonts w:ascii="Times New Roman" w:hAnsi="Times New Roman"/>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7D5748" w:rsidP="001E157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4A4AFC"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4A4AFC"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7D5748" w:rsidP="001E157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7D5748" w:rsidP="001E157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1E1570" w:rsidRPr="007D5748" w:rsidP="001E1570">
            <w:pPr>
              <w:bidi w:val="0"/>
              <w:spacing w:after="0" w:line="240" w:lineRule="auto"/>
              <w:rPr>
                <w:rFonts w:ascii="Times New Roman" w:hAnsi="Times New Roman"/>
                <w:b/>
                <w:sz w:val="24"/>
                <w:szCs w:val="24"/>
                <w:lang w:eastAsia="sk-SK"/>
              </w:rPr>
            </w:pPr>
            <w:r w:rsidRPr="007D5748">
              <w:rPr>
                <w:rFonts w:ascii="Times New Roman" w:hAnsi="Times New Roman"/>
                <w:b/>
                <w:sz w:val="24"/>
                <w:szCs w:val="24"/>
                <w:lang w:eastAsia="sk-SK"/>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top"/>
          </w:tcPr>
          <w:p w:rsidR="001E1570" w:rsidRPr="00880277" w:rsidP="001E1570">
            <w:pPr>
              <w:bidi w:val="0"/>
              <w:spacing w:after="0"/>
              <w:jc w:val="right"/>
              <w:rPr>
                <w:rFonts w:ascii="Times New Roman" w:hAnsi="Times New Roman"/>
                <w:b/>
                <w:sz w:val="24"/>
                <w:szCs w:val="24"/>
              </w:rPr>
            </w:pPr>
            <w:r>
              <w:rPr>
                <w:rFonts w:ascii="Times New Roman" w:hAnsi="Times New Roman"/>
                <w:b/>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top"/>
          </w:tcPr>
          <w:p w:rsidR="001E1570" w:rsidRPr="00880277" w:rsidP="001E1570">
            <w:pPr>
              <w:bidi w:val="0"/>
              <w:spacing w:after="0"/>
              <w:jc w:val="right"/>
              <w:rPr>
                <w:rFonts w:ascii="Times New Roman" w:hAnsi="Times New Roman"/>
                <w:b/>
                <w:sz w:val="24"/>
                <w:szCs w:val="24"/>
              </w:rPr>
            </w:pPr>
            <w:r w:rsidRPr="009B4479">
              <w:rPr>
                <w:rFonts w:ascii="Times New Roman" w:hAnsi="Times New Roman"/>
                <w:b/>
                <w:sz w:val="24"/>
                <w:szCs w:val="24"/>
              </w:rPr>
              <w:t>3</w:t>
            </w:r>
            <w:r>
              <w:rPr>
                <w:rFonts w:ascii="Times New Roman" w:hAnsi="Times New Roman"/>
                <w:b/>
                <w:sz w:val="24"/>
                <w:szCs w:val="24"/>
              </w:rPr>
              <w:t>84 6</w:t>
            </w:r>
            <w:r w:rsidRPr="009B4479">
              <w:rPr>
                <w:rFonts w:ascii="Times New Roman" w:hAnsi="Times New Roman"/>
                <w:b/>
                <w:sz w:val="24"/>
                <w:szCs w:val="24"/>
              </w:rPr>
              <w:t>00,00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top"/>
          </w:tcPr>
          <w:p w:rsidR="001E1570" w:rsidRPr="009B4479" w:rsidP="001E1570">
            <w:pPr>
              <w:bidi w:val="0"/>
              <w:spacing w:after="0"/>
              <w:jc w:val="right"/>
              <w:rPr>
                <w:rFonts w:ascii="Times New Roman" w:hAnsi="Times New Roman"/>
                <w:b/>
                <w:sz w:val="24"/>
                <w:szCs w:val="24"/>
              </w:rPr>
            </w:pPr>
            <w:r w:rsidRPr="009B4479">
              <w:rPr>
                <w:rFonts w:ascii="Times New Roman" w:hAnsi="Times New Roman"/>
                <w:b/>
                <w:sz w:val="24"/>
                <w:szCs w:val="24"/>
              </w:rPr>
              <w:t>3</w:t>
            </w:r>
            <w:r>
              <w:rPr>
                <w:rFonts w:ascii="Times New Roman" w:hAnsi="Times New Roman"/>
                <w:b/>
                <w:sz w:val="24"/>
                <w:szCs w:val="24"/>
              </w:rPr>
              <w:t>84 6</w:t>
            </w:r>
            <w:r w:rsidRPr="009B4479">
              <w:rPr>
                <w:rFonts w:ascii="Times New Roman" w:hAnsi="Times New Roman"/>
                <w:b/>
                <w:sz w:val="24"/>
                <w:szCs w:val="24"/>
              </w:rPr>
              <w:t>00,00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top"/>
          </w:tcPr>
          <w:p w:rsidR="001E1570" w:rsidRPr="009B4479" w:rsidP="001E1570">
            <w:pPr>
              <w:bidi w:val="0"/>
              <w:spacing w:after="0"/>
              <w:jc w:val="right"/>
              <w:rPr>
                <w:rFonts w:ascii="Times New Roman" w:hAnsi="Times New Roman"/>
                <w:b/>
                <w:sz w:val="24"/>
                <w:szCs w:val="24"/>
              </w:rPr>
            </w:pPr>
            <w:r w:rsidRPr="009B4479">
              <w:rPr>
                <w:rFonts w:ascii="Times New Roman" w:hAnsi="Times New Roman"/>
                <w:b/>
                <w:sz w:val="24"/>
                <w:szCs w:val="24"/>
              </w:rPr>
              <w:t>3</w:t>
            </w:r>
            <w:r>
              <w:rPr>
                <w:rFonts w:ascii="Times New Roman" w:hAnsi="Times New Roman"/>
                <w:b/>
                <w:sz w:val="24"/>
                <w:szCs w:val="24"/>
              </w:rPr>
              <w:t>8</w:t>
            </w:r>
            <w:r w:rsidRPr="009B4479">
              <w:rPr>
                <w:rFonts w:ascii="Times New Roman" w:hAnsi="Times New Roman"/>
                <w:b/>
                <w:sz w:val="24"/>
                <w:szCs w:val="24"/>
              </w:rPr>
              <w:t>4 </w:t>
            </w:r>
            <w:r>
              <w:rPr>
                <w:rFonts w:ascii="Times New Roman" w:hAnsi="Times New Roman"/>
                <w:b/>
                <w:sz w:val="24"/>
                <w:szCs w:val="24"/>
              </w:rPr>
              <w:t>6</w:t>
            </w:r>
            <w:r w:rsidRPr="009B4479">
              <w:rPr>
                <w:rFonts w:ascii="Times New Roman" w:hAnsi="Times New Roman"/>
                <w:b/>
                <w:sz w:val="24"/>
                <w:szCs w:val="24"/>
              </w:rPr>
              <w:t>00,00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7D5748" w:rsidP="001E157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E1570" w:rsidRPr="00880277" w:rsidP="001E1570">
            <w:pPr>
              <w:bidi w:val="0"/>
              <w:spacing w:after="0"/>
              <w:jc w:val="right"/>
              <w:rPr>
                <w:rFonts w:ascii="Times New Roman" w:hAnsi="Times New Roman"/>
                <w:b/>
                <w:sz w:val="24"/>
                <w:szCs w:val="24"/>
              </w:rPr>
            </w:pPr>
            <w:r>
              <w:rPr>
                <w:rFonts w:ascii="Times New Roman" w:hAnsi="Times New Roman"/>
                <w:b/>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E1570" w:rsidRPr="00880277" w:rsidP="001E1570">
            <w:pPr>
              <w:bidi w:val="0"/>
              <w:spacing w:after="0"/>
              <w:jc w:val="right"/>
              <w:rPr>
                <w:rFonts w:ascii="Times New Roman" w:hAnsi="Times New Roman"/>
                <w:b/>
                <w:sz w:val="24"/>
                <w:szCs w:val="24"/>
              </w:rPr>
            </w:pPr>
            <w:r>
              <w:rPr>
                <w:rFonts w:ascii="Times New Roman" w:hAnsi="Times New Roman"/>
                <w:b/>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E1570" w:rsidRPr="009B4479" w:rsidP="001E1570">
            <w:pPr>
              <w:bidi w:val="0"/>
              <w:spacing w:after="0"/>
              <w:jc w:val="right"/>
              <w:rPr>
                <w:rFonts w:ascii="Times New Roman" w:hAnsi="Times New Roman"/>
                <w:b/>
                <w:sz w:val="24"/>
                <w:szCs w:val="24"/>
              </w:rPr>
            </w:pPr>
            <w:r>
              <w:rPr>
                <w:rFonts w:ascii="Times New Roman" w:hAnsi="Times New Roman"/>
                <w:b/>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E1570" w:rsidRPr="009B4479" w:rsidP="001E1570">
            <w:pPr>
              <w:bidi w:val="0"/>
              <w:spacing w:after="0"/>
              <w:jc w:val="right"/>
              <w:rPr>
                <w:rFonts w:ascii="Times New Roman" w:hAnsi="Times New Roman"/>
                <w:b/>
                <w:sz w:val="24"/>
                <w:szCs w:val="24"/>
              </w:rPr>
            </w:pPr>
            <w:r>
              <w:rPr>
                <w:rFonts w:ascii="Times New Roman" w:hAnsi="Times New Roman"/>
                <w:b/>
                <w:sz w:val="24"/>
                <w:szCs w:val="24"/>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7D5748" w:rsidP="001E157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7D5748" w:rsidP="001E1570">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7D5748" w:rsidP="001E1570">
            <w:pPr>
              <w:bidi w:val="0"/>
              <w:spacing w:after="0" w:line="240" w:lineRule="auto"/>
              <w:rPr>
                <w:rFonts w:ascii="Times New Roman" w:hAnsi="Times New Roman"/>
                <w:b/>
                <w:b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E1570" w:rsidRPr="00880277" w:rsidP="001E1570">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E1570" w:rsidRPr="007D5748" w:rsidP="001E1570">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E1570" w:rsidRPr="00880277" w:rsidP="001E1570">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E1570" w:rsidRPr="00880277" w:rsidP="002D350E">
            <w:pPr>
              <w:bidi w:val="0"/>
              <w:spacing w:after="0" w:line="240" w:lineRule="auto"/>
              <w:jc w:val="right"/>
              <w:rPr>
                <w:rFonts w:ascii="Times New Roman" w:hAnsi="Times New Roman"/>
                <w:b/>
                <w:bCs/>
                <w:sz w:val="24"/>
                <w:szCs w:val="24"/>
                <w:lang w:eastAsia="sk-SK"/>
              </w:rPr>
            </w:pPr>
            <w:r w:rsidR="002D350E">
              <w:rPr>
                <w:rFonts w:ascii="Times New Roman" w:hAnsi="Times New Roman"/>
                <w:b/>
                <w:bCs/>
                <w:sz w:val="24"/>
                <w:szCs w:val="24"/>
                <w:lang w:eastAsia="sk-SK"/>
              </w:rPr>
              <w:t>697 964,72</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E1570" w:rsidRPr="002D350E" w:rsidP="001E1570">
            <w:pPr>
              <w:bidi w:val="0"/>
              <w:spacing w:after="0" w:line="240" w:lineRule="auto"/>
              <w:jc w:val="right"/>
              <w:rPr>
                <w:rFonts w:ascii="Times New Roman" w:hAnsi="Times New Roman"/>
                <w:b/>
                <w:bCs/>
                <w:sz w:val="24"/>
                <w:szCs w:val="24"/>
                <w:lang w:eastAsia="sk-SK"/>
              </w:rPr>
            </w:pPr>
            <w:r w:rsidR="002D350E">
              <w:rPr>
                <w:rFonts w:ascii="Times New Roman" w:hAnsi="Times New Roman"/>
                <w:b/>
                <w:bCs/>
                <w:sz w:val="24"/>
                <w:szCs w:val="24"/>
                <w:lang w:eastAsia="sk-SK"/>
              </w:rPr>
              <w:t>692 364,72</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E1570" w:rsidRPr="002D350E" w:rsidP="001E1570">
            <w:pPr>
              <w:bidi w:val="0"/>
              <w:spacing w:after="0" w:line="240" w:lineRule="auto"/>
              <w:jc w:val="right"/>
              <w:rPr>
                <w:rFonts w:ascii="Times New Roman" w:hAnsi="Times New Roman"/>
                <w:b/>
                <w:bCs/>
                <w:sz w:val="24"/>
                <w:szCs w:val="24"/>
                <w:lang w:eastAsia="sk-SK"/>
              </w:rPr>
            </w:pPr>
            <w:r w:rsidR="002D350E">
              <w:rPr>
                <w:rFonts w:ascii="Times New Roman" w:hAnsi="Times New Roman"/>
                <w:b/>
                <w:bCs/>
                <w:sz w:val="24"/>
                <w:szCs w:val="24"/>
                <w:lang w:eastAsia="sk-SK"/>
              </w:rPr>
              <w:t>692 364,72</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D350E" w:rsidP="002D350E">
            <w:pPr>
              <w:bidi w:val="0"/>
              <w:spacing w:after="0" w:line="240" w:lineRule="auto"/>
              <w:rPr>
                <w:rFonts w:ascii="Times New Roman" w:hAnsi="Times New Roman"/>
                <w:sz w:val="24"/>
                <w:szCs w:val="24"/>
                <w:lang w:eastAsia="sk-SK"/>
              </w:rPr>
            </w:pPr>
            <w:r>
              <w:rPr>
                <w:rFonts w:ascii="Times New Roman" w:hAnsi="Times New Roman"/>
                <w:sz w:val="24"/>
                <w:szCs w:val="24"/>
                <w:lang w:eastAsia="sk-SK"/>
              </w:rPr>
              <w:t xml:space="preserve">v tom: za Štátny ústav pre kontrolu liečiv </w:t>
            </w:r>
          </w:p>
          <w:p w:rsidR="002D350E" w:rsidRPr="007D5748" w:rsidP="002D350E">
            <w:pPr>
              <w:bidi w:val="0"/>
              <w:spacing w:after="0" w:line="240" w:lineRule="auto"/>
              <w:rPr>
                <w:rFonts w:ascii="Times New Roman" w:hAnsi="Times New Roman"/>
                <w:sz w:val="24"/>
                <w:szCs w:val="24"/>
                <w:lang w:eastAsia="sk-SK"/>
              </w:rPr>
            </w:pPr>
            <w:r>
              <w:rPr>
                <w:rFonts w:ascii="Times New Roman" w:hAnsi="Times New Roman"/>
                <w:sz w:val="24"/>
                <w:szCs w:val="24"/>
                <w:lang w:eastAsia="sk-SK"/>
              </w:rPr>
              <w:t xml:space="preserve">           za Ministerstvo zdravotníctva SR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350E" w:rsidRPr="00880277" w:rsidP="002D350E">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350E" w:rsidP="002D350E">
            <w:pPr>
              <w:bidi w:val="0"/>
              <w:spacing w:after="0" w:line="240" w:lineRule="auto"/>
              <w:jc w:val="right"/>
              <w:rPr>
                <w:rFonts w:ascii="Times New Roman" w:hAnsi="Times New Roman"/>
                <w:sz w:val="24"/>
                <w:szCs w:val="24"/>
                <w:lang w:eastAsia="sk-SK"/>
              </w:rPr>
            </w:pPr>
            <w:r w:rsidRPr="009B4479">
              <w:rPr>
                <w:rFonts w:ascii="Times New Roman" w:hAnsi="Times New Roman"/>
                <w:sz w:val="24"/>
                <w:szCs w:val="24"/>
                <w:lang w:eastAsia="sk-SK"/>
              </w:rPr>
              <w:t>517 964,72</w:t>
            </w:r>
          </w:p>
          <w:p w:rsidR="002D350E" w:rsidRPr="00880277" w:rsidP="002D350E">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180 000,00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350E" w:rsidP="002D350E">
            <w:pPr>
              <w:bidi w:val="0"/>
              <w:spacing w:after="0" w:line="240" w:lineRule="auto"/>
              <w:jc w:val="right"/>
              <w:rPr>
                <w:rFonts w:ascii="Times New Roman" w:hAnsi="Times New Roman"/>
                <w:sz w:val="24"/>
                <w:szCs w:val="24"/>
                <w:lang w:eastAsia="sk-SK"/>
              </w:rPr>
            </w:pPr>
            <w:r w:rsidRPr="009B4479">
              <w:rPr>
                <w:rFonts w:ascii="Times New Roman" w:hAnsi="Times New Roman"/>
                <w:sz w:val="24"/>
                <w:szCs w:val="24"/>
                <w:lang w:eastAsia="sk-SK"/>
              </w:rPr>
              <w:t>512 364,72</w:t>
            </w:r>
          </w:p>
          <w:p w:rsidR="002D350E" w:rsidRPr="002D350E" w:rsidP="002D350E">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180 000,00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350E" w:rsidP="002D350E">
            <w:pPr>
              <w:bidi w:val="0"/>
              <w:spacing w:after="0" w:line="240" w:lineRule="auto"/>
              <w:jc w:val="right"/>
              <w:rPr>
                <w:rFonts w:ascii="Times New Roman" w:hAnsi="Times New Roman"/>
                <w:sz w:val="24"/>
                <w:szCs w:val="24"/>
                <w:lang w:eastAsia="sk-SK"/>
              </w:rPr>
            </w:pPr>
            <w:r w:rsidRPr="009B4479">
              <w:rPr>
                <w:rFonts w:ascii="Times New Roman" w:hAnsi="Times New Roman"/>
                <w:sz w:val="24"/>
                <w:szCs w:val="24"/>
                <w:lang w:eastAsia="sk-SK"/>
              </w:rPr>
              <w:t>512 364,72</w:t>
            </w:r>
          </w:p>
          <w:p w:rsidR="002D350E" w:rsidRPr="002D350E" w:rsidP="002D350E">
            <w:pPr>
              <w:bidi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180 000,00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D350E" w:rsidRPr="007D5748" w:rsidP="002D350E">
            <w:pPr>
              <w:bidi w:val="0"/>
              <w:spacing w:after="0" w:line="240" w:lineRule="auto"/>
              <w:rPr>
                <w:rFonts w:ascii="Times New Roman" w:hAnsi="Times New Roman"/>
                <w:b/>
                <w:sz w:val="24"/>
                <w:szCs w:val="24"/>
                <w:lang w:eastAsia="sk-SK"/>
              </w:rPr>
            </w:pPr>
            <w:r w:rsidRPr="007D5748">
              <w:rPr>
                <w:rFonts w:ascii="Times New Roman" w:hAnsi="Times New Roman"/>
                <w:b/>
                <w:sz w:val="24"/>
                <w:szCs w:val="24"/>
                <w:lang w:eastAsia="sk-SK"/>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D350E" w:rsidRPr="00880277" w:rsidP="002D350E">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D350E" w:rsidRPr="00880277" w:rsidP="002D350E">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D350E" w:rsidRPr="002D350E" w:rsidP="002D350E">
            <w:pPr>
              <w:bidi w:val="0"/>
              <w:spacing w:after="0" w:line="240" w:lineRule="auto"/>
              <w:jc w:val="right"/>
              <w:rPr>
                <w:rFonts w:ascii="Times New Roman" w:hAnsi="Times New Roman"/>
                <w:b/>
                <w:bCs/>
                <w:sz w:val="24"/>
                <w:szCs w:val="24"/>
                <w:lang w:eastAsia="sk-SK"/>
              </w:rPr>
            </w:pPr>
            <w:r w:rsidRPr="002D350E">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D350E" w:rsidRPr="002D350E" w:rsidP="002D350E">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2D350E" w:rsidRPr="007D5748" w:rsidP="002D350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2D350E" w:rsidRPr="00880277" w:rsidP="002D350E">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2D350E" w:rsidRPr="001E1570" w:rsidP="002D350E">
            <w:pPr>
              <w:bidi w:val="0"/>
              <w:spacing w:after="0" w:line="240" w:lineRule="auto"/>
              <w:jc w:val="right"/>
              <w:rPr>
                <w:rFonts w:ascii="Times New Roman" w:hAnsi="Times New Roman"/>
                <w:b/>
                <w:bCs/>
                <w:sz w:val="24"/>
                <w:szCs w:val="24"/>
                <w:highlight w:val="yellow"/>
                <w:lang w:eastAsia="sk-SK"/>
              </w:rPr>
            </w:pPr>
            <w:r w:rsidRPr="002D350E">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2D350E" w:rsidRPr="002D350E" w:rsidP="002D350E">
            <w:pPr>
              <w:bidi w:val="0"/>
              <w:spacing w:after="0" w:line="240" w:lineRule="auto"/>
              <w:jc w:val="right"/>
              <w:rPr>
                <w:rFonts w:ascii="Times New Roman" w:hAnsi="Times New Roman"/>
                <w:b/>
                <w:bCs/>
                <w:lang w:eastAsia="sk-SK"/>
              </w:rPr>
            </w:pPr>
            <w:r>
              <w:rPr>
                <w:rFonts w:ascii="Times New Roman" w:hAnsi="Times New Roman"/>
                <w:b/>
                <w:bCs/>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2D350E" w:rsidRPr="002D350E" w:rsidP="002D350E">
            <w:pPr>
              <w:bidi w:val="0"/>
              <w:spacing w:after="0" w:line="240" w:lineRule="auto"/>
              <w:jc w:val="right"/>
              <w:rPr>
                <w:rFonts w:ascii="Times New Roman" w:hAnsi="Times New Roman"/>
                <w:b/>
                <w:bCs/>
                <w:lang w:eastAsia="sk-SK"/>
              </w:rPr>
            </w:pPr>
            <w:r>
              <w:rPr>
                <w:rFonts w:ascii="Times New Roman" w:hAnsi="Times New Roman"/>
                <w:b/>
                <w:bCs/>
                <w:lang w:eastAsia="sk-SK"/>
              </w:rPr>
              <w:t>0</w:t>
            </w:r>
          </w:p>
        </w:tc>
      </w:tr>
    </w:tbl>
    <w:p w:rsidR="007D5748" w:rsidRPr="007D5748" w:rsidP="007D5748">
      <w:pPr>
        <w:bidi w:val="0"/>
        <w:spacing w:after="0" w:line="240" w:lineRule="auto"/>
        <w:jc w:val="both"/>
        <w:rPr>
          <w:rFonts w:ascii="Times New Roman" w:hAnsi="Times New Roman"/>
          <w:b/>
          <w:bCs/>
          <w:sz w:val="24"/>
          <w:szCs w:val="24"/>
          <w:lang w:eastAsia="sk-SK"/>
        </w:rPr>
      </w:pPr>
      <w:bookmarkEnd w:id="0"/>
      <w:r w:rsidRPr="007D5748">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rsidR="007D5748" w:rsidRPr="007D5748" w:rsidP="007D5748">
      <w:pPr>
        <w:bidi w:val="0"/>
        <w:spacing w:after="0" w:line="240" w:lineRule="auto"/>
        <w:jc w:val="both"/>
        <w:rPr>
          <w:rFonts w:ascii="Times New Roman" w:hAnsi="Times New Roman"/>
          <w:b/>
          <w:bCs/>
          <w:sz w:val="12"/>
          <w:szCs w:val="24"/>
          <w:lang w:eastAsia="sk-SK"/>
        </w:rPr>
      </w:pPr>
    </w:p>
    <w:p w:rsidR="007D5748" w:rsidRPr="00D200FD" w:rsidP="007D5748">
      <w:pPr>
        <w:pBdr>
          <w:top w:val="single" w:sz="4" w:space="1" w:color="auto"/>
          <w:left w:val="single" w:sz="4" w:space="4" w:color="auto"/>
          <w:bottom w:val="single" w:sz="4" w:space="0" w:color="auto"/>
          <w:right w:val="single" w:sz="4" w:space="4" w:color="auto"/>
        </w:pBdr>
        <w:bidi w:val="0"/>
        <w:spacing w:after="0" w:line="240" w:lineRule="auto"/>
        <w:rPr>
          <w:rFonts w:ascii="Times New Roman" w:hAnsi="Times New Roman"/>
          <w:b/>
          <w:sz w:val="24"/>
          <w:szCs w:val="24"/>
        </w:rPr>
      </w:pPr>
      <w:r w:rsidRPr="00D200FD" w:rsidR="00581BDA">
        <w:rPr>
          <w:rFonts w:ascii="Times New Roman" w:hAnsi="Times New Roman"/>
          <w:b/>
          <w:bCs/>
          <w:sz w:val="24"/>
          <w:szCs w:val="24"/>
        </w:rPr>
        <w:t>Zvýšené  výdavky vyplývajúce z návrhu súvisiace s realizáciou úloh ŠÚKL</w:t>
      </w:r>
      <w:r w:rsidRPr="00D200FD" w:rsidR="00873396">
        <w:rPr>
          <w:rFonts w:ascii="Times New Roman" w:hAnsi="Times New Roman"/>
          <w:b/>
          <w:bCs/>
          <w:sz w:val="24"/>
          <w:szCs w:val="24"/>
        </w:rPr>
        <w:t xml:space="preserve"> a MZ SR</w:t>
      </w:r>
      <w:r w:rsidRPr="00D200FD" w:rsidR="00581BDA">
        <w:rPr>
          <w:rFonts w:ascii="Times New Roman" w:hAnsi="Times New Roman"/>
          <w:b/>
          <w:bCs/>
          <w:sz w:val="24"/>
          <w:szCs w:val="24"/>
        </w:rPr>
        <w:t xml:space="preserve"> </w:t>
      </w:r>
      <w:r w:rsidRPr="00D200FD" w:rsidR="00581BDA">
        <w:rPr>
          <w:rFonts w:ascii="Times New Roman" w:hAnsi="Times New Roman"/>
          <w:b/>
          <w:sz w:val="24"/>
          <w:szCs w:val="24"/>
        </w:rPr>
        <w:t>budú od roku 2019 zabezpečené zo zvýšených príjmov rozpočtu verejnej správy.</w:t>
      </w:r>
    </w:p>
    <w:p w:rsidR="00581BDA" w:rsidRPr="00581BDA" w:rsidP="007D5748">
      <w:pPr>
        <w:pBdr>
          <w:top w:val="single" w:sz="4" w:space="1" w:color="auto"/>
          <w:left w:val="single" w:sz="4" w:space="4" w:color="auto"/>
          <w:bottom w:val="single" w:sz="4" w:space="0" w:color="auto"/>
          <w:right w:val="single" w:sz="4" w:space="4" w:color="auto"/>
        </w:pBdr>
        <w:bidi w:val="0"/>
        <w:spacing w:after="0" w:line="240" w:lineRule="auto"/>
        <w:rPr>
          <w:rFonts w:ascii="Times New Roman" w:hAnsi="Times New Roman"/>
          <w:b/>
          <w:bCs/>
          <w:sz w:val="24"/>
          <w:szCs w:val="24"/>
          <w:lang w:eastAsia="sk-SK"/>
        </w:rPr>
      </w:pPr>
      <w:r w:rsidRPr="00D200FD" w:rsidR="00873396">
        <w:rPr>
          <w:rFonts w:ascii="Times New Roman" w:hAnsi="Times New Roman"/>
          <w:b/>
          <w:bCs/>
          <w:sz w:val="24"/>
          <w:szCs w:val="24"/>
        </w:rPr>
        <w:t>MZ SR zabezpečí osobné výdavky a počty zamestnancov v rámci záväzných limitov p</w:t>
      </w:r>
      <w:r w:rsidRPr="00D200FD">
        <w:rPr>
          <w:rFonts w:ascii="Times New Roman" w:hAnsi="Times New Roman"/>
          <w:b/>
          <w:bCs/>
          <w:sz w:val="24"/>
          <w:szCs w:val="24"/>
        </w:rPr>
        <w:t>ri zostavovaní rozpočtu na roky 201</w:t>
      </w:r>
      <w:r w:rsidRPr="00D200FD" w:rsidR="00873396">
        <w:rPr>
          <w:rFonts w:ascii="Times New Roman" w:hAnsi="Times New Roman"/>
          <w:b/>
          <w:bCs/>
          <w:sz w:val="24"/>
          <w:szCs w:val="24"/>
        </w:rPr>
        <w:t>9</w:t>
      </w:r>
      <w:r w:rsidRPr="00D200FD">
        <w:rPr>
          <w:rFonts w:ascii="Times New Roman" w:hAnsi="Times New Roman"/>
          <w:b/>
          <w:bCs/>
          <w:sz w:val="24"/>
          <w:szCs w:val="24"/>
        </w:rPr>
        <w:t xml:space="preserve"> </w:t>
      </w:r>
      <w:r w:rsidRPr="00D200FD" w:rsidR="00873396">
        <w:rPr>
          <w:rFonts w:ascii="Times New Roman" w:hAnsi="Times New Roman"/>
          <w:b/>
          <w:bCs/>
          <w:sz w:val="24"/>
          <w:szCs w:val="24"/>
        </w:rPr>
        <w:t>–</w:t>
      </w:r>
      <w:r w:rsidRPr="00D200FD">
        <w:rPr>
          <w:rFonts w:ascii="Times New Roman" w:hAnsi="Times New Roman"/>
          <w:b/>
          <w:bCs/>
          <w:sz w:val="24"/>
          <w:szCs w:val="24"/>
        </w:rPr>
        <w:t xml:space="preserve"> 202</w:t>
      </w:r>
      <w:r w:rsidRPr="00D200FD" w:rsidR="00873396">
        <w:rPr>
          <w:rFonts w:ascii="Times New Roman" w:hAnsi="Times New Roman"/>
          <w:b/>
          <w:bCs/>
          <w:sz w:val="24"/>
          <w:szCs w:val="24"/>
        </w:rPr>
        <w:t>1.</w:t>
      </w:r>
    </w:p>
    <w:p w:rsidR="00581BDA" w:rsidP="007D5748">
      <w:pPr>
        <w:bidi w:val="0"/>
        <w:spacing w:after="0" w:line="240" w:lineRule="auto"/>
        <w:rPr>
          <w:rFonts w:ascii="Times New Roman" w:hAnsi="Times New Roman"/>
          <w:b/>
          <w:bCs/>
          <w:sz w:val="24"/>
          <w:szCs w:val="24"/>
          <w:lang w:eastAsia="sk-SK"/>
        </w:rPr>
      </w:pPr>
    </w:p>
    <w:p w:rsidR="007D5748" w:rsidRPr="007D5748" w:rsidP="007D5748">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 Popis a charakteristika návrhu</w:t>
      </w:r>
    </w:p>
    <w:p w:rsidR="007D5748" w:rsidRPr="007D5748" w:rsidP="007D5748">
      <w:pPr>
        <w:bidi w:val="0"/>
        <w:spacing w:after="0" w:line="240" w:lineRule="auto"/>
        <w:rPr>
          <w:rFonts w:ascii="Times New Roman" w:hAnsi="Times New Roman"/>
          <w:sz w:val="24"/>
          <w:szCs w:val="24"/>
          <w:lang w:eastAsia="sk-SK"/>
        </w:rPr>
      </w:pPr>
    </w:p>
    <w:p w:rsidR="007D5748" w:rsidRPr="007D5748" w:rsidP="007D5748">
      <w:pPr>
        <w:bidi w:val="0"/>
        <w:spacing w:after="0" w:line="240" w:lineRule="auto"/>
        <w:jc w:val="both"/>
        <w:rPr>
          <w:rFonts w:ascii="Times New Roman" w:hAnsi="Times New Roman"/>
          <w:b/>
          <w:bCs/>
          <w:sz w:val="24"/>
          <w:szCs w:val="24"/>
          <w:lang w:eastAsia="sk-SK"/>
        </w:rPr>
      </w:pPr>
      <w:r w:rsidRPr="007D5748">
        <w:rPr>
          <w:rFonts w:ascii="Times New Roman" w:hAnsi="Times New Roman"/>
          <w:b/>
          <w:bCs/>
          <w:sz w:val="24"/>
          <w:szCs w:val="24"/>
          <w:lang w:eastAsia="sk-SK"/>
        </w:rPr>
        <w:t>2.2.1. Popis návrhu:</w:t>
      </w:r>
    </w:p>
    <w:p w:rsidR="007D5748" w:rsidP="007D5748">
      <w:pPr>
        <w:bidi w:val="0"/>
        <w:spacing w:after="0" w:line="240" w:lineRule="auto"/>
        <w:jc w:val="both"/>
        <w:rPr>
          <w:rFonts w:ascii="Times New Roman" w:hAnsi="Times New Roman"/>
          <w:b/>
          <w:bCs/>
          <w:sz w:val="24"/>
          <w:szCs w:val="24"/>
          <w:lang w:eastAsia="sk-SK"/>
        </w:rPr>
      </w:pPr>
    </w:p>
    <w:p w:rsidR="00581BDA" w:rsidRPr="00581BDA" w:rsidP="000F7BF6">
      <w:pPr>
        <w:bidi w:val="0"/>
        <w:spacing w:line="240" w:lineRule="auto"/>
        <w:jc w:val="both"/>
        <w:rPr>
          <w:rFonts w:ascii="Times New Roman" w:hAnsi="Times New Roman"/>
          <w:sz w:val="24"/>
          <w:szCs w:val="24"/>
          <w:lang w:eastAsia="cs-CZ"/>
        </w:rPr>
      </w:pPr>
      <w:r w:rsidRPr="00581BDA">
        <w:rPr>
          <w:rFonts w:ascii="Times New Roman" w:hAnsi="Times New Roman"/>
          <w:sz w:val="24"/>
          <w:szCs w:val="24"/>
          <w:lang w:eastAsia="cs-CZ"/>
        </w:rPr>
        <w:t>N</w:t>
      </w:r>
      <w:r w:rsidR="00300FDD">
        <w:rPr>
          <w:rFonts w:ascii="Times New Roman" w:hAnsi="Times New Roman"/>
          <w:sz w:val="24"/>
          <w:szCs w:val="24"/>
          <w:lang w:eastAsia="cs-CZ"/>
        </w:rPr>
        <w:t>ariadenie</w:t>
      </w:r>
      <w:r w:rsidRPr="00581BDA">
        <w:rPr>
          <w:rFonts w:ascii="Times New Roman" w:hAnsi="Times New Roman"/>
          <w:sz w:val="24"/>
          <w:szCs w:val="24"/>
          <w:lang w:eastAsia="cs-CZ"/>
        </w:rPr>
        <w:t xml:space="preserve"> E</w:t>
      </w:r>
      <w:r w:rsidR="00300FDD">
        <w:rPr>
          <w:rFonts w:ascii="Times New Roman" w:hAnsi="Times New Roman"/>
          <w:sz w:val="24"/>
          <w:szCs w:val="24"/>
          <w:lang w:eastAsia="cs-CZ"/>
        </w:rPr>
        <w:t>urópskeho parlamentu a</w:t>
      </w:r>
      <w:r w:rsidRPr="00581BDA">
        <w:rPr>
          <w:rFonts w:ascii="Times New Roman" w:hAnsi="Times New Roman"/>
          <w:sz w:val="24"/>
          <w:szCs w:val="24"/>
          <w:lang w:eastAsia="cs-CZ"/>
        </w:rPr>
        <w:t xml:space="preserve"> R</w:t>
      </w:r>
      <w:r w:rsidR="00300FDD">
        <w:rPr>
          <w:rFonts w:ascii="Times New Roman" w:hAnsi="Times New Roman"/>
          <w:sz w:val="24"/>
          <w:szCs w:val="24"/>
          <w:lang w:eastAsia="cs-CZ"/>
        </w:rPr>
        <w:t>ady</w:t>
      </w:r>
      <w:r w:rsidRPr="00581BDA">
        <w:rPr>
          <w:rFonts w:ascii="Times New Roman" w:hAnsi="Times New Roman"/>
          <w:sz w:val="24"/>
          <w:szCs w:val="24"/>
          <w:lang w:eastAsia="cs-CZ"/>
        </w:rPr>
        <w:t xml:space="preserve"> (EÚ) č. 536/2014 o klinickom skúšaní liekov na humánne použitie, ktorým sa zrušuje smernica 2001/20/ES (ďalej len „nariadenie“) predstavuje významnú zmenu v oblasti regulácie klinického skúšania liekov v rámci E</w:t>
      </w:r>
      <w:r w:rsidR="00300FDD">
        <w:rPr>
          <w:rFonts w:ascii="Times New Roman" w:hAnsi="Times New Roman"/>
          <w:sz w:val="24"/>
          <w:szCs w:val="24"/>
          <w:lang w:eastAsia="cs-CZ"/>
        </w:rPr>
        <w:t>urópskej únie</w:t>
      </w:r>
      <w:r w:rsidRPr="00581BDA">
        <w:rPr>
          <w:rFonts w:ascii="Times New Roman" w:hAnsi="Times New Roman"/>
          <w:sz w:val="24"/>
          <w:szCs w:val="24"/>
          <w:lang w:eastAsia="cs-CZ"/>
        </w:rPr>
        <w:t xml:space="preserve"> a bude sa uplatňovať na každé klinické skúšanie vykonávané v Európskej </w:t>
      </w:r>
      <w:r w:rsidR="00300FDD">
        <w:rPr>
          <w:rFonts w:ascii="Times New Roman" w:hAnsi="Times New Roman"/>
          <w:sz w:val="24"/>
          <w:szCs w:val="24"/>
          <w:lang w:eastAsia="cs-CZ"/>
        </w:rPr>
        <w:t>ú</w:t>
      </w:r>
      <w:r w:rsidRPr="00581BDA">
        <w:rPr>
          <w:rFonts w:ascii="Times New Roman" w:hAnsi="Times New Roman"/>
          <w:sz w:val="24"/>
          <w:szCs w:val="24"/>
          <w:lang w:eastAsia="cs-CZ"/>
        </w:rPr>
        <w:t>nii. Citované nariadenie rozširuje pôsobnosť Štátneho ústavu pre kontrolu liečiv (ďalej len „štátneho ústavu“) a dopĺňa mu nové činnosti na úseku humánnej farmácie</w:t>
      </w:r>
      <w:r w:rsidR="00300FDD">
        <w:rPr>
          <w:rFonts w:ascii="Times New Roman" w:hAnsi="Times New Roman"/>
          <w:sz w:val="24"/>
          <w:szCs w:val="24"/>
          <w:lang w:eastAsia="cs-CZ"/>
        </w:rPr>
        <w:t>.</w:t>
      </w:r>
      <w:r w:rsidRPr="00581BDA">
        <w:rPr>
          <w:rFonts w:ascii="Times New Roman" w:hAnsi="Times New Roman"/>
          <w:sz w:val="24"/>
          <w:szCs w:val="24"/>
          <w:lang w:eastAsia="cs-CZ"/>
        </w:rPr>
        <w:t xml:space="preserve">  Ide najmä o:</w:t>
      </w:r>
    </w:p>
    <w:p w:rsidR="00581BDA" w:rsidRPr="000F7BF6" w:rsidP="000F7BF6">
      <w:pPr>
        <w:pStyle w:val="ListParagraph"/>
        <w:numPr>
          <w:numId w:val="4"/>
        </w:numPr>
        <w:tabs>
          <w:tab w:val="clear" w:pos="360"/>
        </w:tabs>
        <w:bidi w:val="0"/>
        <w:spacing w:after="0" w:line="240" w:lineRule="auto"/>
        <w:ind w:left="142" w:hanging="142"/>
        <w:jc w:val="both"/>
        <w:rPr>
          <w:rFonts w:ascii="Times New Roman" w:hAnsi="Times New Roman"/>
          <w:sz w:val="24"/>
          <w:szCs w:val="24"/>
          <w:lang w:eastAsia="cs-CZ"/>
        </w:rPr>
      </w:pPr>
      <w:r w:rsidRPr="000F7BF6">
        <w:rPr>
          <w:rFonts w:ascii="Times New Roman" w:hAnsi="Times New Roman"/>
          <w:sz w:val="24"/>
          <w:szCs w:val="24"/>
          <w:lang w:eastAsia="cs-CZ"/>
        </w:rPr>
        <w:t xml:space="preserve">nové požiadavky v súvislosti s prácou v rámci EÚ portálu </w:t>
      </w:r>
      <w:r w:rsidR="00300FDD">
        <w:rPr>
          <w:rFonts w:ascii="Times New Roman" w:hAnsi="Times New Roman"/>
          <w:sz w:val="24"/>
          <w:szCs w:val="24"/>
          <w:lang w:eastAsia="cs-CZ"/>
        </w:rPr>
        <w:t xml:space="preserve">klinického skúšania </w:t>
      </w:r>
      <w:r w:rsidRPr="000F7BF6">
        <w:rPr>
          <w:rFonts w:ascii="Times New Roman" w:hAnsi="Times New Roman"/>
          <w:sz w:val="24"/>
          <w:szCs w:val="24"/>
          <w:lang w:eastAsia="cs-CZ"/>
        </w:rPr>
        <w:t>a</w:t>
      </w:r>
      <w:r w:rsidR="00B135F5">
        <w:rPr>
          <w:rFonts w:ascii="Times New Roman" w:hAnsi="Times New Roman"/>
          <w:sz w:val="24"/>
          <w:szCs w:val="24"/>
          <w:lang w:eastAsia="cs-CZ"/>
        </w:rPr>
        <w:t> </w:t>
      </w:r>
      <w:r w:rsidRPr="000F7BF6">
        <w:rPr>
          <w:rFonts w:ascii="Times New Roman" w:hAnsi="Times New Roman"/>
          <w:sz w:val="24"/>
          <w:szCs w:val="24"/>
          <w:lang w:eastAsia="cs-CZ"/>
        </w:rPr>
        <w:t>databázy</w:t>
      </w:r>
      <w:r w:rsidR="00B135F5">
        <w:rPr>
          <w:rFonts w:ascii="Times New Roman" w:hAnsi="Times New Roman"/>
          <w:sz w:val="24"/>
          <w:szCs w:val="24"/>
          <w:lang w:eastAsia="cs-CZ"/>
        </w:rPr>
        <w:t xml:space="preserve"> klinického skúšania</w:t>
      </w:r>
      <w:r w:rsidRPr="000F7BF6">
        <w:rPr>
          <w:rFonts w:ascii="Times New Roman" w:hAnsi="Times New Roman"/>
          <w:sz w:val="24"/>
          <w:szCs w:val="24"/>
          <w:lang w:eastAsia="cs-CZ"/>
        </w:rPr>
        <w:t xml:space="preserve">, </w:t>
      </w:r>
      <w:r w:rsidRPr="000F7BF6">
        <w:rPr>
          <w:rFonts w:ascii="Times New Roman" w:hAnsi="Times New Roman"/>
          <w:iCs/>
          <w:sz w:val="24"/>
          <w:szCs w:val="24"/>
        </w:rPr>
        <w:t xml:space="preserve">ktorý bude slúžiť ako jediný vstupný bod na predkladanie </w:t>
      </w:r>
      <w:r w:rsidR="00B135F5">
        <w:rPr>
          <w:rFonts w:ascii="Times New Roman" w:hAnsi="Times New Roman"/>
          <w:iCs/>
          <w:sz w:val="24"/>
          <w:szCs w:val="24"/>
        </w:rPr>
        <w:t xml:space="preserve">žiadosti o povolenie klinického skúšania a </w:t>
      </w:r>
      <w:r w:rsidRPr="000F7BF6">
        <w:rPr>
          <w:rFonts w:ascii="Times New Roman" w:hAnsi="Times New Roman"/>
          <w:iCs/>
          <w:sz w:val="24"/>
          <w:szCs w:val="24"/>
        </w:rPr>
        <w:t xml:space="preserve">údajov a informácií </w:t>
      </w:r>
      <w:r w:rsidR="00B135F5">
        <w:rPr>
          <w:rFonts w:ascii="Times New Roman" w:hAnsi="Times New Roman"/>
          <w:iCs/>
          <w:sz w:val="24"/>
          <w:szCs w:val="24"/>
        </w:rPr>
        <w:t>o</w:t>
      </w:r>
      <w:r w:rsidRPr="000F7BF6">
        <w:rPr>
          <w:rFonts w:ascii="Times New Roman" w:hAnsi="Times New Roman"/>
          <w:iCs/>
          <w:sz w:val="24"/>
          <w:szCs w:val="24"/>
        </w:rPr>
        <w:t xml:space="preserve"> klinick</w:t>
      </w:r>
      <w:r w:rsidR="00B135F5">
        <w:rPr>
          <w:rFonts w:ascii="Times New Roman" w:hAnsi="Times New Roman"/>
          <w:iCs/>
          <w:sz w:val="24"/>
          <w:szCs w:val="24"/>
        </w:rPr>
        <w:t>om</w:t>
      </w:r>
      <w:r w:rsidRPr="000F7BF6">
        <w:rPr>
          <w:rFonts w:ascii="Times New Roman" w:hAnsi="Times New Roman"/>
          <w:iCs/>
          <w:sz w:val="24"/>
          <w:szCs w:val="24"/>
        </w:rPr>
        <w:t xml:space="preserve"> skúšan</w:t>
      </w:r>
      <w:r w:rsidR="00B135F5">
        <w:rPr>
          <w:rFonts w:ascii="Times New Roman" w:hAnsi="Times New Roman"/>
          <w:iCs/>
          <w:sz w:val="24"/>
          <w:szCs w:val="24"/>
        </w:rPr>
        <w:t>í</w:t>
      </w:r>
      <w:r w:rsidRPr="000F7BF6">
        <w:rPr>
          <w:rFonts w:ascii="Times New Roman" w:hAnsi="Times New Roman"/>
          <w:sz w:val="24"/>
          <w:szCs w:val="24"/>
          <w:lang w:eastAsia="cs-CZ"/>
        </w:rPr>
        <w:t>,</w:t>
      </w:r>
    </w:p>
    <w:p w:rsidR="00581BDA" w:rsidRPr="00581BDA" w:rsidP="000F7BF6">
      <w:pPr>
        <w:numPr>
          <w:numId w:val="4"/>
        </w:numPr>
        <w:tabs>
          <w:tab w:val="clear" w:pos="360"/>
        </w:tabs>
        <w:bidi w:val="0"/>
        <w:spacing w:after="0" w:line="240" w:lineRule="auto"/>
        <w:ind w:left="142" w:hanging="142"/>
        <w:jc w:val="both"/>
        <w:rPr>
          <w:rFonts w:ascii="Times New Roman" w:hAnsi="Times New Roman"/>
          <w:sz w:val="24"/>
          <w:szCs w:val="24"/>
          <w:lang w:eastAsia="cs-CZ"/>
        </w:rPr>
      </w:pPr>
      <w:r w:rsidRPr="00581BDA">
        <w:rPr>
          <w:rFonts w:ascii="Times New Roman" w:hAnsi="Times New Roman"/>
          <w:sz w:val="24"/>
          <w:szCs w:val="24"/>
          <w:lang w:eastAsia="cs-CZ"/>
        </w:rPr>
        <w:t xml:space="preserve">nové úlohy v súvislosti s procesom povoľovania klinického skúšania </w:t>
      </w:r>
      <w:r w:rsidR="00B135F5">
        <w:rPr>
          <w:rFonts w:ascii="Times New Roman" w:hAnsi="Times New Roman"/>
          <w:sz w:val="24"/>
          <w:szCs w:val="24"/>
          <w:lang w:eastAsia="cs-CZ"/>
        </w:rPr>
        <w:t xml:space="preserve">humánnych </w:t>
      </w:r>
      <w:r w:rsidRPr="00581BDA">
        <w:rPr>
          <w:rFonts w:ascii="Times New Roman" w:hAnsi="Times New Roman"/>
          <w:sz w:val="24"/>
          <w:szCs w:val="24"/>
          <w:lang w:eastAsia="cs-CZ"/>
        </w:rPr>
        <w:t>liekov</w:t>
      </w:r>
      <w:r w:rsidR="00B135F5">
        <w:rPr>
          <w:rFonts w:ascii="Times New Roman" w:hAnsi="Times New Roman"/>
          <w:sz w:val="24"/>
          <w:szCs w:val="24"/>
          <w:lang w:eastAsia="cs-CZ"/>
        </w:rPr>
        <w:t>, povoľovania</w:t>
      </w:r>
      <w:r w:rsidRPr="00581BDA">
        <w:rPr>
          <w:rFonts w:ascii="Times New Roman" w:hAnsi="Times New Roman"/>
          <w:iCs/>
          <w:sz w:val="24"/>
          <w:szCs w:val="24"/>
        </w:rPr>
        <w:t xml:space="preserve"> podstatnej zmeny </w:t>
      </w:r>
      <w:r w:rsidRPr="00581BDA">
        <w:rPr>
          <w:rFonts w:ascii="Times New Roman" w:hAnsi="Times New Roman"/>
          <w:sz w:val="24"/>
          <w:szCs w:val="24"/>
          <w:lang w:eastAsia="cs-CZ"/>
        </w:rPr>
        <w:t>klinického skúšania</w:t>
      </w:r>
      <w:r w:rsidR="00B135F5">
        <w:rPr>
          <w:rFonts w:ascii="Times New Roman" w:hAnsi="Times New Roman"/>
          <w:sz w:val="24"/>
          <w:szCs w:val="24"/>
          <w:lang w:eastAsia="cs-CZ"/>
        </w:rPr>
        <w:t xml:space="preserve"> humánnych liekov a povoľovania pridania Slovenskej republiky do povoleného klinického skúšania humánnych </w:t>
      </w:r>
      <w:r w:rsidRPr="00581BDA">
        <w:rPr>
          <w:rFonts w:ascii="Times New Roman" w:hAnsi="Times New Roman"/>
          <w:sz w:val="24"/>
          <w:szCs w:val="24"/>
          <w:lang w:eastAsia="cs-CZ"/>
        </w:rPr>
        <w:t>liekov</w:t>
      </w:r>
      <w:r w:rsidR="00B135F5">
        <w:rPr>
          <w:rFonts w:ascii="Times New Roman" w:hAnsi="Times New Roman"/>
          <w:sz w:val="24"/>
          <w:szCs w:val="24"/>
          <w:lang w:eastAsia="cs-CZ"/>
        </w:rPr>
        <w:t>v iných členských štátoch</w:t>
      </w:r>
      <w:r w:rsidRPr="00581BDA">
        <w:rPr>
          <w:rFonts w:ascii="Times New Roman" w:hAnsi="Times New Roman"/>
          <w:sz w:val="24"/>
          <w:szCs w:val="24"/>
          <w:lang w:eastAsia="cs-CZ"/>
        </w:rPr>
        <w:t>, ktoré vyplývajú z nariadenia,</w:t>
      </w:r>
      <w:r w:rsidRPr="00581BDA">
        <w:rPr>
          <w:rFonts w:ascii="Times New Roman" w:hAnsi="Times New Roman"/>
          <w:color w:val="000000"/>
          <w:sz w:val="24"/>
          <w:szCs w:val="24"/>
        </w:rPr>
        <w:t xml:space="preserve"> </w:t>
      </w:r>
    </w:p>
    <w:p w:rsidR="00581BDA" w:rsidRPr="00581BDA" w:rsidP="000F7BF6">
      <w:pPr>
        <w:numPr>
          <w:numId w:val="4"/>
        </w:numPr>
        <w:tabs>
          <w:tab w:val="clear" w:pos="360"/>
        </w:tabs>
        <w:bidi w:val="0"/>
        <w:spacing w:after="0" w:line="240" w:lineRule="auto"/>
        <w:ind w:left="142" w:hanging="142"/>
        <w:jc w:val="both"/>
        <w:rPr>
          <w:rFonts w:ascii="Times New Roman" w:hAnsi="Times New Roman"/>
          <w:color w:val="000000"/>
          <w:sz w:val="24"/>
          <w:szCs w:val="24"/>
        </w:rPr>
      </w:pPr>
      <w:r w:rsidRPr="00581BDA">
        <w:rPr>
          <w:rFonts w:ascii="Times New Roman" w:hAnsi="Times New Roman"/>
          <w:sz w:val="24"/>
          <w:szCs w:val="24"/>
          <w:lang w:eastAsia="cs-CZ"/>
        </w:rPr>
        <w:t xml:space="preserve">nové požiadavky v súvislosti s prácou v rámci </w:t>
      </w:r>
      <w:r w:rsidRPr="00581BDA">
        <w:rPr>
          <w:rFonts w:ascii="Times New Roman" w:hAnsi="Times New Roman"/>
          <w:color w:val="000000"/>
          <w:sz w:val="24"/>
          <w:szCs w:val="24"/>
        </w:rPr>
        <w:t>národného portálu</w:t>
      </w:r>
      <w:r w:rsidR="00B135F5">
        <w:rPr>
          <w:rFonts w:ascii="Times New Roman" w:hAnsi="Times New Roman"/>
          <w:color w:val="000000"/>
          <w:sz w:val="24"/>
          <w:szCs w:val="24"/>
        </w:rPr>
        <w:t xml:space="preserve"> klinického skúšania</w:t>
      </w:r>
      <w:r w:rsidRPr="00581BDA">
        <w:rPr>
          <w:rFonts w:ascii="Times New Roman" w:hAnsi="Times New Roman"/>
          <w:color w:val="000000"/>
          <w:sz w:val="24"/>
          <w:szCs w:val="24"/>
        </w:rPr>
        <w:t>,</w:t>
      </w:r>
    </w:p>
    <w:p w:rsidR="00581BDA" w:rsidRPr="00581BDA" w:rsidP="000F7BF6">
      <w:pPr>
        <w:numPr>
          <w:numId w:val="4"/>
        </w:numPr>
        <w:tabs>
          <w:tab w:val="clear" w:pos="360"/>
        </w:tabs>
        <w:bidi w:val="0"/>
        <w:spacing w:after="0" w:line="240" w:lineRule="auto"/>
        <w:ind w:left="142" w:hanging="142"/>
        <w:jc w:val="both"/>
        <w:rPr>
          <w:rFonts w:ascii="Times New Roman" w:hAnsi="Times New Roman"/>
          <w:sz w:val="24"/>
          <w:szCs w:val="24"/>
          <w:lang w:eastAsia="cs-CZ"/>
        </w:rPr>
      </w:pPr>
      <w:r w:rsidRPr="00581BDA">
        <w:rPr>
          <w:rFonts w:ascii="Times New Roman" w:hAnsi="Times New Roman"/>
          <w:sz w:val="24"/>
          <w:szCs w:val="24"/>
          <w:lang w:eastAsia="cs-CZ"/>
        </w:rPr>
        <w:t xml:space="preserve">nové úlohy štátneho ústavu pri posudzovaní žiadostí, pri ktorých vystupuje SR ako </w:t>
      </w:r>
      <w:r w:rsidR="00B135F5">
        <w:rPr>
          <w:rFonts w:ascii="Times New Roman" w:hAnsi="Times New Roman"/>
          <w:sz w:val="24"/>
          <w:szCs w:val="24"/>
          <w:lang w:eastAsia="cs-CZ"/>
        </w:rPr>
        <w:t>spravodajský</w:t>
      </w:r>
      <w:r w:rsidRPr="00581BDA">
        <w:rPr>
          <w:rFonts w:ascii="Times New Roman" w:hAnsi="Times New Roman"/>
          <w:sz w:val="24"/>
          <w:szCs w:val="24"/>
          <w:lang w:eastAsia="cs-CZ"/>
        </w:rPr>
        <w:t xml:space="preserve"> členský štát,</w:t>
      </w:r>
    </w:p>
    <w:p w:rsidR="00581BDA" w:rsidRPr="00581BDA" w:rsidP="000F7BF6">
      <w:pPr>
        <w:numPr>
          <w:numId w:val="4"/>
        </w:numPr>
        <w:tabs>
          <w:tab w:val="clear" w:pos="360"/>
        </w:tabs>
        <w:bidi w:val="0"/>
        <w:spacing w:after="0" w:line="240" w:lineRule="auto"/>
        <w:ind w:left="142" w:hanging="142"/>
        <w:jc w:val="both"/>
        <w:rPr>
          <w:rFonts w:ascii="Times New Roman" w:hAnsi="Times New Roman"/>
          <w:sz w:val="24"/>
          <w:szCs w:val="24"/>
          <w:lang w:eastAsia="cs-CZ"/>
        </w:rPr>
      </w:pPr>
      <w:r w:rsidRPr="00581BDA">
        <w:rPr>
          <w:rFonts w:ascii="Times New Roman" w:hAnsi="Times New Roman"/>
          <w:sz w:val="24"/>
          <w:szCs w:val="24"/>
          <w:lang w:eastAsia="cs-CZ"/>
        </w:rPr>
        <w:t>nové úlohy štátneho ústavu, ktoré súvisia s</w:t>
      </w:r>
      <w:r w:rsidR="00B135F5">
        <w:rPr>
          <w:rFonts w:ascii="Times New Roman" w:hAnsi="Times New Roman"/>
          <w:sz w:val="24"/>
          <w:szCs w:val="24"/>
          <w:lang w:eastAsia="cs-CZ"/>
        </w:rPr>
        <w:t> dohľadom nad klinickým skúšaním,</w:t>
      </w:r>
    </w:p>
    <w:p w:rsidR="00581BDA" w:rsidRPr="00581BDA" w:rsidP="000F7BF6">
      <w:pPr>
        <w:numPr>
          <w:numId w:val="4"/>
        </w:numPr>
        <w:tabs>
          <w:tab w:val="clear" w:pos="360"/>
        </w:tabs>
        <w:bidi w:val="0"/>
        <w:spacing w:after="0" w:line="240" w:lineRule="auto"/>
        <w:ind w:left="142" w:hanging="142"/>
        <w:jc w:val="both"/>
        <w:rPr>
          <w:rFonts w:ascii="Times New Roman" w:hAnsi="Times New Roman"/>
          <w:sz w:val="24"/>
          <w:szCs w:val="24"/>
          <w:lang w:eastAsia="cs-CZ"/>
        </w:rPr>
      </w:pPr>
      <w:r w:rsidRPr="00581BDA">
        <w:rPr>
          <w:rFonts w:ascii="Times New Roman" w:hAnsi="Times New Roman"/>
          <w:sz w:val="24"/>
          <w:szCs w:val="24"/>
          <w:lang w:eastAsia="cs-CZ"/>
        </w:rPr>
        <w:t>nové úlohy v oblasti spolupráce s liekovými agentúrami v</w:t>
      </w:r>
      <w:r w:rsidR="00B135F5">
        <w:rPr>
          <w:rFonts w:ascii="Times New Roman" w:hAnsi="Times New Roman"/>
          <w:sz w:val="24"/>
          <w:szCs w:val="24"/>
          <w:lang w:eastAsia="cs-CZ"/>
        </w:rPr>
        <w:t xml:space="preserve"> členských štátoch </w:t>
      </w:r>
      <w:r w:rsidRPr="00581BDA">
        <w:rPr>
          <w:rFonts w:ascii="Times New Roman" w:hAnsi="Times New Roman"/>
          <w:sz w:val="24"/>
          <w:szCs w:val="24"/>
          <w:lang w:eastAsia="cs-CZ"/>
        </w:rPr>
        <w:t>EÚ a</w:t>
      </w:r>
      <w:r w:rsidR="00B135F5">
        <w:rPr>
          <w:rFonts w:ascii="Times New Roman" w:hAnsi="Times New Roman"/>
          <w:sz w:val="24"/>
          <w:szCs w:val="24"/>
          <w:lang w:eastAsia="cs-CZ"/>
        </w:rPr>
        <w:t xml:space="preserve"> s </w:t>
      </w:r>
      <w:r w:rsidRPr="00581BDA">
        <w:rPr>
          <w:rFonts w:ascii="Times New Roman" w:hAnsi="Times New Roman"/>
          <w:sz w:val="24"/>
          <w:szCs w:val="24"/>
          <w:lang w:eastAsia="cs-CZ"/>
        </w:rPr>
        <w:t>Európskou komisiou.</w:t>
      </w:r>
    </w:p>
    <w:p w:rsidR="00581BDA" w:rsidRPr="00581BDA" w:rsidP="000F7BF6">
      <w:pPr>
        <w:bidi w:val="0"/>
        <w:spacing w:line="240" w:lineRule="auto"/>
        <w:jc w:val="both"/>
        <w:rPr>
          <w:rFonts w:ascii="Times New Roman" w:hAnsi="Times New Roman"/>
          <w:sz w:val="24"/>
          <w:szCs w:val="24"/>
          <w:lang w:eastAsia="cs-CZ"/>
        </w:rPr>
      </w:pPr>
      <w:r w:rsidRPr="00581BDA">
        <w:rPr>
          <w:rFonts w:ascii="Times New Roman" w:hAnsi="Times New Roman"/>
          <w:sz w:val="24"/>
          <w:szCs w:val="24"/>
          <w:lang w:eastAsia="cs-CZ"/>
        </w:rPr>
        <w:t>Realizácia týchto nových úloh a činností prispeje k naplneniu základného cieľa nariadenia, a to zjednodušiť a harmonizovať právne predpisy, ktorými sa riadi klinické skúšanie naprieč EÚ. To si však vyžiada signifikantné zvýšenie požiadaviek na personálne obsadenie a materiálno-technické zabezpečenie a s tým spojený zodpovedajúci nárast nákladov Š</w:t>
      </w:r>
      <w:r w:rsidR="001B39BE">
        <w:rPr>
          <w:rFonts w:ascii="Times New Roman" w:hAnsi="Times New Roman"/>
          <w:sz w:val="24"/>
          <w:szCs w:val="24"/>
          <w:lang w:eastAsia="cs-CZ"/>
        </w:rPr>
        <w:t>Ú</w:t>
      </w:r>
      <w:r w:rsidRPr="00581BDA">
        <w:rPr>
          <w:rFonts w:ascii="Times New Roman" w:hAnsi="Times New Roman"/>
          <w:sz w:val="24"/>
          <w:szCs w:val="24"/>
          <w:lang w:eastAsia="cs-CZ"/>
        </w:rPr>
        <w:t xml:space="preserve">KLu.  </w:t>
      </w:r>
      <w:r w:rsidRPr="00D200FD" w:rsidR="000F7BF6">
        <w:rPr>
          <w:rFonts w:ascii="Times New Roman" w:hAnsi="Times New Roman"/>
          <w:sz w:val="24"/>
          <w:szCs w:val="24"/>
          <w:lang w:eastAsia="cs-CZ"/>
        </w:rPr>
        <w:t>Zvýšenie požiadaviek na personálne obsadenie sa týka aj M</w:t>
      </w:r>
      <w:r w:rsidRPr="00D200FD" w:rsidR="00975686">
        <w:rPr>
          <w:rFonts w:ascii="Times New Roman" w:hAnsi="Times New Roman"/>
          <w:sz w:val="24"/>
          <w:szCs w:val="24"/>
          <w:lang w:eastAsia="cs-CZ"/>
        </w:rPr>
        <w:t xml:space="preserve">Z </w:t>
      </w:r>
      <w:r w:rsidRPr="00D200FD" w:rsidR="000F7BF6">
        <w:rPr>
          <w:rFonts w:ascii="Times New Roman" w:hAnsi="Times New Roman"/>
          <w:sz w:val="24"/>
          <w:szCs w:val="24"/>
          <w:lang w:eastAsia="cs-CZ"/>
        </w:rPr>
        <w:t>SR v súvislosti so zriadením etickej komisie MZ SR pre klinické skúšanie a</w:t>
      </w:r>
      <w:r w:rsidRPr="00D200FD" w:rsidR="00B135F5">
        <w:rPr>
          <w:rFonts w:ascii="Times New Roman" w:hAnsi="Times New Roman"/>
          <w:sz w:val="24"/>
          <w:szCs w:val="24"/>
          <w:lang w:eastAsia="cs-CZ"/>
        </w:rPr>
        <w:t xml:space="preserve"> s </w:t>
      </w:r>
      <w:r w:rsidRPr="00D200FD" w:rsidR="000F7BF6">
        <w:rPr>
          <w:rFonts w:ascii="Times New Roman" w:hAnsi="Times New Roman"/>
          <w:sz w:val="24"/>
          <w:szCs w:val="24"/>
          <w:lang w:eastAsia="cs-CZ"/>
        </w:rPr>
        <w:t>prevádzk</w:t>
      </w:r>
      <w:r w:rsidRPr="00D200FD" w:rsidR="00975686">
        <w:rPr>
          <w:rFonts w:ascii="Times New Roman" w:hAnsi="Times New Roman"/>
          <w:sz w:val="24"/>
          <w:szCs w:val="24"/>
          <w:lang w:eastAsia="cs-CZ"/>
        </w:rPr>
        <w:t>ou</w:t>
      </w:r>
      <w:r w:rsidRPr="00D200FD" w:rsidR="000F7BF6">
        <w:rPr>
          <w:rFonts w:ascii="Times New Roman" w:hAnsi="Times New Roman"/>
          <w:sz w:val="24"/>
          <w:szCs w:val="24"/>
          <w:lang w:eastAsia="cs-CZ"/>
        </w:rPr>
        <w:t xml:space="preserve"> národného </w:t>
      </w:r>
      <w:r w:rsidRPr="00D200FD" w:rsidR="00975686">
        <w:rPr>
          <w:rFonts w:ascii="Times New Roman" w:hAnsi="Times New Roman"/>
          <w:sz w:val="24"/>
          <w:szCs w:val="24"/>
          <w:lang w:eastAsia="cs-CZ"/>
        </w:rPr>
        <w:t>elektronického portálu</w:t>
      </w:r>
      <w:r w:rsidR="00B135F5">
        <w:rPr>
          <w:rFonts w:ascii="Times New Roman" w:hAnsi="Times New Roman"/>
          <w:sz w:val="24"/>
          <w:szCs w:val="24"/>
          <w:lang w:eastAsia="cs-CZ"/>
        </w:rPr>
        <w:t xml:space="preserve"> klinického skúšania</w:t>
      </w:r>
      <w:r w:rsidR="00975686">
        <w:rPr>
          <w:rFonts w:ascii="Times New Roman" w:hAnsi="Times New Roman"/>
          <w:sz w:val="24"/>
          <w:szCs w:val="24"/>
          <w:lang w:eastAsia="cs-CZ"/>
        </w:rPr>
        <w:t xml:space="preserve">. </w:t>
      </w:r>
      <w:r w:rsidRPr="00581BDA">
        <w:rPr>
          <w:rFonts w:ascii="Times New Roman" w:hAnsi="Times New Roman"/>
          <w:sz w:val="24"/>
          <w:szCs w:val="24"/>
          <w:lang w:eastAsia="cs-CZ"/>
        </w:rPr>
        <w:t>Na druhej strane sa rozšírenie poskytovaných služieb a výkonov ŠÚKLu prejaví vo zvýšení príjmov rozpočtu verejnej správy vo forme poplatkov ako je uvedené v tabuľkách č. 1 a č. 2.</w:t>
      </w:r>
    </w:p>
    <w:p w:rsidR="007E7B42" w:rsidRPr="00975686" w:rsidP="00975686">
      <w:pPr>
        <w:bidi w:val="0"/>
        <w:spacing w:line="240" w:lineRule="auto"/>
        <w:jc w:val="both"/>
        <w:rPr>
          <w:rFonts w:ascii="Times New Roman" w:hAnsi="Times New Roman"/>
          <w:sz w:val="24"/>
          <w:szCs w:val="24"/>
          <w:lang w:eastAsia="cs-CZ"/>
        </w:rPr>
      </w:pPr>
      <w:r w:rsidRPr="00581BDA" w:rsidR="00581BDA">
        <w:rPr>
          <w:rFonts w:ascii="Times New Roman" w:hAnsi="Times New Roman"/>
          <w:sz w:val="24"/>
          <w:szCs w:val="24"/>
          <w:lang w:eastAsia="cs-CZ"/>
        </w:rPr>
        <w:t xml:space="preserve">Tieto správne poplatky by mali </w:t>
      </w:r>
      <w:r w:rsidR="00B135F5">
        <w:rPr>
          <w:rFonts w:ascii="Times New Roman" w:hAnsi="Times New Roman"/>
          <w:sz w:val="24"/>
          <w:szCs w:val="24"/>
          <w:lang w:eastAsia="cs-CZ"/>
        </w:rPr>
        <w:t>kryť</w:t>
      </w:r>
      <w:r w:rsidRPr="00581BDA" w:rsidR="00581BDA">
        <w:rPr>
          <w:rFonts w:ascii="Times New Roman" w:hAnsi="Times New Roman"/>
          <w:sz w:val="24"/>
          <w:szCs w:val="24"/>
          <w:lang w:eastAsia="cs-CZ"/>
        </w:rPr>
        <w:t xml:space="preserve"> zvýšené nároky ŠÚKLu </w:t>
      </w:r>
      <w:r w:rsidRPr="00D200FD" w:rsidR="00595C6B">
        <w:rPr>
          <w:rFonts w:ascii="Times New Roman" w:hAnsi="Times New Roman"/>
          <w:sz w:val="24"/>
          <w:szCs w:val="24"/>
          <w:lang w:eastAsia="cs-CZ"/>
        </w:rPr>
        <w:t>a MZ SR</w:t>
      </w:r>
      <w:r w:rsidR="00595C6B">
        <w:rPr>
          <w:rFonts w:ascii="Times New Roman" w:hAnsi="Times New Roman"/>
          <w:sz w:val="24"/>
          <w:szCs w:val="24"/>
          <w:lang w:eastAsia="cs-CZ"/>
        </w:rPr>
        <w:t xml:space="preserve"> </w:t>
      </w:r>
      <w:r w:rsidRPr="00581BDA" w:rsidR="00581BDA">
        <w:rPr>
          <w:rFonts w:ascii="Times New Roman" w:hAnsi="Times New Roman"/>
          <w:sz w:val="24"/>
          <w:szCs w:val="24"/>
          <w:lang w:eastAsia="cs-CZ"/>
        </w:rPr>
        <w:t>a umožniť tak S</w:t>
      </w:r>
      <w:r w:rsidR="00B135F5">
        <w:rPr>
          <w:rFonts w:ascii="Times New Roman" w:hAnsi="Times New Roman"/>
          <w:sz w:val="24"/>
          <w:szCs w:val="24"/>
          <w:lang w:eastAsia="cs-CZ"/>
        </w:rPr>
        <w:t>lovenskej republike</w:t>
      </w:r>
      <w:r w:rsidRPr="00581BDA" w:rsidR="00581BDA">
        <w:rPr>
          <w:rFonts w:ascii="Times New Roman" w:hAnsi="Times New Roman"/>
          <w:sz w:val="24"/>
          <w:szCs w:val="24"/>
          <w:lang w:eastAsia="cs-CZ"/>
        </w:rPr>
        <w:t xml:space="preserve"> v celom rozsahu plniť nové úlohy nariadenia, čo by pri aktuálnej sit</w:t>
      </w:r>
      <w:r w:rsidR="00975686">
        <w:rPr>
          <w:rFonts w:ascii="Times New Roman" w:hAnsi="Times New Roman"/>
          <w:sz w:val="24"/>
          <w:szCs w:val="24"/>
          <w:lang w:eastAsia="cs-CZ"/>
        </w:rPr>
        <w:t>uácii ŠÚKLu nebolo vykonateľné.</w:t>
      </w:r>
    </w:p>
    <w:p w:rsidR="007D5748" w:rsidRPr="007D5748" w:rsidP="007D5748">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2.2.2. Charakteristika návrhu:</w:t>
      </w:r>
    </w:p>
    <w:p w:rsidR="007D5748" w:rsidRPr="007D5748" w:rsidP="007D5748">
      <w:pPr>
        <w:bidi w:val="0"/>
        <w:spacing w:after="0" w:line="240" w:lineRule="auto"/>
        <w:rPr>
          <w:rFonts w:ascii="Times New Roman" w:hAnsi="Times New Roman"/>
          <w:sz w:val="24"/>
          <w:szCs w:val="24"/>
          <w:lang w:eastAsia="sk-SK"/>
        </w:rPr>
      </w:pPr>
    </w:p>
    <w:p w:rsidR="007D5748" w:rsidRPr="007D5748" w:rsidP="007D5748">
      <w:pPr>
        <w:bidi w:val="0"/>
        <w:spacing w:after="0" w:line="240" w:lineRule="auto"/>
        <w:rPr>
          <w:rFonts w:ascii="Times New Roman" w:hAnsi="Times New Roman"/>
          <w:sz w:val="24"/>
          <w:szCs w:val="24"/>
          <w:lang w:eastAsia="sk-SK"/>
        </w:rPr>
      </w:pPr>
      <w:r w:rsidRPr="007D5748">
        <w:rPr>
          <w:rFonts w:ascii="Times New Roman" w:hAnsi="Times New Roman"/>
          <w:b/>
          <w:sz w:val="24"/>
          <w:szCs w:val="24"/>
          <w:bdr w:val="single" w:sz="4" w:space="0" w:color="auto"/>
          <w:lang w:eastAsia="sk-SK"/>
        </w:rPr>
        <w:t xml:space="preserve">     </w:t>
      </w:r>
      <w:r w:rsidRPr="007D5748">
        <w:rPr>
          <w:rFonts w:ascii="Times New Roman" w:hAnsi="Times New Roman"/>
          <w:b/>
          <w:sz w:val="24"/>
          <w:szCs w:val="24"/>
          <w:lang w:eastAsia="sk-SK"/>
        </w:rPr>
        <w:t xml:space="preserve">  </w:t>
      </w:r>
      <w:r w:rsidRPr="007D5748">
        <w:rPr>
          <w:rFonts w:ascii="Times New Roman" w:hAnsi="Times New Roman"/>
          <w:sz w:val="24"/>
          <w:szCs w:val="24"/>
          <w:lang w:eastAsia="sk-SK"/>
        </w:rPr>
        <w:t>zmena sadzby</w:t>
      </w:r>
    </w:p>
    <w:p w:rsidR="007D5748" w:rsidRPr="007D5748" w:rsidP="007D5748">
      <w:pPr>
        <w:bidi w:val="0"/>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zmena v nároku</w:t>
      </w:r>
    </w:p>
    <w:p w:rsidR="007D5748" w:rsidRPr="007D5748" w:rsidP="007D5748">
      <w:pPr>
        <w:bidi w:val="0"/>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nová služba alebo nariadenie (alebo ich zrušenie)</w:t>
      </w:r>
    </w:p>
    <w:p w:rsidR="007D5748" w:rsidRPr="007D5748" w:rsidP="007D5748">
      <w:pPr>
        <w:bidi w:val="0"/>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003454DF">
        <w:rPr>
          <w:rFonts w:ascii="Times New Roman" w:hAnsi="Times New Roman"/>
          <w:sz w:val="24"/>
          <w:szCs w:val="24"/>
          <w:bdr w:val="single" w:sz="4" w:space="0" w:color="auto"/>
          <w:lang w:eastAsia="sk-SK"/>
        </w:rPr>
        <w:t>x</w:t>
      </w: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kombinovaný návrh</w:t>
      </w:r>
    </w:p>
    <w:p w:rsidR="007D5748" w:rsidRPr="007D5748" w:rsidP="007D5748">
      <w:pPr>
        <w:bidi w:val="0"/>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iné </w:t>
      </w:r>
    </w:p>
    <w:p w:rsidR="007D5748" w:rsidRPr="007D5748" w:rsidP="007D5748">
      <w:pPr>
        <w:bidi w:val="0"/>
        <w:spacing w:after="0" w:line="240" w:lineRule="auto"/>
        <w:rPr>
          <w:rFonts w:ascii="Times New Roman" w:hAnsi="Times New Roman"/>
          <w:sz w:val="24"/>
          <w:szCs w:val="24"/>
          <w:lang w:eastAsia="sk-SK"/>
        </w:rPr>
      </w:pPr>
    </w:p>
    <w:p w:rsidR="007D5748" w:rsidRPr="007D5748" w:rsidP="007D5748">
      <w:pPr>
        <w:bidi w:val="0"/>
        <w:spacing w:after="0" w:line="240" w:lineRule="auto"/>
        <w:rPr>
          <w:rFonts w:ascii="Times New Roman" w:hAnsi="Times New Roman"/>
          <w:sz w:val="24"/>
          <w:szCs w:val="24"/>
          <w:lang w:eastAsia="sk-SK"/>
        </w:rPr>
      </w:pPr>
    </w:p>
    <w:p w:rsidR="007D5748" w:rsidRPr="007D5748" w:rsidP="007D5748">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2.2.3. Predpoklady vývoja objemu aktivít:</w:t>
      </w:r>
    </w:p>
    <w:p w:rsidR="007D5748" w:rsidRPr="007D5748" w:rsidP="007D5748">
      <w:pPr>
        <w:bidi w:val="0"/>
        <w:spacing w:after="0" w:line="240" w:lineRule="auto"/>
        <w:rPr>
          <w:rFonts w:ascii="Times New Roman" w:hAnsi="Times New Roman"/>
          <w:sz w:val="24"/>
          <w:szCs w:val="24"/>
          <w:lang w:eastAsia="sk-SK"/>
        </w:rPr>
      </w:pPr>
    </w:p>
    <w:p w:rsidR="007D5748" w:rsidRPr="007D5748" w:rsidP="007D5748">
      <w:pPr>
        <w:bidi w:val="0"/>
        <w:spacing w:after="0" w:line="240" w:lineRule="auto"/>
        <w:jc w:val="right"/>
        <w:rPr>
          <w:rFonts w:ascii="Times New Roman" w:hAnsi="Times New Roman"/>
          <w:sz w:val="20"/>
          <w:szCs w:val="20"/>
          <w:lang w:eastAsia="sk-SK"/>
        </w:rPr>
      </w:pPr>
      <w:r w:rsidRPr="007D5748">
        <w:rPr>
          <w:rFonts w:ascii="Times New Roman" w:hAnsi="Times New Roman"/>
          <w:sz w:val="20"/>
          <w:szCs w:val="20"/>
          <w:lang w:eastAsia="sk-SK"/>
        </w:rPr>
        <w:t xml:space="preserve">Tabuľka č. 2 </w:t>
      </w:r>
    </w:p>
    <w:tbl>
      <w:tblPr>
        <w:tblStyle w:val="TableNormal"/>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autoSpaceDE w:val="0"/>
              <w:autoSpaceDN w:val="0"/>
              <w:bidi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Objem aktivít</w:t>
            </w:r>
          </w:p>
        </w:tc>
        <w:tc>
          <w:tcPr>
            <w:tcW w:w="4536"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autoSpaceDE w:val="0"/>
              <w:autoSpaceDN w:val="0"/>
              <w:bidi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Odhadované objemy</w:t>
            </w:r>
          </w:p>
        </w:tc>
      </w:tr>
      <w:tr>
        <w:tblPrEx>
          <w:tblW w:w="9066" w:type="dxa"/>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7D5748" w:rsidRPr="007D5748" w:rsidP="007D5748">
            <w:pPr>
              <w:autoSpaceDE w:val="0"/>
              <w:autoSpaceDN w:val="0"/>
              <w:bidi w:val="0"/>
              <w:adjustRightInd w:val="0"/>
              <w:spacing w:after="0" w:line="240" w:lineRule="auto"/>
              <w:jc w:val="center"/>
              <w:rPr>
                <w:rFonts w:ascii="Times New Roman" w:hAnsi="Times New Roman"/>
                <w:b/>
                <w:bCs/>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autoSpaceDE w:val="0"/>
              <w:autoSpaceDN w:val="0"/>
              <w:bidi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sidR="0028042D">
              <w:rPr>
                <w:rFonts w:ascii="Times New Roman" w:hAnsi="Times New Roman"/>
                <w:b/>
                <w:bCs/>
                <w:sz w:val="24"/>
                <w:szCs w:val="24"/>
                <w:lang w:eastAsia="sk-SK"/>
              </w:rPr>
              <w:t>. 2017</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28042D">
            <w:pPr>
              <w:autoSpaceDE w:val="0"/>
              <w:autoSpaceDN w:val="0"/>
              <w:bidi w:val="0"/>
              <w:adjustRightInd w:val="0"/>
              <w:spacing w:after="0" w:line="240" w:lineRule="auto"/>
              <w:jc w:val="center"/>
              <w:rPr>
                <w:rFonts w:ascii="Times New Roman" w:hAnsi="Times New Roman"/>
                <w:b/>
                <w:bCs/>
                <w:sz w:val="24"/>
                <w:szCs w:val="24"/>
                <w:lang w:eastAsia="sk-SK"/>
              </w:rPr>
            </w:pPr>
            <w:r w:rsidR="0028042D">
              <w:rPr>
                <w:rFonts w:ascii="Times New Roman" w:hAnsi="Times New Roman"/>
                <w:b/>
                <w:bCs/>
                <w:sz w:val="24"/>
                <w:szCs w:val="24"/>
                <w:lang w:eastAsia="sk-SK"/>
              </w:rPr>
              <w:t>r. 2018</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28042D">
            <w:pPr>
              <w:autoSpaceDE w:val="0"/>
              <w:autoSpaceDN w:val="0"/>
              <w:bidi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sidR="0028042D">
              <w:rPr>
                <w:rFonts w:ascii="Times New Roman" w:hAnsi="Times New Roman"/>
                <w:b/>
                <w:bCs/>
                <w:sz w:val="24"/>
                <w:szCs w:val="24"/>
                <w:lang w:eastAsia="sk-SK"/>
              </w:rPr>
              <w:t>. 2019</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28042D">
            <w:pPr>
              <w:autoSpaceDE w:val="0"/>
              <w:autoSpaceDN w:val="0"/>
              <w:bidi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sidR="0028042D">
              <w:rPr>
                <w:rFonts w:ascii="Times New Roman" w:hAnsi="Times New Roman"/>
                <w:b/>
                <w:bCs/>
                <w:sz w:val="24"/>
                <w:szCs w:val="24"/>
                <w:lang w:eastAsia="sk-SK"/>
              </w:rPr>
              <w:t>. 2020</w:t>
            </w:r>
          </w:p>
        </w:tc>
      </w:tr>
      <w:tr>
        <w:tblPrEx>
          <w:tblW w:w="9066"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050FE8" w:rsidRPr="00050FE8" w:rsidP="00050FE8">
            <w:pPr>
              <w:autoSpaceDE w:val="0"/>
              <w:autoSpaceDN w:val="0"/>
              <w:bidi w:val="0"/>
              <w:adjustRightInd w:val="0"/>
              <w:spacing w:after="0" w:line="240" w:lineRule="auto"/>
              <w:rPr>
                <w:rFonts w:ascii="Times New Roman" w:hAnsi="Times New Roman"/>
                <w:color w:val="000000"/>
                <w:sz w:val="24"/>
                <w:szCs w:val="24"/>
                <w:lang w:eastAsia="sk-SK"/>
              </w:rPr>
            </w:pPr>
            <w:r w:rsidRPr="00050FE8">
              <w:rPr>
                <w:rFonts w:ascii="Times New Roman" w:hAnsi="Times New Roman"/>
                <w:color w:val="000000"/>
                <w:sz w:val="24"/>
                <w:szCs w:val="24"/>
              </w:rPr>
              <w:t xml:space="preserve">Indikátor – počet žiadostí o povolenie klinického skúšania, kde SR neplní úlohu spravodajského členského štátu                             a klinické skúšanie nezahŕňa skúšané lieky na inovatívnu liečbu alebo lieky, ako sú vymedzené v nariadení  (ES) č.  726/2004                            </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4F04F5">
            <w:pPr>
              <w:bidi w:val="0"/>
              <w:spacing w:line="70" w:lineRule="atLeast"/>
              <w:jc w:val="center"/>
              <w:rPr>
                <w:rFonts w:ascii="Times New Roman" w:hAnsi="Times New Roman"/>
                <w:sz w:val="24"/>
                <w:szCs w:val="24"/>
              </w:rPr>
            </w:pPr>
            <w:r w:rsidRPr="00050FE8">
              <w:rPr>
                <w:rFonts w:ascii="Times New Roman" w:hAnsi="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4F04F5">
            <w:pPr>
              <w:bidi w:val="0"/>
              <w:spacing w:line="70" w:lineRule="atLeast"/>
              <w:jc w:val="center"/>
              <w:rPr>
                <w:rFonts w:ascii="Times New Roman" w:hAnsi="Times New Roman"/>
                <w:color w:val="000000"/>
                <w:sz w:val="24"/>
                <w:szCs w:val="24"/>
              </w:rPr>
            </w:pPr>
            <w:r w:rsidRPr="00050FE8">
              <w:rPr>
                <w:rFonts w:ascii="Times New Roman" w:hAnsi="Times New Roman"/>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4F04F5">
            <w:pPr>
              <w:bidi w:val="0"/>
              <w:jc w:val="center"/>
              <w:rPr>
                <w:rFonts w:ascii="Times New Roman" w:hAnsi="Times New Roman"/>
                <w:bCs/>
                <w:color w:val="000000"/>
                <w:sz w:val="24"/>
                <w:szCs w:val="24"/>
              </w:rPr>
            </w:pPr>
            <w:r w:rsidRPr="00050FE8">
              <w:rPr>
                <w:rFonts w:ascii="Times New Roman" w:hAnsi="Times New Roman"/>
                <w:bCs/>
                <w:color w:val="000000"/>
                <w:sz w:val="24"/>
                <w:szCs w:val="24"/>
              </w:rPr>
              <w:t>70,00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4F04F5">
            <w:pPr>
              <w:bidi w:val="0"/>
              <w:jc w:val="center"/>
              <w:rPr>
                <w:rFonts w:ascii="Times New Roman" w:hAnsi="Times New Roman"/>
                <w:bCs/>
                <w:color w:val="000000"/>
                <w:sz w:val="24"/>
                <w:szCs w:val="24"/>
              </w:rPr>
            </w:pPr>
            <w:r w:rsidRPr="00050FE8">
              <w:rPr>
                <w:rFonts w:ascii="Times New Roman" w:hAnsi="Times New Roman"/>
                <w:bCs/>
                <w:color w:val="000000"/>
                <w:sz w:val="24"/>
                <w:szCs w:val="24"/>
              </w:rPr>
              <w:t>70,00</w:t>
            </w:r>
          </w:p>
        </w:tc>
      </w:tr>
      <w:tr>
        <w:tblPrEx>
          <w:tblW w:w="9066"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050FE8" w:rsidRPr="00050FE8" w:rsidP="00050FE8">
            <w:pPr>
              <w:bidi w:val="0"/>
              <w:spacing w:line="70" w:lineRule="atLeast"/>
              <w:rPr>
                <w:rFonts w:ascii="Times New Roman" w:hAnsi="Times New Roman"/>
                <w:color w:val="000000"/>
                <w:sz w:val="24"/>
                <w:szCs w:val="24"/>
              </w:rPr>
            </w:pPr>
            <w:r w:rsidRPr="00050FE8">
              <w:rPr>
                <w:rFonts w:ascii="Times New Roman" w:hAnsi="Times New Roman"/>
                <w:color w:val="000000"/>
                <w:sz w:val="24"/>
                <w:szCs w:val="24"/>
              </w:rPr>
              <w:t xml:space="preserve">Indikátor – počet žiadostí o povolenie klinického skúšania, kde SR neplní úlohu spravodajského členského štátu                             a klinické skúšanie zahŕňa skúšané lieky na inovatívnu liečbu alebo lieky, ako sú vymedzené v nariadení  (ES) č.  726/2004                            </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4F04F5">
            <w:pPr>
              <w:bidi w:val="0"/>
              <w:jc w:val="center"/>
              <w:rPr>
                <w:rFonts w:ascii="Times New Roman" w:hAnsi="Times New Roman"/>
                <w:sz w:val="24"/>
                <w:szCs w:val="24"/>
              </w:rPr>
            </w:pPr>
            <w:r w:rsidRPr="00050FE8">
              <w:rPr>
                <w:rFonts w:ascii="Times New Roman" w:hAnsi="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4F04F5">
            <w:pPr>
              <w:bidi w:val="0"/>
              <w:spacing w:line="70" w:lineRule="atLeast"/>
              <w:jc w:val="center"/>
              <w:rPr>
                <w:rFonts w:ascii="Times New Roman" w:hAnsi="Times New Roman"/>
                <w:color w:val="000000"/>
                <w:sz w:val="24"/>
                <w:szCs w:val="24"/>
              </w:rPr>
            </w:pPr>
            <w:r w:rsidRPr="00050FE8">
              <w:rPr>
                <w:rFonts w:ascii="Times New Roman" w:hAnsi="Times New Roman"/>
                <w:color w:val="000000"/>
                <w:sz w:val="24"/>
                <w:szCs w:val="24"/>
              </w:rPr>
              <w:t>7,00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4F04F5">
            <w:pPr>
              <w:bidi w:val="0"/>
              <w:jc w:val="center"/>
              <w:rPr>
                <w:rFonts w:ascii="Times New Roman" w:hAnsi="Times New Roman"/>
                <w:bCs/>
                <w:color w:val="000000"/>
                <w:sz w:val="24"/>
                <w:szCs w:val="24"/>
              </w:rPr>
            </w:pPr>
            <w:r w:rsidRPr="00050FE8">
              <w:rPr>
                <w:rFonts w:ascii="Times New Roman" w:hAnsi="Times New Roman"/>
                <w:bCs/>
                <w:color w:val="000000"/>
                <w:sz w:val="24"/>
                <w:szCs w:val="24"/>
              </w:rPr>
              <w:t>45,00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4F04F5">
            <w:pPr>
              <w:bidi w:val="0"/>
              <w:jc w:val="center"/>
              <w:rPr>
                <w:rFonts w:ascii="Times New Roman" w:hAnsi="Times New Roman"/>
                <w:bCs/>
                <w:color w:val="000000"/>
                <w:sz w:val="24"/>
                <w:szCs w:val="24"/>
              </w:rPr>
            </w:pPr>
            <w:r w:rsidRPr="00050FE8">
              <w:rPr>
                <w:rFonts w:ascii="Times New Roman" w:hAnsi="Times New Roman"/>
                <w:bCs/>
                <w:color w:val="000000"/>
                <w:sz w:val="24"/>
                <w:szCs w:val="24"/>
              </w:rPr>
              <w:t>45,00</w:t>
            </w:r>
          </w:p>
        </w:tc>
      </w:tr>
      <w:tr>
        <w:tblPrEx>
          <w:tblW w:w="9066"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050FE8" w:rsidRPr="00050FE8" w:rsidP="00050FE8">
            <w:pPr>
              <w:bidi w:val="0"/>
              <w:spacing w:line="70" w:lineRule="atLeast"/>
              <w:rPr>
                <w:rFonts w:ascii="Times New Roman" w:hAnsi="Times New Roman"/>
                <w:color w:val="000000"/>
                <w:sz w:val="24"/>
                <w:szCs w:val="24"/>
              </w:rPr>
            </w:pPr>
            <w:r w:rsidRPr="00050FE8">
              <w:rPr>
                <w:rFonts w:ascii="Times New Roman" w:hAnsi="Times New Roman"/>
                <w:color w:val="000000"/>
                <w:sz w:val="24"/>
                <w:szCs w:val="24"/>
              </w:rPr>
              <w:t xml:space="preserve">Indikátor – počet žiadostí o povolenie klinického skúšania, kde SR plní úlohu spravodajského členského štátu                             a klinické skúšanie nezahŕňa skúšané lieky na inovatívnu liečbu alebo lieky, ako sú vymedzené v nariadení  (ES) č.  726/2004                                               </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4F04F5">
            <w:pPr>
              <w:bidi w:val="0"/>
              <w:jc w:val="center"/>
              <w:rPr>
                <w:rFonts w:ascii="Times New Roman" w:hAnsi="Times New Roman"/>
                <w:sz w:val="24"/>
                <w:szCs w:val="24"/>
              </w:rPr>
            </w:pPr>
            <w:r w:rsidRPr="00050FE8">
              <w:rPr>
                <w:rFonts w:ascii="Times New Roman" w:hAnsi="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4F04F5">
            <w:pPr>
              <w:bidi w:val="0"/>
              <w:spacing w:line="70" w:lineRule="atLeast"/>
              <w:jc w:val="center"/>
              <w:rPr>
                <w:rFonts w:ascii="Times New Roman" w:hAnsi="Times New Roman"/>
                <w:color w:val="000000"/>
                <w:sz w:val="24"/>
                <w:szCs w:val="24"/>
              </w:rPr>
            </w:pPr>
            <w:r w:rsidRPr="00050FE8">
              <w:rPr>
                <w:rFonts w:ascii="Times New Roman" w:hAnsi="Times New Roman"/>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4F04F5">
            <w:pPr>
              <w:bidi w:val="0"/>
              <w:jc w:val="center"/>
              <w:rPr>
                <w:rFonts w:ascii="Times New Roman" w:hAnsi="Times New Roman"/>
                <w:bCs/>
                <w:color w:val="000000"/>
                <w:sz w:val="24"/>
                <w:szCs w:val="24"/>
              </w:rPr>
            </w:pPr>
            <w:r w:rsidRPr="00050FE8">
              <w:rPr>
                <w:rFonts w:ascii="Times New Roman" w:hAnsi="Times New Roman"/>
                <w:bCs/>
                <w:color w:val="000000"/>
                <w:sz w:val="24"/>
                <w:szCs w:val="24"/>
              </w:rPr>
              <w:t>2,00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4F04F5">
            <w:pPr>
              <w:bidi w:val="0"/>
              <w:jc w:val="center"/>
              <w:rPr>
                <w:rFonts w:ascii="Times New Roman" w:hAnsi="Times New Roman"/>
                <w:bCs/>
                <w:color w:val="000000"/>
                <w:sz w:val="24"/>
                <w:szCs w:val="24"/>
              </w:rPr>
            </w:pPr>
            <w:r w:rsidRPr="00050FE8">
              <w:rPr>
                <w:rFonts w:ascii="Times New Roman" w:hAnsi="Times New Roman"/>
                <w:bCs/>
                <w:color w:val="000000"/>
                <w:sz w:val="24"/>
                <w:szCs w:val="24"/>
              </w:rPr>
              <w:t>2,00</w:t>
            </w:r>
          </w:p>
        </w:tc>
      </w:tr>
      <w:tr>
        <w:tblPrEx>
          <w:tblW w:w="9066"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050FE8" w:rsidRPr="00050FE8" w:rsidP="00050FE8">
            <w:pPr>
              <w:bidi w:val="0"/>
              <w:spacing w:line="70" w:lineRule="atLeast"/>
              <w:rPr>
                <w:rFonts w:ascii="Times New Roman" w:hAnsi="Times New Roman"/>
                <w:color w:val="000000"/>
                <w:sz w:val="24"/>
                <w:szCs w:val="24"/>
              </w:rPr>
            </w:pPr>
            <w:r w:rsidRPr="00050FE8">
              <w:rPr>
                <w:rFonts w:ascii="Times New Roman" w:hAnsi="Times New Roman"/>
                <w:color w:val="000000"/>
                <w:sz w:val="24"/>
                <w:szCs w:val="24"/>
              </w:rPr>
              <w:t xml:space="preserve">Indikátor – počet žiadostí o povolenie klinického skúšania, kde SR plní úlohu spravodajského členského štátu                             a klinické skúšanie zahŕňa skúšané lieky na inovatívnu liečbu alebo lieky, ako sú vymedzené v nariadení  (ES) č.  726/2004                            </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4F04F5">
            <w:pPr>
              <w:bidi w:val="0"/>
              <w:jc w:val="center"/>
              <w:rPr>
                <w:rFonts w:ascii="Times New Roman" w:hAnsi="Times New Roman"/>
                <w:sz w:val="24"/>
                <w:szCs w:val="24"/>
              </w:rPr>
            </w:pPr>
            <w:r w:rsidRPr="00050FE8">
              <w:rPr>
                <w:rFonts w:ascii="Times New Roman" w:hAnsi="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4F04F5">
            <w:pPr>
              <w:bidi w:val="0"/>
              <w:spacing w:line="70" w:lineRule="atLeast"/>
              <w:jc w:val="center"/>
              <w:rPr>
                <w:rFonts w:ascii="Times New Roman" w:hAnsi="Times New Roman"/>
                <w:color w:val="000000"/>
                <w:sz w:val="24"/>
                <w:szCs w:val="24"/>
              </w:rPr>
            </w:pPr>
            <w:r w:rsidRPr="00050FE8">
              <w:rPr>
                <w:rFonts w:ascii="Times New Roman" w:hAnsi="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4F04F5">
            <w:pPr>
              <w:bidi w:val="0"/>
              <w:jc w:val="center"/>
              <w:rPr>
                <w:rFonts w:ascii="Times New Roman" w:hAnsi="Times New Roman"/>
                <w:bCs/>
                <w:color w:val="000000"/>
                <w:sz w:val="24"/>
                <w:szCs w:val="24"/>
              </w:rPr>
            </w:pPr>
            <w:r w:rsidRPr="00050FE8">
              <w:rPr>
                <w:rFonts w:ascii="Times New Roman" w:hAnsi="Times New Roman"/>
                <w:bCs/>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4F04F5">
            <w:pPr>
              <w:bidi w:val="0"/>
              <w:jc w:val="center"/>
              <w:rPr>
                <w:rFonts w:ascii="Times New Roman" w:hAnsi="Times New Roman"/>
                <w:bCs/>
                <w:color w:val="000000"/>
                <w:sz w:val="24"/>
                <w:szCs w:val="24"/>
              </w:rPr>
            </w:pPr>
            <w:r w:rsidRPr="00050FE8">
              <w:rPr>
                <w:rFonts w:ascii="Times New Roman" w:hAnsi="Times New Roman"/>
                <w:bCs/>
                <w:color w:val="000000"/>
                <w:sz w:val="24"/>
                <w:szCs w:val="24"/>
              </w:rPr>
              <w:t>1,00</w:t>
            </w:r>
          </w:p>
        </w:tc>
      </w:tr>
      <w:tr>
        <w:tblPrEx>
          <w:tblW w:w="9066"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050FE8" w:rsidRPr="00050FE8" w:rsidP="00050FE8">
            <w:pPr>
              <w:bidi w:val="0"/>
              <w:spacing w:line="70" w:lineRule="atLeast"/>
              <w:rPr>
                <w:rFonts w:ascii="Times New Roman" w:hAnsi="Times New Roman"/>
                <w:sz w:val="24"/>
                <w:szCs w:val="24"/>
              </w:rPr>
            </w:pPr>
            <w:r w:rsidRPr="00050FE8">
              <w:rPr>
                <w:rFonts w:ascii="Times New Roman" w:hAnsi="Times New Roman"/>
                <w:color w:val="000000"/>
                <w:sz w:val="24"/>
                <w:szCs w:val="24"/>
              </w:rPr>
              <w:t xml:space="preserve">Indikátor – počet žiadostí o povolenie nízkointervenčného klinického skúšania, kde SR neplní úlohu spravodajského členského štátu  a klinické skúšanie nezahŕňa skúšané lieky na inovatívnu liečbu alebo lieky, ako sú vymedzené v nariadení  (ES) č.  726/2004                            </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4F04F5">
            <w:pPr>
              <w:bidi w:val="0"/>
              <w:jc w:val="center"/>
              <w:rPr>
                <w:rFonts w:ascii="Times New Roman" w:hAnsi="Times New Roman"/>
                <w:sz w:val="24"/>
                <w:szCs w:val="24"/>
              </w:rPr>
            </w:pPr>
            <w:r w:rsidRPr="00050FE8">
              <w:rPr>
                <w:rFonts w:ascii="Times New Roman" w:hAnsi="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4F04F5">
            <w:pPr>
              <w:bidi w:val="0"/>
              <w:spacing w:line="70" w:lineRule="atLeast"/>
              <w:jc w:val="center"/>
              <w:rPr>
                <w:rFonts w:ascii="Times New Roman" w:hAnsi="Times New Roman"/>
                <w:color w:val="000000"/>
                <w:sz w:val="24"/>
                <w:szCs w:val="24"/>
              </w:rPr>
            </w:pPr>
            <w:r w:rsidRPr="00050FE8">
              <w:rPr>
                <w:rFonts w:ascii="Times New Roman" w:hAnsi="Times New Roman"/>
                <w:color w:val="000000"/>
                <w:sz w:val="24"/>
                <w:szCs w:val="24"/>
              </w:rPr>
              <w:t>10,00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4F04F5">
            <w:pPr>
              <w:bidi w:val="0"/>
              <w:jc w:val="center"/>
              <w:rPr>
                <w:rFonts w:ascii="Times New Roman" w:hAnsi="Times New Roman"/>
                <w:bCs/>
                <w:color w:val="000000"/>
                <w:sz w:val="24"/>
                <w:szCs w:val="24"/>
              </w:rPr>
            </w:pPr>
            <w:r w:rsidRPr="00050FE8">
              <w:rPr>
                <w:rFonts w:ascii="Times New Roman" w:hAnsi="Times New Roman"/>
                <w:bCs/>
                <w:color w:val="000000"/>
                <w:sz w:val="24"/>
                <w:szCs w:val="24"/>
              </w:rPr>
              <w:t>8,00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4F04F5">
            <w:pPr>
              <w:bidi w:val="0"/>
              <w:jc w:val="center"/>
              <w:rPr>
                <w:rFonts w:ascii="Times New Roman" w:hAnsi="Times New Roman"/>
                <w:bCs/>
                <w:color w:val="000000"/>
                <w:sz w:val="24"/>
                <w:szCs w:val="24"/>
              </w:rPr>
            </w:pPr>
            <w:r w:rsidRPr="00050FE8">
              <w:rPr>
                <w:rFonts w:ascii="Times New Roman" w:hAnsi="Times New Roman"/>
                <w:bCs/>
                <w:color w:val="000000"/>
                <w:sz w:val="24"/>
                <w:szCs w:val="24"/>
              </w:rPr>
              <w:t>8,00</w:t>
            </w:r>
          </w:p>
        </w:tc>
      </w:tr>
      <w:tr>
        <w:tblPrEx>
          <w:tblW w:w="9066"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050FE8" w:rsidRPr="00050FE8" w:rsidP="00D6335D">
            <w:pPr>
              <w:bidi w:val="0"/>
              <w:rPr>
                <w:rFonts w:ascii="Times New Roman" w:hAnsi="Times New Roman"/>
                <w:sz w:val="24"/>
                <w:szCs w:val="24"/>
              </w:rPr>
            </w:pPr>
            <w:r w:rsidRPr="00050FE8">
              <w:rPr>
                <w:rFonts w:ascii="Times New Roman" w:hAnsi="Times New Roman"/>
                <w:color w:val="000000"/>
                <w:sz w:val="24"/>
                <w:szCs w:val="24"/>
              </w:rPr>
              <w:t>Indikátor – počet žiadostí o povolenie nízkointervenčného klinického skúšania, kde SR neplní úlohu spravodajského členského štátu  a klinické skúšanie zahŕňa skúšané lieky na inovatívnu liečbu alebo lieky, ako sú vymedzené v nariadení  (ES) č.  726/2</w:t>
            </w:r>
            <w:r>
              <w:rPr>
                <w:rFonts w:ascii="Times New Roman" w:hAnsi="Times New Roman"/>
                <w:color w:val="000000"/>
                <w:sz w:val="24"/>
                <w:szCs w:val="24"/>
              </w:rPr>
              <w:t xml:space="preserve">004  </w:t>
            </w:r>
            <w:r w:rsidRPr="00050FE8">
              <w:rPr>
                <w:rFonts w:ascii="Times New Roman" w:hAnsi="Times New Roman"/>
                <w:color w:val="000000"/>
                <w:sz w:val="24"/>
                <w:szCs w:val="24"/>
              </w:rPr>
              <w:t>alebo lieky, ako sú vymedzené v nariadení  (ES) č.  726/2004</w:t>
            </w:r>
            <w:r w:rsidRPr="000D3E91">
              <w:rPr>
                <w:color w:val="000000"/>
              </w:rPr>
              <w:t xml:space="preserve">                            </w:t>
            </w:r>
            <w:r w:rsidRPr="00050FE8">
              <w:rPr>
                <w:rFonts w:ascii="Times New Roman" w:hAnsi="Times New Roman"/>
                <w:color w:val="000000"/>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4F04F5">
            <w:pPr>
              <w:bidi w:val="0"/>
              <w:jc w:val="center"/>
              <w:rPr>
                <w:rFonts w:ascii="Times New Roman" w:hAnsi="Times New Roman"/>
                <w:sz w:val="24"/>
                <w:szCs w:val="24"/>
              </w:rPr>
            </w:pPr>
            <w:r w:rsidRPr="00050FE8">
              <w:rPr>
                <w:rFonts w:ascii="Times New Roman" w:hAnsi="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4F04F5">
            <w:pPr>
              <w:bidi w:val="0"/>
              <w:spacing w:line="70" w:lineRule="atLeast"/>
              <w:jc w:val="center"/>
              <w:rPr>
                <w:rFonts w:ascii="Times New Roman" w:hAnsi="Times New Roman"/>
                <w:color w:val="000000"/>
                <w:sz w:val="24"/>
                <w:szCs w:val="24"/>
              </w:rPr>
            </w:pPr>
            <w:r w:rsidRPr="00050FE8">
              <w:rPr>
                <w:rFonts w:ascii="Times New Roman" w:hAnsi="Times New Roman"/>
                <w:color w:val="000000"/>
                <w:sz w:val="24"/>
                <w:szCs w:val="24"/>
              </w:rPr>
              <w:t>3,00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4F04F5">
            <w:pPr>
              <w:bidi w:val="0"/>
              <w:jc w:val="center"/>
              <w:rPr>
                <w:rFonts w:ascii="Times New Roman" w:hAnsi="Times New Roman"/>
                <w:bCs/>
                <w:color w:val="000000"/>
                <w:sz w:val="24"/>
                <w:szCs w:val="24"/>
              </w:rPr>
            </w:pPr>
            <w:r w:rsidRPr="00050FE8">
              <w:rPr>
                <w:rFonts w:ascii="Times New Roman" w:hAnsi="Times New Roman"/>
                <w:bCs/>
                <w:color w:val="000000"/>
                <w:sz w:val="24"/>
                <w:szCs w:val="24"/>
              </w:rPr>
              <w:t>4,00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4F04F5">
            <w:pPr>
              <w:bidi w:val="0"/>
              <w:jc w:val="center"/>
              <w:rPr>
                <w:rFonts w:ascii="Times New Roman" w:hAnsi="Times New Roman"/>
                <w:bCs/>
                <w:color w:val="000000"/>
                <w:sz w:val="24"/>
                <w:szCs w:val="24"/>
              </w:rPr>
            </w:pPr>
            <w:r w:rsidRPr="00050FE8">
              <w:rPr>
                <w:rFonts w:ascii="Times New Roman" w:hAnsi="Times New Roman"/>
                <w:bCs/>
                <w:color w:val="000000"/>
                <w:sz w:val="24"/>
                <w:szCs w:val="24"/>
              </w:rPr>
              <w:t>4,00</w:t>
            </w:r>
          </w:p>
        </w:tc>
      </w:tr>
    </w:tbl>
    <w:p w:rsidR="007D5748" w:rsidRPr="007D5748" w:rsidP="007D5748">
      <w:pPr>
        <w:bidi w:val="0"/>
        <w:spacing w:after="0" w:line="240" w:lineRule="auto"/>
        <w:rPr>
          <w:rFonts w:ascii="Times New Roman" w:hAnsi="Times New Roman"/>
          <w:sz w:val="24"/>
          <w:szCs w:val="24"/>
          <w:lang w:eastAsia="sk-SK"/>
        </w:rPr>
      </w:pPr>
    </w:p>
    <w:tbl>
      <w:tblPr>
        <w:tblStyle w:val="TableNormal"/>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0FE8" w:rsidRPr="007D5748" w:rsidP="00503D03">
            <w:pPr>
              <w:autoSpaceDE w:val="0"/>
              <w:autoSpaceDN w:val="0"/>
              <w:bidi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Objem aktivít</w:t>
            </w:r>
          </w:p>
        </w:tc>
        <w:tc>
          <w:tcPr>
            <w:tcW w:w="4536"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0FE8" w:rsidRPr="007D5748" w:rsidP="00503D03">
            <w:pPr>
              <w:autoSpaceDE w:val="0"/>
              <w:autoSpaceDN w:val="0"/>
              <w:bidi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Odhadované objemy</w:t>
            </w:r>
          </w:p>
        </w:tc>
      </w:tr>
      <w:tr>
        <w:tblPrEx>
          <w:tblW w:w="9066" w:type="dxa"/>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050FE8" w:rsidRPr="007D5748" w:rsidP="00503D03">
            <w:pPr>
              <w:autoSpaceDE w:val="0"/>
              <w:autoSpaceDN w:val="0"/>
              <w:bidi w:val="0"/>
              <w:adjustRightInd w:val="0"/>
              <w:spacing w:after="0" w:line="240" w:lineRule="auto"/>
              <w:jc w:val="center"/>
              <w:rPr>
                <w:rFonts w:ascii="Times New Roman" w:hAnsi="Times New Roman"/>
                <w:b/>
                <w:bCs/>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0FE8" w:rsidRPr="007D5748" w:rsidP="00503D03">
            <w:pPr>
              <w:autoSpaceDE w:val="0"/>
              <w:autoSpaceDN w:val="0"/>
              <w:bidi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Pr>
                <w:rFonts w:ascii="Times New Roman" w:hAnsi="Times New Roman"/>
                <w:b/>
                <w:bCs/>
                <w:sz w:val="24"/>
                <w:szCs w:val="24"/>
                <w:lang w:eastAsia="sk-SK"/>
              </w:rPr>
              <w:t>. 2017</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0FE8" w:rsidRPr="007D5748" w:rsidP="00503D03">
            <w:pPr>
              <w:autoSpaceDE w:val="0"/>
              <w:autoSpaceDN w:val="0"/>
              <w:bidi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r. 2018</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0FE8" w:rsidRPr="007D5748" w:rsidP="00503D03">
            <w:pPr>
              <w:autoSpaceDE w:val="0"/>
              <w:autoSpaceDN w:val="0"/>
              <w:bidi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Pr>
                <w:rFonts w:ascii="Times New Roman" w:hAnsi="Times New Roman"/>
                <w:b/>
                <w:bCs/>
                <w:sz w:val="24"/>
                <w:szCs w:val="24"/>
                <w:lang w:eastAsia="sk-SK"/>
              </w:rPr>
              <w:t>. 2019</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0FE8" w:rsidRPr="007D5748" w:rsidP="00503D03">
            <w:pPr>
              <w:autoSpaceDE w:val="0"/>
              <w:autoSpaceDN w:val="0"/>
              <w:bidi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Pr>
                <w:rFonts w:ascii="Times New Roman" w:hAnsi="Times New Roman"/>
                <w:b/>
                <w:bCs/>
                <w:sz w:val="24"/>
                <w:szCs w:val="24"/>
                <w:lang w:eastAsia="sk-SK"/>
              </w:rPr>
              <w:t>. 2020</w:t>
            </w:r>
          </w:p>
        </w:tc>
      </w:tr>
      <w:tr>
        <w:tblPrEx>
          <w:tblW w:w="9066"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050FE8" w:rsidRPr="00050FE8" w:rsidP="00050FE8">
            <w:pPr>
              <w:bidi w:val="0"/>
              <w:rPr>
                <w:rFonts w:ascii="Times New Roman" w:hAnsi="Times New Roman"/>
                <w:sz w:val="24"/>
                <w:szCs w:val="24"/>
              </w:rPr>
            </w:pPr>
            <w:r w:rsidRPr="00050FE8">
              <w:rPr>
                <w:rFonts w:ascii="Times New Roman" w:hAnsi="Times New Roman"/>
                <w:color w:val="000000"/>
                <w:sz w:val="24"/>
                <w:szCs w:val="24"/>
              </w:rPr>
              <w:t xml:space="preserve">Indikátor – počet žiadostí o povolenie nízkointervenčného klinického skúšania, kde SR neplní úlohu spravodajského členského štátu  a klinické skúšanie nezahŕňa skúšané lieky na inovatívnu liečbu alebo lieky, ako sú vymedzené v nariadení  (ES) č.  726/2004                            </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050FE8">
            <w:pPr>
              <w:bidi w:val="0"/>
              <w:jc w:val="center"/>
              <w:rPr>
                <w:rFonts w:ascii="Times New Roman" w:hAnsi="Times New Roman"/>
                <w:sz w:val="24"/>
                <w:szCs w:val="24"/>
              </w:rPr>
            </w:pPr>
            <w:r w:rsidRPr="00050FE8">
              <w:rPr>
                <w:rFonts w:ascii="Times New Roman" w:hAnsi="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050FE8">
            <w:pPr>
              <w:bidi w:val="0"/>
              <w:spacing w:line="70" w:lineRule="atLeast"/>
              <w:jc w:val="center"/>
              <w:rPr>
                <w:rFonts w:ascii="Times New Roman" w:hAnsi="Times New Roman"/>
                <w:color w:val="000000"/>
                <w:sz w:val="24"/>
                <w:szCs w:val="24"/>
              </w:rPr>
            </w:pPr>
            <w:r w:rsidRPr="00050FE8">
              <w:rPr>
                <w:rFonts w:ascii="Times New Roman" w:hAnsi="Times New Roman"/>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050FE8">
            <w:pPr>
              <w:bidi w:val="0"/>
              <w:jc w:val="center"/>
              <w:rPr>
                <w:rFonts w:ascii="Times New Roman" w:hAnsi="Times New Roman"/>
                <w:bCs/>
                <w:color w:val="000000"/>
                <w:sz w:val="24"/>
                <w:szCs w:val="24"/>
              </w:rPr>
            </w:pPr>
            <w:r w:rsidRPr="00050FE8">
              <w:rPr>
                <w:rFonts w:ascii="Times New Roman" w:hAnsi="Times New Roman"/>
                <w:bCs/>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050FE8">
            <w:pPr>
              <w:bidi w:val="0"/>
              <w:jc w:val="center"/>
              <w:rPr>
                <w:rFonts w:ascii="Times New Roman" w:hAnsi="Times New Roman"/>
                <w:bCs/>
                <w:color w:val="000000"/>
                <w:sz w:val="24"/>
                <w:szCs w:val="24"/>
              </w:rPr>
            </w:pPr>
            <w:r w:rsidRPr="00050FE8">
              <w:rPr>
                <w:rFonts w:ascii="Times New Roman" w:hAnsi="Times New Roman"/>
                <w:bCs/>
                <w:color w:val="000000"/>
                <w:sz w:val="24"/>
                <w:szCs w:val="24"/>
              </w:rPr>
              <w:t>1,00</w:t>
            </w:r>
          </w:p>
        </w:tc>
      </w:tr>
      <w:tr>
        <w:tblPrEx>
          <w:tblW w:w="9066"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050FE8" w:rsidRPr="00050FE8" w:rsidP="00503D03">
            <w:pPr>
              <w:bidi w:val="0"/>
              <w:rPr>
                <w:rFonts w:ascii="Times New Roman" w:hAnsi="Times New Roman"/>
                <w:sz w:val="24"/>
                <w:szCs w:val="24"/>
              </w:rPr>
            </w:pPr>
            <w:r w:rsidRPr="00050FE8">
              <w:rPr>
                <w:rFonts w:ascii="Times New Roman" w:hAnsi="Times New Roman"/>
                <w:color w:val="000000"/>
                <w:sz w:val="24"/>
                <w:szCs w:val="24"/>
              </w:rPr>
              <w:t xml:space="preserve">Indikátor – počet žiadostí o povolenie nízkointervenčného klinického skúšania, kde SR </w:t>
            </w:r>
            <w:r w:rsidR="00503D03">
              <w:rPr>
                <w:rFonts w:ascii="Times New Roman" w:hAnsi="Times New Roman"/>
                <w:color w:val="000000"/>
                <w:sz w:val="24"/>
                <w:szCs w:val="24"/>
              </w:rPr>
              <w:t>ne</w:t>
            </w:r>
            <w:r w:rsidRPr="00050FE8">
              <w:rPr>
                <w:rFonts w:ascii="Times New Roman" w:hAnsi="Times New Roman"/>
                <w:color w:val="000000"/>
                <w:sz w:val="24"/>
                <w:szCs w:val="24"/>
              </w:rPr>
              <w:t xml:space="preserve">plní úlohu spravodajského členského štátu  a klinické skúšanie zahŕňa skúšané lieky na inovatívnu liečbu alebo lieky, ako sú vymedzené v nariadení  (ES) č.  726/2004                            </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050FE8">
            <w:pPr>
              <w:bidi w:val="0"/>
              <w:jc w:val="center"/>
              <w:rPr>
                <w:rFonts w:ascii="Times New Roman" w:hAnsi="Times New Roman"/>
                <w:sz w:val="24"/>
                <w:szCs w:val="24"/>
              </w:rPr>
            </w:pPr>
            <w:r w:rsidRPr="00050FE8">
              <w:rPr>
                <w:rFonts w:ascii="Times New Roman" w:hAnsi="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050FE8">
            <w:pPr>
              <w:bidi w:val="0"/>
              <w:spacing w:line="70" w:lineRule="atLeast"/>
              <w:jc w:val="center"/>
              <w:rPr>
                <w:rFonts w:ascii="Times New Roman" w:hAnsi="Times New Roman"/>
                <w:color w:val="000000"/>
                <w:sz w:val="24"/>
                <w:szCs w:val="24"/>
              </w:rPr>
            </w:pPr>
            <w:r w:rsidRPr="00050FE8">
              <w:rPr>
                <w:rFonts w:ascii="Times New Roman" w:hAnsi="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050FE8">
            <w:pPr>
              <w:bidi w:val="0"/>
              <w:jc w:val="center"/>
              <w:rPr>
                <w:rFonts w:ascii="Times New Roman" w:hAnsi="Times New Roman"/>
                <w:bCs/>
                <w:color w:val="000000"/>
                <w:sz w:val="24"/>
                <w:szCs w:val="24"/>
              </w:rPr>
            </w:pPr>
            <w:r w:rsidRPr="00050FE8">
              <w:rPr>
                <w:rFonts w:ascii="Times New Roman" w:hAnsi="Times New Roman"/>
                <w:bCs/>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050FE8">
            <w:pPr>
              <w:bidi w:val="0"/>
              <w:jc w:val="center"/>
              <w:rPr>
                <w:rFonts w:ascii="Times New Roman" w:hAnsi="Times New Roman"/>
                <w:bCs/>
                <w:color w:val="000000"/>
                <w:sz w:val="24"/>
                <w:szCs w:val="24"/>
              </w:rPr>
            </w:pPr>
            <w:r w:rsidRPr="00050FE8">
              <w:rPr>
                <w:rFonts w:ascii="Times New Roman" w:hAnsi="Times New Roman"/>
                <w:bCs/>
                <w:color w:val="000000"/>
                <w:sz w:val="24"/>
                <w:szCs w:val="24"/>
              </w:rPr>
              <w:t>1,00</w:t>
            </w:r>
          </w:p>
        </w:tc>
      </w:tr>
      <w:tr>
        <w:tblPrEx>
          <w:tblW w:w="9066"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050FE8" w:rsidRPr="00050FE8" w:rsidP="00050FE8">
            <w:pPr>
              <w:bidi w:val="0"/>
              <w:rPr>
                <w:rFonts w:ascii="Times New Roman" w:hAnsi="Times New Roman"/>
                <w:color w:val="000000"/>
                <w:sz w:val="24"/>
                <w:szCs w:val="24"/>
              </w:rPr>
            </w:pPr>
            <w:r w:rsidRPr="00050FE8">
              <w:rPr>
                <w:rFonts w:ascii="Times New Roman" w:hAnsi="Times New Roman"/>
                <w:color w:val="000000"/>
                <w:sz w:val="24"/>
                <w:szCs w:val="24"/>
              </w:rPr>
              <w:t xml:space="preserve">Indikátor – počet žiadostí o povolenie klinického skúšania bez zdravotnej indikácie, resp. v prípade prvého podania človeku, kde SR neplní úlohu spravodajského členského štátu  a klinické skúšanie nezahŕňa skúšané lieky na inovatívnu liečbu alebo lieky, ako sú vymedzené v nariadení  (ES) č.  726/2004                            </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050FE8">
            <w:pPr>
              <w:bidi w:val="0"/>
              <w:jc w:val="center"/>
              <w:rPr>
                <w:rFonts w:ascii="Times New Roman" w:hAnsi="Times New Roman"/>
                <w:sz w:val="24"/>
                <w:szCs w:val="24"/>
              </w:rPr>
            </w:pPr>
            <w:r w:rsidRPr="00050FE8">
              <w:rPr>
                <w:rFonts w:ascii="Times New Roman" w:hAnsi="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050FE8">
            <w:pPr>
              <w:bidi w:val="0"/>
              <w:spacing w:line="70" w:lineRule="atLeast"/>
              <w:jc w:val="center"/>
              <w:rPr>
                <w:rFonts w:ascii="Times New Roman" w:hAnsi="Times New Roman"/>
                <w:color w:val="000000"/>
                <w:sz w:val="24"/>
                <w:szCs w:val="24"/>
              </w:rPr>
            </w:pPr>
            <w:r w:rsidRPr="00050FE8">
              <w:rPr>
                <w:rFonts w:ascii="Times New Roman" w:hAnsi="Times New Roman"/>
                <w:color w:val="000000"/>
                <w:sz w:val="24"/>
                <w:szCs w:val="24"/>
              </w:rPr>
              <w:t>2,00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050FE8">
            <w:pPr>
              <w:bidi w:val="0"/>
              <w:jc w:val="center"/>
              <w:rPr>
                <w:rFonts w:ascii="Times New Roman" w:hAnsi="Times New Roman"/>
                <w:bCs/>
                <w:color w:val="000000"/>
                <w:sz w:val="24"/>
                <w:szCs w:val="24"/>
              </w:rPr>
            </w:pPr>
            <w:r w:rsidRPr="00050FE8">
              <w:rPr>
                <w:rFonts w:ascii="Times New Roman" w:hAnsi="Times New Roman"/>
                <w:bCs/>
                <w:color w:val="000000"/>
                <w:sz w:val="24"/>
                <w:szCs w:val="24"/>
              </w:rPr>
              <w:t>6,00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050FE8">
            <w:pPr>
              <w:bidi w:val="0"/>
              <w:jc w:val="center"/>
              <w:rPr>
                <w:rFonts w:ascii="Times New Roman" w:hAnsi="Times New Roman"/>
                <w:bCs/>
                <w:color w:val="000000"/>
                <w:sz w:val="24"/>
                <w:szCs w:val="24"/>
              </w:rPr>
            </w:pPr>
            <w:r w:rsidRPr="00050FE8">
              <w:rPr>
                <w:rFonts w:ascii="Times New Roman" w:hAnsi="Times New Roman"/>
                <w:bCs/>
                <w:color w:val="000000"/>
                <w:sz w:val="24"/>
                <w:szCs w:val="24"/>
              </w:rPr>
              <w:t>6,00</w:t>
            </w:r>
          </w:p>
        </w:tc>
      </w:tr>
      <w:tr>
        <w:tblPrEx>
          <w:tblW w:w="9066"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050FE8" w:rsidRPr="00050FE8" w:rsidP="00503D03">
            <w:pPr>
              <w:bidi w:val="0"/>
              <w:rPr>
                <w:rFonts w:ascii="Times New Roman" w:hAnsi="Times New Roman"/>
                <w:sz w:val="24"/>
                <w:szCs w:val="24"/>
              </w:rPr>
            </w:pPr>
            <w:r w:rsidRPr="00050FE8">
              <w:rPr>
                <w:rFonts w:ascii="Times New Roman" w:hAnsi="Times New Roman"/>
                <w:color w:val="000000"/>
                <w:sz w:val="24"/>
                <w:szCs w:val="24"/>
              </w:rPr>
              <w:t xml:space="preserve">Indikátor – počet žiadostí o povolenie klinického skúšania bez zdravotnej indikácie, resp. v prípade prvého podania človeku, kde SR </w:t>
            </w:r>
            <w:r w:rsidR="00503D03">
              <w:rPr>
                <w:rFonts w:ascii="Times New Roman" w:hAnsi="Times New Roman"/>
                <w:color w:val="000000"/>
                <w:sz w:val="24"/>
                <w:szCs w:val="24"/>
              </w:rPr>
              <w:t>ne</w:t>
            </w:r>
            <w:r w:rsidRPr="00050FE8">
              <w:rPr>
                <w:rFonts w:ascii="Times New Roman" w:hAnsi="Times New Roman"/>
                <w:color w:val="000000"/>
                <w:sz w:val="24"/>
                <w:szCs w:val="24"/>
              </w:rPr>
              <w:t xml:space="preserve">plní úlohu spravodajského členského štátu  a klinické skúšanie zahŕňa skúšané lieky na inovatívnu liečbu alebo lieky, ako sú vymedzené v nariadení  (ES) č.  726/2004                            </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050FE8">
            <w:pPr>
              <w:bidi w:val="0"/>
              <w:jc w:val="center"/>
              <w:rPr>
                <w:rFonts w:ascii="Times New Roman" w:hAnsi="Times New Roman"/>
                <w:sz w:val="24"/>
                <w:szCs w:val="24"/>
              </w:rPr>
            </w:pPr>
            <w:r w:rsidRPr="00050FE8">
              <w:rPr>
                <w:rFonts w:ascii="Times New Roman" w:hAnsi="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050FE8">
            <w:pPr>
              <w:bidi w:val="0"/>
              <w:spacing w:line="70" w:lineRule="atLeast"/>
              <w:jc w:val="center"/>
              <w:rPr>
                <w:rFonts w:ascii="Times New Roman" w:hAnsi="Times New Roman"/>
                <w:color w:val="000000"/>
                <w:sz w:val="24"/>
                <w:szCs w:val="24"/>
              </w:rPr>
            </w:pPr>
            <w:r w:rsidRPr="00050FE8">
              <w:rPr>
                <w:rFonts w:ascii="Times New Roman" w:hAnsi="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050FE8">
            <w:pPr>
              <w:bidi w:val="0"/>
              <w:jc w:val="center"/>
              <w:rPr>
                <w:rFonts w:ascii="Times New Roman" w:hAnsi="Times New Roman"/>
                <w:bCs/>
                <w:color w:val="000000"/>
                <w:sz w:val="24"/>
                <w:szCs w:val="24"/>
              </w:rPr>
            </w:pPr>
            <w:r w:rsidRPr="00050FE8">
              <w:rPr>
                <w:rFonts w:ascii="Times New Roman" w:hAnsi="Times New Roman"/>
                <w:bCs/>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050FE8">
            <w:pPr>
              <w:bidi w:val="0"/>
              <w:jc w:val="center"/>
              <w:rPr>
                <w:rFonts w:ascii="Times New Roman" w:hAnsi="Times New Roman"/>
                <w:bCs/>
                <w:color w:val="000000"/>
                <w:sz w:val="24"/>
                <w:szCs w:val="24"/>
              </w:rPr>
            </w:pPr>
            <w:r w:rsidRPr="00050FE8">
              <w:rPr>
                <w:rFonts w:ascii="Times New Roman" w:hAnsi="Times New Roman"/>
                <w:bCs/>
                <w:color w:val="000000"/>
                <w:sz w:val="24"/>
                <w:szCs w:val="24"/>
              </w:rPr>
              <w:t>1,00</w:t>
            </w:r>
          </w:p>
        </w:tc>
      </w:tr>
      <w:tr>
        <w:tblPrEx>
          <w:tblW w:w="9066"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050FE8" w:rsidRPr="00050FE8" w:rsidP="00050FE8">
            <w:pPr>
              <w:bidi w:val="0"/>
              <w:rPr>
                <w:rFonts w:ascii="Times New Roman" w:hAnsi="Times New Roman"/>
                <w:sz w:val="24"/>
                <w:szCs w:val="24"/>
              </w:rPr>
            </w:pPr>
            <w:r w:rsidRPr="00050FE8">
              <w:rPr>
                <w:rFonts w:ascii="Times New Roman" w:hAnsi="Times New Roman"/>
                <w:color w:val="000000"/>
                <w:sz w:val="24"/>
                <w:szCs w:val="24"/>
              </w:rPr>
              <w:t xml:space="preserve">Indikátor – počet žiadostí o povolenie klinického skúšania bez zdravotnej indikácie, resp. v prípade prvého podania človeku, kde SR plní úlohu spravodajského členského štátu  a klinické skúšanie </w:t>
            </w:r>
            <w:r w:rsidR="00503D03">
              <w:rPr>
                <w:rFonts w:ascii="Times New Roman" w:hAnsi="Times New Roman"/>
                <w:color w:val="000000"/>
                <w:sz w:val="24"/>
                <w:szCs w:val="24"/>
              </w:rPr>
              <w:t>ne</w:t>
            </w:r>
            <w:r w:rsidRPr="00050FE8">
              <w:rPr>
                <w:rFonts w:ascii="Times New Roman" w:hAnsi="Times New Roman"/>
                <w:color w:val="000000"/>
                <w:sz w:val="24"/>
                <w:szCs w:val="24"/>
              </w:rPr>
              <w:t xml:space="preserve">zahŕňa skúšané lieky na inovatívnu liečbu alebo lieky, ako sú vymedzené v nariadení  (ES) č.  726/2004                            </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050FE8">
            <w:pPr>
              <w:bidi w:val="0"/>
              <w:jc w:val="center"/>
              <w:rPr>
                <w:rFonts w:ascii="Times New Roman" w:hAnsi="Times New Roman"/>
                <w:sz w:val="24"/>
                <w:szCs w:val="24"/>
              </w:rPr>
            </w:pPr>
            <w:r w:rsidRPr="00050FE8">
              <w:rPr>
                <w:rFonts w:ascii="Times New Roman" w:hAnsi="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050FE8">
            <w:pPr>
              <w:bidi w:val="0"/>
              <w:spacing w:line="70" w:lineRule="atLeast"/>
              <w:jc w:val="center"/>
              <w:rPr>
                <w:rFonts w:ascii="Times New Roman" w:hAnsi="Times New Roman"/>
                <w:color w:val="000000"/>
                <w:sz w:val="24"/>
                <w:szCs w:val="24"/>
              </w:rPr>
            </w:pPr>
            <w:r w:rsidRPr="00050FE8">
              <w:rPr>
                <w:rFonts w:ascii="Times New Roman" w:hAnsi="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050FE8">
            <w:pPr>
              <w:bidi w:val="0"/>
              <w:jc w:val="center"/>
              <w:rPr>
                <w:rFonts w:ascii="Times New Roman" w:hAnsi="Times New Roman"/>
                <w:bCs/>
                <w:color w:val="000000"/>
                <w:sz w:val="24"/>
                <w:szCs w:val="24"/>
              </w:rPr>
            </w:pPr>
            <w:r w:rsidRPr="00050FE8">
              <w:rPr>
                <w:rFonts w:ascii="Times New Roman" w:hAnsi="Times New Roman"/>
                <w:bCs/>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050FE8" w:rsidRPr="00050FE8" w:rsidP="00050FE8">
            <w:pPr>
              <w:bidi w:val="0"/>
              <w:jc w:val="center"/>
              <w:rPr>
                <w:rFonts w:ascii="Times New Roman" w:hAnsi="Times New Roman"/>
                <w:bCs/>
                <w:color w:val="000000"/>
                <w:sz w:val="24"/>
                <w:szCs w:val="24"/>
              </w:rPr>
            </w:pPr>
            <w:r w:rsidRPr="00050FE8">
              <w:rPr>
                <w:rFonts w:ascii="Times New Roman" w:hAnsi="Times New Roman"/>
                <w:bCs/>
                <w:color w:val="000000"/>
                <w:sz w:val="24"/>
                <w:szCs w:val="24"/>
              </w:rPr>
              <w:t>1,00</w:t>
            </w:r>
          </w:p>
        </w:tc>
      </w:tr>
      <w:tr>
        <w:tblPrEx>
          <w:tblW w:w="9066" w:type="dxa"/>
          <w:tblInd w:w="78" w:type="dxa"/>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0FE8" w:rsidRPr="007D5748" w:rsidP="00503D03">
            <w:pPr>
              <w:autoSpaceDE w:val="0"/>
              <w:autoSpaceDN w:val="0"/>
              <w:bidi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Objem aktivít</w:t>
            </w:r>
          </w:p>
        </w:tc>
        <w:tc>
          <w:tcPr>
            <w:tcW w:w="4536"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0FE8" w:rsidRPr="007D5748" w:rsidP="00503D03">
            <w:pPr>
              <w:autoSpaceDE w:val="0"/>
              <w:autoSpaceDN w:val="0"/>
              <w:bidi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Odhadované objemy</w:t>
            </w:r>
          </w:p>
        </w:tc>
      </w:tr>
      <w:tr>
        <w:tblPrEx>
          <w:tblW w:w="9066" w:type="dxa"/>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050FE8" w:rsidRPr="007D5748" w:rsidP="00503D03">
            <w:pPr>
              <w:autoSpaceDE w:val="0"/>
              <w:autoSpaceDN w:val="0"/>
              <w:bidi w:val="0"/>
              <w:adjustRightInd w:val="0"/>
              <w:spacing w:after="0" w:line="240" w:lineRule="auto"/>
              <w:jc w:val="center"/>
              <w:rPr>
                <w:rFonts w:ascii="Times New Roman" w:hAnsi="Times New Roman"/>
                <w:b/>
                <w:bCs/>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0FE8" w:rsidRPr="007D5748" w:rsidP="00503D03">
            <w:pPr>
              <w:autoSpaceDE w:val="0"/>
              <w:autoSpaceDN w:val="0"/>
              <w:bidi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Pr>
                <w:rFonts w:ascii="Times New Roman" w:hAnsi="Times New Roman"/>
                <w:b/>
                <w:bCs/>
                <w:sz w:val="24"/>
                <w:szCs w:val="24"/>
                <w:lang w:eastAsia="sk-SK"/>
              </w:rPr>
              <w:t>. 2017</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0FE8" w:rsidRPr="007D5748" w:rsidP="00503D03">
            <w:pPr>
              <w:autoSpaceDE w:val="0"/>
              <w:autoSpaceDN w:val="0"/>
              <w:bidi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r. 2018</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0FE8" w:rsidRPr="007D5748" w:rsidP="00503D03">
            <w:pPr>
              <w:autoSpaceDE w:val="0"/>
              <w:autoSpaceDN w:val="0"/>
              <w:bidi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Pr>
                <w:rFonts w:ascii="Times New Roman" w:hAnsi="Times New Roman"/>
                <w:b/>
                <w:bCs/>
                <w:sz w:val="24"/>
                <w:szCs w:val="24"/>
                <w:lang w:eastAsia="sk-SK"/>
              </w:rPr>
              <w:t>. 2019</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50FE8" w:rsidRPr="007D5748" w:rsidP="00503D03">
            <w:pPr>
              <w:autoSpaceDE w:val="0"/>
              <w:autoSpaceDN w:val="0"/>
              <w:bidi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Pr>
                <w:rFonts w:ascii="Times New Roman" w:hAnsi="Times New Roman"/>
                <w:b/>
                <w:bCs/>
                <w:sz w:val="24"/>
                <w:szCs w:val="24"/>
                <w:lang w:eastAsia="sk-SK"/>
              </w:rPr>
              <w:t>. 2020</w:t>
            </w:r>
          </w:p>
        </w:tc>
      </w:tr>
      <w:tr>
        <w:tblPrEx>
          <w:tblW w:w="9066" w:type="dxa"/>
          <w:tblInd w:w="78" w:type="dxa"/>
          <w:tblLayout w:type="fixed"/>
        </w:tblPrEx>
        <w:trPr>
          <w:trHeight w:val="2389"/>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503D03" w:rsidRPr="004F04F5" w:rsidP="00503D03">
            <w:pPr>
              <w:bidi w:val="0"/>
              <w:rPr>
                <w:rFonts w:ascii="Times New Roman" w:hAnsi="Times New Roman"/>
                <w:sz w:val="23"/>
                <w:szCs w:val="23"/>
              </w:rPr>
            </w:pPr>
            <w:r w:rsidRPr="004F04F5">
              <w:rPr>
                <w:rFonts w:ascii="Times New Roman" w:hAnsi="Times New Roman"/>
                <w:color w:val="000000"/>
                <w:sz w:val="23"/>
                <w:szCs w:val="23"/>
              </w:rPr>
              <w:t xml:space="preserve">Indikátor – počet žiadostí o povolenie klinického skúšania bez zdravotnej indikácie, resp. v prípade prvého podania človeku, kde SR plní úlohu spravodajského členského štátu  a klinické skúšanie zahŕňa skúšané lieky na inovatívnu liečbu alebo lieky, ako sú vymedzené v nariadení  (ES) č.  726/2004                            </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jc w:val="center"/>
              <w:rPr>
                <w:rFonts w:ascii="Times New Roman" w:hAnsi="Times New Roman"/>
                <w:sz w:val="24"/>
                <w:szCs w:val="24"/>
              </w:rPr>
            </w:pPr>
            <w:r w:rsidRPr="004F04F5">
              <w:rPr>
                <w:rFonts w:ascii="Times New Roman" w:hAnsi="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spacing w:line="70" w:lineRule="atLeast"/>
              <w:jc w:val="center"/>
              <w:rPr>
                <w:rFonts w:ascii="Times New Roman" w:hAnsi="Times New Roman"/>
                <w:color w:val="000000"/>
                <w:sz w:val="24"/>
                <w:szCs w:val="24"/>
              </w:rPr>
            </w:pPr>
            <w:r w:rsidRPr="004F04F5">
              <w:rPr>
                <w:rFonts w:ascii="Times New Roman" w:hAnsi="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jc w:val="center"/>
              <w:rPr>
                <w:rFonts w:ascii="Times New Roman" w:hAnsi="Times New Roman"/>
                <w:bCs/>
                <w:color w:val="000000"/>
                <w:sz w:val="24"/>
                <w:szCs w:val="24"/>
              </w:rPr>
            </w:pPr>
            <w:r w:rsidRPr="004F04F5">
              <w:rPr>
                <w:rFonts w:ascii="Times New Roman" w:hAnsi="Times New Roman"/>
                <w:bCs/>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jc w:val="center"/>
              <w:rPr>
                <w:rFonts w:ascii="Times New Roman" w:hAnsi="Times New Roman"/>
                <w:bCs/>
                <w:color w:val="000000"/>
                <w:sz w:val="24"/>
                <w:szCs w:val="24"/>
              </w:rPr>
            </w:pPr>
            <w:r w:rsidRPr="004F04F5">
              <w:rPr>
                <w:rFonts w:ascii="Times New Roman" w:hAnsi="Times New Roman"/>
                <w:bCs/>
                <w:color w:val="000000"/>
                <w:sz w:val="24"/>
                <w:szCs w:val="24"/>
              </w:rPr>
              <w:t>1,00</w:t>
            </w:r>
          </w:p>
        </w:tc>
      </w:tr>
      <w:tr>
        <w:tblPrEx>
          <w:tblW w:w="9066"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503D03" w:rsidRPr="004F04F5" w:rsidP="00503D03">
            <w:pPr>
              <w:bidi w:val="0"/>
              <w:rPr>
                <w:rFonts w:ascii="Times New Roman" w:hAnsi="Times New Roman"/>
                <w:color w:val="000000"/>
                <w:sz w:val="23"/>
                <w:szCs w:val="23"/>
              </w:rPr>
            </w:pPr>
            <w:r w:rsidRPr="004F04F5">
              <w:rPr>
                <w:rFonts w:ascii="Times New Roman" w:hAnsi="Times New Roman"/>
                <w:color w:val="000000"/>
                <w:sz w:val="23"/>
                <w:szCs w:val="23"/>
              </w:rPr>
              <w:t>Indikátor – počet žiadostí o posúdenie podstatnej zmeny, kde SR neplní úlohu spravodajského členského štátu</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jc w:val="center"/>
              <w:rPr>
                <w:rFonts w:ascii="Times New Roman" w:hAnsi="Times New Roman"/>
                <w:sz w:val="24"/>
                <w:szCs w:val="24"/>
              </w:rPr>
            </w:pPr>
            <w:r w:rsidRPr="004F04F5">
              <w:rPr>
                <w:rFonts w:ascii="Times New Roman" w:hAnsi="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spacing w:line="70" w:lineRule="atLeast"/>
              <w:jc w:val="center"/>
              <w:rPr>
                <w:rFonts w:ascii="Times New Roman" w:hAnsi="Times New Roman"/>
                <w:color w:val="000000"/>
                <w:sz w:val="24"/>
                <w:szCs w:val="24"/>
              </w:rPr>
            </w:pPr>
            <w:r w:rsidRPr="004F04F5">
              <w:rPr>
                <w:rFonts w:ascii="Times New Roman" w:hAnsi="Times New Roman"/>
                <w:color w:val="000000"/>
                <w:sz w:val="24"/>
                <w:szCs w:val="24"/>
              </w:rPr>
              <w:t>18,00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jc w:val="center"/>
              <w:rPr>
                <w:rFonts w:ascii="Times New Roman" w:hAnsi="Times New Roman"/>
                <w:bCs/>
                <w:color w:val="000000"/>
                <w:sz w:val="24"/>
                <w:szCs w:val="24"/>
              </w:rPr>
            </w:pPr>
            <w:r w:rsidRPr="004F04F5">
              <w:rPr>
                <w:rFonts w:ascii="Times New Roman" w:hAnsi="Times New Roman"/>
                <w:bCs/>
                <w:color w:val="000000"/>
                <w:sz w:val="24"/>
                <w:szCs w:val="24"/>
              </w:rPr>
              <w:t>60,00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jc w:val="center"/>
              <w:rPr>
                <w:rFonts w:ascii="Times New Roman" w:hAnsi="Times New Roman"/>
                <w:bCs/>
                <w:color w:val="000000"/>
                <w:sz w:val="24"/>
                <w:szCs w:val="24"/>
              </w:rPr>
            </w:pPr>
            <w:r w:rsidRPr="004F04F5">
              <w:rPr>
                <w:rFonts w:ascii="Times New Roman" w:hAnsi="Times New Roman"/>
                <w:bCs/>
                <w:color w:val="000000"/>
                <w:sz w:val="24"/>
                <w:szCs w:val="24"/>
              </w:rPr>
              <w:t>60,00</w:t>
            </w:r>
          </w:p>
        </w:tc>
      </w:tr>
      <w:tr>
        <w:tblPrEx>
          <w:tblW w:w="9066"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503D03" w:rsidRPr="004F04F5" w:rsidP="00503D03">
            <w:pPr>
              <w:bidi w:val="0"/>
              <w:rPr>
                <w:rFonts w:ascii="Times New Roman" w:hAnsi="Times New Roman"/>
                <w:color w:val="000000"/>
                <w:sz w:val="23"/>
                <w:szCs w:val="23"/>
              </w:rPr>
            </w:pPr>
            <w:r w:rsidRPr="004F04F5">
              <w:rPr>
                <w:rFonts w:ascii="Times New Roman" w:hAnsi="Times New Roman"/>
                <w:color w:val="000000"/>
                <w:sz w:val="23"/>
                <w:szCs w:val="23"/>
              </w:rPr>
              <w:t>Indikátor – počet žiadostí o posúdenie podstatnej zmeny, kde SR neplní úlohu spravodajského členského štátu</w:t>
            </w:r>
            <w:r w:rsidRPr="004F04F5">
              <w:rPr>
                <w:rFonts w:ascii="Times New Roman" w:hAnsi="Times New Roman"/>
                <w:sz w:val="23"/>
                <w:szCs w:val="23"/>
              </w:rPr>
              <w:t xml:space="preserve"> </w:t>
            </w:r>
            <w:r w:rsidRPr="004F04F5">
              <w:rPr>
                <w:rFonts w:ascii="Times New Roman" w:hAnsi="Times New Roman"/>
                <w:color w:val="000000"/>
                <w:sz w:val="23"/>
                <w:szCs w:val="23"/>
              </w:rPr>
              <w:t>v prípade nízkointervenčného klinického skúšania</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jc w:val="center"/>
              <w:rPr>
                <w:rFonts w:ascii="Times New Roman" w:hAnsi="Times New Roman"/>
                <w:sz w:val="24"/>
                <w:szCs w:val="24"/>
              </w:rPr>
            </w:pPr>
            <w:r w:rsidRPr="004F04F5">
              <w:rPr>
                <w:rFonts w:ascii="Times New Roman" w:hAnsi="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spacing w:line="70" w:lineRule="atLeast"/>
              <w:jc w:val="center"/>
              <w:rPr>
                <w:rFonts w:ascii="Times New Roman" w:hAnsi="Times New Roman"/>
                <w:color w:val="000000"/>
                <w:sz w:val="24"/>
                <w:szCs w:val="24"/>
              </w:rPr>
            </w:pPr>
            <w:r w:rsidRPr="004F04F5">
              <w:rPr>
                <w:rFonts w:ascii="Times New Roman" w:hAnsi="Times New Roman"/>
                <w:color w:val="000000"/>
                <w:sz w:val="24"/>
                <w:szCs w:val="24"/>
              </w:rPr>
              <w:t>2,00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jc w:val="center"/>
              <w:rPr>
                <w:rFonts w:ascii="Times New Roman" w:hAnsi="Times New Roman"/>
                <w:bCs/>
                <w:color w:val="000000"/>
                <w:sz w:val="24"/>
                <w:szCs w:val="24"/>
              </w:rPr>
            </w:pPr>
            <w:r w:rsidRPr="004F04F5">
              <w:rPr>
                <w:rFonts w:ascii="Times New Roman" w:hAnsi="Times New Roman"/>
                <w:bCs/>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jc w:val="center"/>
              <w:rPr>
                <w:rFonts w:ascii="Times New Roman" w:hAnsi="Times New Roman"/>
                <w:bCs/>
                <w:color w:val="000000"/>
                <w:sz w:val="24"/>
                <w:szCs w:val="24"/>
              </w:rPr>
            </w:pPr>
            <w:r w:rsidRPr="004F04F5">
              <w:rPr>
                <w:rFonts w:ascii="Times New Roman" w:hAnsi="Times New Roman"/>
                <w:bCs/>
                <w:color w:val="000000"/>
                <w:sz w:val="24"/>
                <w:szCs w:val="24"/>
              </w:rPr>
              <w:t>15,00</w:t>
            </w:r>
          </w:p>
        </w:tc>
      </w:tr>
      <w:tr>
        <w:tblPrEx>
          <w:tblW w:w="9066"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503D03" w:rsidRPr="004F04F5" w:rsidP="00503D03">
            <w:pPr>
              <w:bidi w:val="0"/>
              <w:rPr>
                <w:rFonts w:ascii="Times New Roman" w:hAnsi="Times New Roman"/>
                <w:color w:val="000000"/>
                <w:sz w:val="23"/>
                <w:szCs w:val="23"/>
              </w:rPr>
            </w:pPr>
            <w:r w:rsidRPr="004F04F5">
              <w:rPr>
                <w:rFonts w:ascii="Times New Roman" w:hAnsi="Times New Roman"/>
                <w:color w:val="000000"/>
                <w:sz w:val="23"/>
                <w:szCs w:val="23"/>
              </w:rPr>
              <w:t>Indikátor – počet žiadostí o posúdenie podstatnej zmeny, kde SR neplní úlohu spravodajského členského štátu</w:t>
            </w:r>
            <w:r w:rsidRPr="004F04F5">
              <w:rPr>
                <w:rFonts w:ascii="Times New Roman" w:hAnsi="Times New Roman"/>
                <w:sz w:val="23"/>
                <w:szCs w:val="23"/>
              </w:rPr>
              <w:t xml:space="preserve"> </w:t>
            </w:r>
            <w:r w:rsidRPr="004F04F5">
              <w:rPr>
                <w:rFonts w:ascii="Times New Roman" w:hAnsi="Times New Roman"/>
                <w:color w:val="000000"/>
                <w:sz w:val="23"/>
                <w:szCs w:val="23"/>
              </w:rPr>
              <w:t xml:space="preserve">v prípade klinického skúšania bez zdravotnej indikácie, resp. v prípade prvého podania človeku  </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jc w:val="center"/>
              <w:rPr>
                <w:rFonts w:ascii="Times New Roman" w:hAnsi="Times New Roman"/>
                <w:sz w:val="24"/>
                <w:szCs w:val="24"/>
              </w:rPr>
            </w:pPr>
            <w:r w:rsidRPr="004F04F5">
              <w:rPr>
                <w:rFonts w:ascii="Times New Roman" w:hAnsi="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spacing w:line="70" w:lineRule="atLeast"/>
              <w:jc w:val="center"/>
              <w:rPr>
                <w:rFonts w:ascii="Times New Roman" w:hAnsi="Times New Roman"/>
                <w:color w:val="000000"/>
                <w:sz w:val="24"/>
                <w:szCs w:val="24"/>
              </w:rPr>
            </w:pPr>
            <w:r w:rsidRPr="004F04F5">
              <w:rPr>
                <w:rFonts w:ascii="Times New Roman" w:hAnsi="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jc w:val="center"/>
              <w:rPr>
                <w:rFonts w:ascii="Times New Roman" w:hAnsi="Times New Roman"/>
                <w:bCs/>
                <w:color w:val="000000"/>
                <w:sz w:val="24"/>
                <w:szCs w:val="24"/>
              </w:rPr>
            </w:pPr>
            <w:r w:rsidRPr="004F04F5">
              <w:rPr>
                <w:rFonts w:ascii="Times New Roman" w:hAnsi="Times New Roman"/>
                <w:bCs/>
                <w:color w:val="000000"/>
                <w:sz w:val="24"/>
                <w:szCs w:val="24"/>
              </w:rPr>
              <w:t>5,00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jc w:val="center"/>
              <w:rPr>
                <w:rFonts w:ascii="Times New Roman" w:hAnsi="Times New Roman"/>
                <w:bCs/>
                <w:color w:val="000000"/>
                <w:sz w:val="24"/>
                <w:szCs w:val="24"/>
              </w:rPr>
            </w:pPr>
            <w:r w:rsidRPr="004F04F5">
              <w:rPr>
                <w:rFonts w:ascii="Times New Roman" w:hAnsi="Times New Roman"/>
                <w:bCs/>
                <w:color w:val="000000"/>
                <w:sz w:val="24"/>
                <w:szCs w:val="24"/>
              </w:rPr>
              <w:t>5,00</w:t>
            </w:r>
          </w:p>
        </w:tc>
      </w:tr>
      <w:tr>
        <w:tblPrEx>
          <w:tblW w:w="9066"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503D03" w:rsidRPr="004F04F5" w:rsidP="00503D03">
            <w:pPr>
              <w:bidi w:val="0"/>
              <w:rPr>
                <w:rFonts w:ascii="Times New Roman" w:hAnsi="Times New Roman"/>
                <w:sz w:val="23"/>
                <w:szCs w:val="23"/>
              </w:rPr>
            </w:pPr>
            <w:r w:rsidRPr="004F04F5">
              <w:rPr>
                <w:rFonts w:ascii="Times New Roman" w:hAnsi="Times New Roman"/>
                <w:sz w:val="23"/>
                <w:szCs w:val="23"/>
              </w:rPr>
              <w:t>Indikátor – počet žiadostí o posúdenie podstatnej zmeny, kde SR plní úlohu spravodajského členského štátu</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jc w:val="center"/>
              <w:rPr>
                <w:rFonts w:ascii="Times New Roman" w:hAnsi="Times New Roman"/>
                <w:sz w:val="24"/>
                <w:szCs w:val="24"/>
              </w:rPr>
            </w:pPr>
            <w:r w:rsidRPr="004F04F5">
              <w:rPr>
                <w:rFonts w:ascii="Times New Roman" w:hAnsi="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spacing w:line="70" w:lineRule="atLeast"/>
              <w:jc w:val="center"/>
              <w:rPr>
                <w:rFonts w:ascii="Times New Roman" w:hAnsi="Times New Roman"/>
                <w:color w:val="000000"/>
                <w:sz w:val="24"/>
                <w:szCs w:val="24"/>
              </w:rPr>
            </w:pPr>
            <w:r w:rsidRPr="004F04F5">
              <w:rPr>
                <w:rFonts w:ascii="Times New Roman" w:hAnsi="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jc w:val="center"/>
              <w:rPr>
                <w:rFonts w:ascii="Times New Roman" w:hAnsi="Times New Roman"/>
                <w:bCs/>
                <w:color w:val="000000"/>
                <w:sz w:val="24"/>
                <w:szCs w:val="24"/>
              </w:rPr>
            </w:pPr>
            <w:r w:rsidRPr="004F04F5">
              <w:rPr>
                <w:rFonts w:ascii="Times New Roman" w:hAnsi="Times New Roman"/>
                <w:bCs/>
                <w:color w:val="000000"/>
                <w:sz w:val="24"/>
                <w:szCs w:val="24"/>
              </w:rPr>
              <w:t>2,00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jc w:val="center"/>
              <w:rPr>
                <w:rFonts w:ascii="Times New Roman" w:hAnsi="Times New Roman"/>
                <w:bCs/>
                <w:color w:val="000000"/>
                <w:sz w:val="24"/>
                <w:szCs w:val="24"/>
              </w:rPr>
            </w:pPr>
            <w:r w:rsidRPr="004F04F5">
              <w:rPr>
                <w:rFonts w:ascii="Times New Roman" w:hAnsi="Times New Roman"/>
                <w:bCs/>
                <w:color w:val="000000"/>
                <w:sz w:val="24"/>
                <w:szCs w:val="24"/>
              </w:rPr>
              <w:t>2,00</w:t>
            </w:r>
          </w:p>
        </w:tc>
      </w:tr>
      <w:tr>
        <w:tblPrEx>
          <w:tblW w:w="9066"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503D03" w:rsidRPr="004F04F5" w:rsidP="00503D03">
            <w:pPr>
              <w:bidi w:val="0"/>
              <w:rPr>
                <w:rFonts w:ascii="Times New Roman" w:hAnsi="Times New Roman"/>
                <w:sz w:val="23"/>
                <w:szCs w:val="23"/>
              </w:rPr>
            </w:pPr>
            <w:r w:rsidRPr="004F04F5">
              <w:rPr>
                <w:rFonts w:ascii="Times New Roman" w:hAnsi="Times New Roman"/>
                <w:sz w:val="23"/>
                <w:szCs w:val="23"/>
              </w:rPr>
              <w:t>Indikátor – počet žiadostí o posúdenie podstatnej zmeny, kde SR plní úlohu spravodajského členského štátu v prípade nízkointervenčného klinického skúšania</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jc w:val="center"/>
              <w:rPr>
                <w:rFonts w:ascii="Times New Roman" w:hAnsi="Times New Roman"/>
                <w:sz w:val="24"/>
                <w:szCs w:val="24"/>
              </w:rPr>
            </w:pPr>
            <w:r w:rsidRPr="004F04F5">
              <w:rPr>
                <w:rFonts w:ascii="Times New Roman" w:hAnsi="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spacing w:line="70" w:lineRule="atLeast"/>
              <w:jc w:val="center"/>
              <w:rPr>
                <w:rFonts w:ascii="Times New Roman" w:hAnsi="Times New Roman"/>
                <w:color w:val="000000"/>
                <w:sz w:val="24"/>
                <w:szCs w:val="24"/>
              </w:rPr>
            </w:pPr>
            <w:r w:rsidRPr="004F04F5">
              <w:rPr>
                <w:rFonts w:ascii="Times New Roman" w:hAnsi="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jc w:val="center"/>
              <w:rPr>
                <w:rFonts w:ascii="Times New Roman" w:hAnsi="Times New Roman"/>
                <w:bCs/>
                <w:color w:val="000000"/>
                <w:sz w:val="24"/>
                <w:szCs w:val="24"/>
              </w:rPr>
            </w:pPr>
            <w:r w:rsidRPr="004F04F5">
              <w:rPr>
                <w:rFonts w:ascii="Times New Roman" w:hAnsi="Times New Roman"/>
                <w:bCs/>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jc w:val="center"/>
              <w:rPr>
                <w:rFonts w:ascii="Times New Roman" w:hAnsi="Times New Roman"/>
                <w:bCs/>
                <w:color w:val="000000"/>
                <w:sz w:val="24"/>
                <w:szCs w:val="24"/>
              </w:rPr>
            </w:pPr>
            <w:r w:rsidRPr="004F04F5">
              <w:rPr>
                <w:rFonts w:ascii="Times New Roman" w:hAnsi="Times New Roman"/>
                <w:bCs/>
                <w:color w:val="000000"/>
                <w:sz w:val="24"/>
                <w:szCs w:val="24"/>
              </w:rPr>
              <w:t>1,00</w:t>
            </w:r>
          </w:p>
        </w:tc>
      </w:tr>
      <w:tr>
        <w:tblPrEx>
          <w:tblW w:w="9066"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503D03" w:rsidRPr="004F04F5" w:rsidP="00503D03">
            <w:pPr>
              <w:bidi w:val="0"/>
              <w:rPr>
                <w:rFonts w:ascii="Times New Roman" w:hAnsi="Times New Roman"/>
                <w:sz w:val="23"/>
                <w:szCs w:val="23"/>
              </w:rPr>
            </w:pPr>
            <w:r w:rsidRPr="004F04F5">
              <w:rPr>
                <w:rFonts w:ascii="Times New Roman" w:hAnsi="Times New Roman"/>
                <w:sz w:val="23"/>
                <w:szCs w:val="23"/>
              </w:rPr>
              <w:t xml:space="preserve">Indikátor – počet žiadostí o posúdenie podstatnej zmeny, kde SR plní úlohu spravodajského členského štátu v prípade klinického skúšania bez zdravotnej indikácie, resp. v prípade prvého podania človeku  </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jc w:val="center"/>
              <w:rPr>
                <w:rFonts w:ascii="Times New Roman" w:hAnsi="Times New Roman"/>
                <w:sz w:val="24"/>
                <w:szCs w:val="24"/>
              </w:rPr>
            </w:pPr>
            <w:r w:rsidRPr="004F04F5">
              <w:rPr>
                <w:rFonts w:ascii="Times New Roman" w:hAnsi="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spacing w:line="70" w:lineRule="atLeast"/>
              <w:jc w:val="center"/>
              <w:rPr>
                <w:rFonts w:ascii="Times New Roman" w:hAnsi="Times New Roman"/>
                <w:color w:val="000000"/>
                <w:sz w:val="24"/>
                <w:szCs w:val="24"/>
              </w:rPr>
            </w:pPr>
            <w:r w:rsidRPr="004F04F5">
              <w:rPr>
                <w:rFonts w:ascii="Times New Roman" w:hAnsi="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jc w:val="center"/>
              <w:rPr>
                <w:rFonts w:ascii="Times New Roman" w:hAnsi="Times New Roman"/>
                <w:bCs/>
                <w:color w:val="000000"/>
                <w:sz w:val="24"/>
                <w:szCs w:val="24"/>
              </w:rPr>
            </w:pPr>
            <w:r w:rsidRPr="004F04F5">
              <w:rPr>
                <w:rFonts w:ascii="Times New Roman" w:hAnsi="Times New Roman"/>
                <w:bCs/>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jc w:val="center"/>
              <w:rPr>
                <w:rFonts w:ascii="Times New Roman" w:hAnsi="Times New Roman"/>
                <w:bCs/>
                <w:color w:val="000000"/>
                <w:sz w:val="24"/>
                <w:szCs w:val="24"/>
              </w:rPr>
            </w:pPr>
            <w:r w:rsidRPr="004F04F5">
              <w:rPr>
                <w:rFonts w:ascii="Times New Roman" w:hAnsi="Times New Roman"/>
                <w:bCs/>
                <w:color w:val="000000"/>
                <w:sz w:val="24"/>
                <w:szCs w:val="24"/>
              </w:rPr>
              <w:t>1,00</w:t>
            </w:r>
          </w:p>
        </w:tc>
      </w:tr>
      <w:tr>
        <w:tblPrEx>
          <w:tblW w:w="9066"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503D03" w:rsidRPr="004F04F5" w:rsidP="00503D03">
            <w:pPr>
              <w:bidi w:val="0"/>
              <w:rPr>
                <w:rFonts w:ascii="Times New Roman" w:hAnsi="Times New Roman"/>
                <w:sz w:val="23"/>
                <w:szCs w:val="23"/>
              </w:rPr>
            </w:pPr>
            <w:r w:rsidRPr="004F04F5">
              <w:rPr>
                <w:rFonts w:ascii="Times New Roman" w:hAnsi="Times New Roman"/>
                <w:sz w:val="23"/>
                <w:szCs w:val="23"/>
              </w:rPr>
              <w:t>Indikátor – počet inšpekcií správnej klinickej praxe a vyhotovenie správy z inšpekcie</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jc w:val="center"/>
              <w:rPr>
                <w:rFonts w:ascii="Times New Roman" w:hAnsi="Times New Roman"/>
                <w:sz w:val="24"/>
                <w:szCs w:val="24"/>
              </w:rPr>
            </w:pPr>
            <w:r w:rsidRPr="004F04F5">
              <w:rPr>
                <w:rFonts w:ascii="Times New Roman" w:hAnsi="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spacing w:line="70" w:lineRule="atLeast"/>
              <w:jc w:val="center"/>
              <w:rPr>
                <w:rFonts w:ascii="Times New Roman" w:hAnsi="Times New Roman"/>
                <w:color w:val="000000"/>
                <w:sz w:val="24"/>
                <w:szCs w:val="24"/>
              </w:rPr>
            </w:pPr>
            <w:r w:rsidRPr="004F04F5">
              <w:rPr>
                <w:rFonts w:ascii="Times New Roman" w:hAnsi="Times New Roman"/>
                <w:color w:val="000000"/>
                <w:sz w:val="24"/>
                <w:szCs w:val="24"/>
              </w:rPr>
              <w:t>2,00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jc w:val="center"/>
              <w:rPr>
                <w:rFonts w:ascii="Times New Roman" w:hAnsi="Times New Roman"/>
                <w:bCs/>
                <w:color w:val="000000"/>
                <w:sz w:val="24"/>
                <w:szCs w:val="24"/>
              </w:rPr>
            </w:pPr>
            <w:r w:rsidRPr="004F04F5">
              <w:rPr>
                <w:rFonts w:ascii="Times New Roman" w:hAnsi="Times New Roman"/>
                <w:bCs/>
                <w:color w:val="000000"/>
                <w:sz w:val="24"/>
                <w:szCs w:val="24"/>
              </w:rPr>
              <w:t>10,00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03D03" w:rsidRPr="004F04F5" w:rsidP="00503D03">
            <w:pPr>
              <w:bidi w:val="0"/>
              <w:jc w:val="center"/>
              <w:rPr>
                <w:rFonts w:ascii="Times New Roman" w:hAnsi="Times New Roman"/>
                <w:bCs/>
                <w:color w:val="000000"/>
                <w:sz w:val="24"/>
                <w:szCs w:val="24"/>
              </w:rPr>
            </w:pPr>
            <w:r w:rsidRPr="004F04F5">
              <w:rPr>
                <w:rFonts w:ascii="Times New Roman" w:hAnsi="Times New Roman"/>
                <w:bCs/>
                <w:color w:val="000000"/>
                <w:sz w:val="24"/>
                <w:szCs w:val="24"/>
              </w:rPr>
              <w:t>10,00</w:t>
            </w:r>
          </w:p>
        </w:tc>
      </w:tr>
    </w:tbl>
    <w:p w:rsidR="00050FE8" w:rsidP="007D5748">
      <w:pPr>
        <w:bidi w:val="0"/>
        <w:spacing w:after="0" w:line="240" w:lineRule="auto"/>
        <w:rPr>
          <w:rFonts w:ascii="Times New Roman" w:hAnsi="Times New Roman"/>
          <w:b/>
          <w:bCs/>
          <w:sz w:val="24"/>
          <w:szCs w:val="24"/>
          <w:lang w:eastAsia="sk-SK"/>
        </w:rPr>
      </w:pPr>
    </w:p>
    <w:p w:rsidR="007D5748" w:rsidRPr="007D5748" w:rsidP="007D5748">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2.2.4. Výpočty vplyvov na verejné financie</w:t>
      </w:r>
    </w:p>
    <w:p w:rsidR="007D5748" w:rsidRPr="007D5748" w:rsidP="00975686">
      <w:pPr>
        <w:bidi w:val="0"/>
        <w:spacing w:after="0" w:line="240" w:lineRule="auto"/>
        <w:rPr>
          <w:rFonts w:ascii="Times New Roman" w:hAnsi="Times New Roman"/>
          <w:sz w:val="24"/>
          <w:szCs w:val="24"/>
          <w:lang w:eastAsia="sk-SK"/>
        </w:rPr>
      </w:pPr>
    </w:p>
    <w:p w:rsidR="00050FE8" w:rsidRPr="00050FE8" w:rsidP="00975686">
      <w:pPr>
        <w:bidi w:val="0"/>
        <w:spacing w:line="240" w:lineRule="auto"/>
        <w:jc w:val="both"/>
        <w:rPr>
          <w:rFonts w:ascii="Times New Roman" w:hAnsi="Times New Roman"/>
          <w:sz w:val="24"/>
          <w:szCs w:val="24"/>
          <w:lang w:eastAsia="cs-CZ"/>
        </w:rPr>
      </w:pPr>
      <w:r w:rsidRPr="00050FE8">
        <w:rPr>
          <w:rFonts w:ascii="Times New Roman" w:hAnsi="Times New Roman"/>
          <w:sz w:val="24"/>
          <w:szCs w:val="24"/>
          <w:lang w:eastAsia="cs-CZ"/>
        </w:rPr>
        <w:t xml:space="preserve">Cieľom novely je transparentné stanovenie výšky </w:t>
      </w:r>
      <w:r w:rsidR="00B135F5">
        <w:rPr>
          <w:rFonts w:ascii="Times New Roman" w:hAnsi="Times New Roman"/>
          <w:sz w:val="24"/>
          <w:szCs w:val="24"/>
          <w:lang w:eastAsia="cs-CZ"/>
        </w:rPr>
        <w:t xml:space="preserve">správnych </w:t>
      </w:r>
      <w:r w:rsidRPr="00050FE8">
        <w:rPr>
          <w:rFonts w:ascii="Times New Roman" w:hAnsi="Times New Roman"/>
          <w:sz w:val="24"/>
          <w:szCs w:val="24"/>
          <w:lang w:eastAsia="cs-CZ"/>
        </w:rPr>
        <w:t>poplatkov tak, že sa doterajšia dlhodobo poddimenzovaná jediná položka správneho poplatku rozčlení na viacero kategórií, ktorých štruktúra zohľadní nové úlohy, ktoré vyplývajú pre S</w:t>
      </w:r>
      <w:r w:rsidR="00B135F5">
        <w:rPr>
          <w:rFonts w:ascii="Times New Roman" w:hAnsi="Times New Roman"/>
          <w:sz w:val="24"/>
          <w:szCs w:val="24"/>
          <w:lang w:eastAsia="cs-CZ"/>
        </w:rPr>
        <w:t>lovenskú republiku</w:t>
      </w:r>
      <w:r w:rsidRPr="00050FE8">
        <w:rPr>
          <w:rFonts w:ascii="Times New Roman" w:hAnsi="Times New Roman"/>
          <w:sz w:val="24"/>
          <w:szCs w:val="24"/>
          <w:lang w:eastAsia="cs-CZ"/>
        </w:rPr>
        <w:t xml:space="preserve"> z nariadenia. Doterajšia výška jediného správneho poplatku vo vzťahu ku klinickému skúšaniu liekov nebola dlhodobo aktualizovaná. Cieľom novely je transparentné stanovenie výšky poplatkov tak, že sa doterajšia dlhodobo poddimenzovaná jediná položka správneho poplatku rozčlení na viacero kategórií, ktorých štruktúra zohľadní úlohy, ktoré vyplývajú pre S</w:t>
      </w:r>
      <w:r w:rsidR="00B135F5">
        <w:rPr>
          <w:rFonts w:ascii="Times New Roman" w:hAnsi="Times New Roman"/>
          <w:sz w:val="24"/>
          <w:szCs w:val="24"/>
          <w:lang w:eastAsia="cs-CZ"/>
        </w:rPr>
        <w:t>lovenskú republiku</w:t>
      </w:r>
      <w:r w:rsidRPr="00050FE8">
        <w:rPr>
          <w:rFonts w:ascii="Times New Roman" w:hAnsi="Times New Roman"/>
          <w:sz w:val="24"/>
          <w:szCs w:val="24"/>
          <w:lang w:eastAsia="cs-CZ"/>
        </w:rPr>
        <w:t xml:space="preserve"> z nariadenia. </w:t>
      </w:r>
    </w:p>
    <w:p w:rsidR="00CA6532" w:rsidRPr="00CA6532" w:rsidP="00975686">
      <w:pPr>
        <w:tabs>
          <w:tab w:val="num" w:pos="1080"/>
        </w:tabs>
        <w:bidi w:val="0"/>
        <w:spacing w:after="0" w:line="240" w:lineRule="auto"/>
        <w:jc w:val="both"/>
        <w:rPr>
          <w:rFonts w:ascii="Times New Roman" w:hAnsi="Times New Roman"/>
          <w:bCs/>
          <w:sz w:val="24"/>
          <w:szCs w:val="24"/>
          <w:lang w:eastAsia="sk-SK"/>
        </w:rPr>
      </w:pPr>
      <w:r w:rsidRPr="00050FE8" w:rsidR="00050FE8">
        <w:rPr>
          <w:rFonts w:ascii="Times New Roman" w:hAnsi="Times New Roman"/>
          <w:sz w:val="24"/>
          <w:szCs w:val="24"/>
          <w:lang w:eastAsia="cs-CZ"/>
        </w:rPr>
        <w:t>Pri odhadoch objemu finančných prostriedkov, ktoré budú mať vplyv na príjmovú časť rozpočtu verejnej správy sa vychádzalo z predpokladaných nákladov na jednotlivé úkony ŠÚKLu a</w:t>
      </w:r>
      <w:r>
        <w:rPr>
          <w:rFonts w:ascii="Times New Roman" w:hAnsi="Times New Roman"/>
          <w:sz w:val="24"/>
          <w:szCs w:val="24"/>
          <w:lang w:eastAsia="cs-CZ"/>
        </w:rPr>
        <w:t> </w:t>
      </w:r>
      <w:r w:rsidRPr="00050FE8" w:rsidR="00050FE8">
        <w:rPr>
          <w:rFonts w:ascii="Times New Roman" w:hAnsi="Times New Roman"/>
          <w:sz w:val="24"/>
          <w:szCs w:val="24"/>
          <w:lang w:eastAsia="cs-CZ"/>
        </w:rPr>
        <w:t>Etickej</w:t>
      </w:r>
      <w:r>
        <w:rPr>
          <w:rFonts w:ascii="Times New Roman" w:hAnsi="Times New Roman"/>
          <w:bCs/>
          <w:sz w:val="24"/>
          <w:szCs w:val="24"/>
          <w:lang w:eastAsia="sk-SK"/>
        </w:rPr>
        <w:t xml:space="preserve"> </w:t>
      </w:r>
      <w:r w:rsidRPr="00CA6532">
        <w:rPr>
          <w:rFonts w:ascii="Times New Roman" w:hAnsi="Times New Roman"/>
          <w:sz w:val="24"/>
          <w:szCs w:val="24"/>
          <w:lang w:eastAsia="cs-CZ"/>
        </w:rPr>
        <w:t>komisie pre klinické skúšanie, ktoré sa vzťahujú na konkrétny úkon. Pri odhadovaní nákladov bola zohľadnená náročnosť posudzovania klinického skúšania, charakter klinického skúšania ako aj typ skúšaného lieku. Zároveň bolo od</w:t>
      </w:r>
      <w:r w:rsidR="00B135F5">
        <w:rPr>
          <w:rFonts w:ascii="Times New Roman" w:hAnsi="Times New Roman"/>
          <w:sz w:val="24"/>
          <w:szCs w:val="24"/>
          <w:lang w:eastAsia="cs-CZ"/>
        </w:rPr>
        <w:t>líšené,</w:t>
      </w:r>
      <w:r w:rsidRPr="00CA6532">
        <w:rPr>
          <w:rFonts w:ascii="Times New Roman" w:hAnsi="Times New Roman"/>
          <w:sz w:val="24"/>
          <w:szCs w:val="24"/>
          <w:lang w:eastAsia="cs-CZ"/>
        </w:rPr>
        <w:t xml:space="preserve"> či S</w:t>
      </w:r>
      <w:r w:rsidR="00B135F5">
        <w:rPr>
          <w:rFonts w:ascii="Times New Roman" w:hAnsi="Times New Roman"/>
          <w:sz w:val="24"/>
          <w:szCs w:val="24"/>
          <w:lang w:eastAsia="cs-CZ"/>
        </w:rPr>
        <w:t>lovenská republika</w:t>
      </w:r>
      <w:r w:rsidRPr="00CA6532">
        <w:rPr>
          <w:rFonts w:ascii="Times New Roman" w:hAnsi="Times New Roman"/>
          <w:sz w:val="24"/>
          <w:szCs w:val="24"/>
          <w:lang w:eastAsia="cs-CZ"/>
        </w:rPr>
        <w:t xml:space="preserve"> plní alebo neplní úlohy spravodajského členského štátu. Tieto rozdiely v náročnosti posudzovania klinického skúšania boli náležite odstupňované prepočtom špecifických sadzieb poplatkov zodpovedajúcimi koeficientmi.</w:t>
      </w:r>
    </w:p>
    <w:p w:rsidR="00CA6532" w:rsidRPr="00CA6532" w:rsidP="00975686">
      <w:pPr>
        <w:bidi w:val="0"/>
        <w:spacing w:line="240" w:lineRule="auto"/>
        <w:jc w:val="both"/>
        <w:rPr>
          <w:rFonts w:ascii="Times New Roman" w:hAnsi="Times New Roman"/>
          <w:i/>
          <w:iCs/>
          <w:sz w:val="24"/>
          <w:szCs w:val="24"/>
        </w:rPr>
      </w:pPr>
    </w:p>
    <w:p w:rsidR="00CA6532" w:rsidP="00975686">
      <w:pPr>
        <w:bidi w:val="0"/>
        <w:spacing w:line="240" w:lineRule="auto"/>
        <w:jc w:val="both"/>
        <w:rPr>
          <w:rFonts w:ascii="Times New Roman" w:hAnsi="Times New Roman"/>
          <w:sz w:val="24"/>
          <w:szCs w:val="24"/>
          <w:lang w:eastAsia="cs-CZ"/>
        </w:rPr>
      </w:pPr>
      <w:r w:rsidRPr="00CA6532">
        <w:rPr>
          <w:rFonts w:ascii="Times New Roman" w:hAnsi="Times New Roman"/>
          <w:sz w:val="24"/>
          <w:szCs w:val="24"/>
          <w:lang w:eastAsia="cs-CZ"/>
        </w:rPr>
        <w:t xml:space="preserve">Predkladaný návrh zároveň </w:t>
      </w:r>
      <w:r w:rsidR="00606761">
        <w:rPr>
          <w:rFonts w:ascii="Times New Roman" w:hAnsi="Times New Roman"/>
          <w:sz w:val="24"/>
          <w:szCs w:val="24"/>
          <w:lang w:eastAsia="cs-CZ"/>
        </w:rPr>
        <w:t>zohľadňuje</w:t>
      </w:r>
      <w:r w:rsidRPr="00CA6532">
        <w:rPr>
          <w:rFonts w:ascii="Times New Roman" w:hAnsi="Times New Roman"/>
          <w:sz w:val="24"/>
          <w:szCs w:val="24"/>
          <w:lang w:eastAsia="cs-CZ"/>
        </w:rPr>
        <w:t xml:space="preserve"> odporúčanie nariadenia, ktoré v záujme maximalizácie hodnotného príspevku nekomerčných zadávateľov a ďalšieho podne</w:t>
      </w:r>
      <w:r w:rsidR="008051EE">
        <w:rPr>
          <w:rFonts w:ascii="Times New Roman" w:hAnsi="Times New Roman"/>
          <w:sz w:val="24"/>
          <w:szCs w:val="24"/>
          <w:lang w:eastAsia="cs-CZ"/>
        </w:rPr>
        <w:t>covania ich výskumu, ale bez akého</w:t>
      </w:r>
      <w:r w:rsidRPr="00CA6532">
        <w:rPr>
          <w:rFonts w:ascii="Times New Roman" w:hAnsi="Times New Roman"/>
          <w:sz w:val="24"/>
          <w:szCs w:val="24"/>
          <w:lang w:eastAsia="cs-CZ"/>
        </w:rPr>
        <w:t>koľvek ohrozenia kvality klinických skúšaní odporúča členským štátom zaviesť opatrenia na podnecovanie týchto zadávateľov k vykonávaniu klinických skúšaní. Podľa predloženého návrhu uhradí nekomerčný zadávateľ 30% sadzby poplatkov a v prípade výkonu inšpekcie správnej klinickej prax</w:t>
      </w:r>
      <w:r w:rsidR="006E4269">
        <w:rPr>
          <w:rFonts w:ascii="Times New Roman" w:hAnsi="Times New Roman"/>
          <w:sz w:val="24"/>
          <w:szCs w:val="24"/>
          <w:lang w:eastAsia="cs-CZ"/>
        </w:rPr>
        <w:t xml:space="preserve">e je od poplatkov oslobodený.  </w:t>
      </w:r>
    </w:p>
    <w:p w:rsidR="00CA6532" w:rsidRPr="00CA6532" w:rsidP="00975686">
      <w:pPr>
        <w:bidi w:val="0"/>
        <w:spacing w:line="240" w:lineRule="auto"/>
        <w:jc w:val="both"/>
        <w:rPr>
          <w:rFonts w:ascii="Times New Roman" w:hAnsi="Times New Roman"/>
          <w:sz w:val="24"/>
          <w:szCs w:val="24"/>
          <w:lang w:eastAsia="cs-CZ"/>
        </w:rPr>
      </w:pPr>
      <w:r w:rsidR="00F23F33">
        <w:rPr>
          <w:rFonts w:ascii="Times New Roman" w:hAnsi="Times New Roman"/>
          <w:sz w:val="24"/>
          <w:szCs w:val="24"/>
          <w:lang w:eastAsia="cs-CZ"/>
        </w:rPr>
        <w:t xml:space="preserve">Od </w:t>
      </w:r>
      <w:r w:rsidRPr="00CA6532">
        <w:rPr>
          <w:rFonts w:ascii="Times New Roman" w:hAnsi="Times New Roman"/>
          <w:sz w:val="24"/>
          <w:szCs w:val="24"/>
          <w:lang w:eastAsia="cs-CZ"/>
        </w:rPr>
        <w:t xml:space="preserve">nadobudnutia účinnosti zákona sa </w:t>
      </w:r>
      <w:r w:rsidR="00606761">
        <w:rPr>
          <w:rFonts w:ascii="Times New Roman" w:hAnsi="Times New Roman"/>
          <w:sz w:val="24"/>
          <w:szCs w:val="24"/>
          <w:lang w:eastAsia="cs-CZ"/>
        </w:rPr>
        <w:t xml:space="preserve">predpokladá, že sa </w:t>
      </w:r>
      <w:r w:rsidRPr="00CA6532">
        <w:rPr>
          <w:rFonts w:ascii="Times New Roman" w:hAnsi="Times New Roman"/>
          <w:sz w:val="24"/>
          <w:szCs w:val="24"/>
          <w:lang w:eastAsia="cs-CZ"/>
        </w:rPr>
        <w:t xml:space="preserve">začne </w:t>
      </w:r>
      <w:r w:rsidR="00F23F33">
        <w:rPr>
          <w:rFonts w:ascii="Times New Roman" w:hAnsi="Times New Roman"/>
          <w:sz w:val="24"/>
          <w:szCs w:val="24"/>
          <w:lang w:eastAsia="cs-CZ"/>
        </w:rPr>
        <w:t xml:space="preserve">postupne </w:t>
      </w:r>
      <w:r w:rsidRPr="00CA6532">
        <w:rPr>
          <w:rFonts w:ascii="Times New Roman" w:hAnsi="Times New Roman"/>
          <w:sz w:val="24"/>
          <w:szCs w:val="24"/>
          <w:lang w:eastAsia="cs-CZ"/>
        </w:rPr>
        <w:t>uplatňovať nariadenie</w:t>
      </w:r>
      <w:r w:rsidR="00F23F33">
        <w:rPr>
          <w:rFonts w:ascii="Times New Roman" w:hAnsi="Times New Roman"/>
          <w:sz w:val="24"/>
          <w:szCs w:val="24"/>
          <w:lang w:eastAsia="cs-CZ"/>
        </w:rPr>
        <w:t xml:space="preserve"> a postupne sa prestane  používať súčasný systém povoľovania sa</w:t>
      </w:r>
      <w:r w:rsidRPr="00CA6532">
        <w:rPr>
          <w:rFonts w:ascii="Times New Roman" w:hAnsi="Times New Roman"/>
          <w:sz w:val="24"/>
          <w:szCs w:val="24"/>
          <w:lang w:eastAsia="cs-CZ"/>
        </w:rPr>
        <w:t xml:space="preserve"> </w:t>
      </w:r>
      <w:r w:rsidR="00F23F33">
        <w:rPr>
          <w:rFonts w:ascii="Times New Roman" w:hAnsi="Times New Roman"/>
          <w:sz w:val="24"/>
          <w:szCs w:val="24"/>
          <w:lang w:eastAsia="cs-CZ"/>
        </w:rPr>
        <w:t xml:space="preserve">príjmy zo správnych poplatkov budú postupne zvyšovať a nakoniec sa výrazne zvýšia zo </w:t>
      </w:r>
      <w:r w:rsidRPr="00CA6532" w:rsidR="00F23F33">
        <w:rPr>
          <w:rFonts w:ascii="Times New Roman" w:hAnsi="Times New Roman"/>
          <w:sz w:val="24"/>
          <w:szCs w:val="24"/>
          <w:lang w:eastAsia="cs-CZ"/>
        </w:rPr>
        <w:t>súčasných 31 161</w:t>
      </w:r>
      <w:r w:rsidR="00F23F33">
        <w:rPr>
          <w:rFonts w:ascii="Times New Roman" w:hAnsi="Times New Roman"/>
          <w:sz w:val="24"/>
          <w:szCs w:val="24"/>
          <w:lang w:eastAsia="cs-CZ"/>
        </w:rPr>
        <w:t>eur</w:t>
      </w:r>
      <w:r w:rsidRPr="00CA6532" w:rsidR="00F23F33">
        <w:rPr>
          <w:rFonts w:ascii="Times New Roman" w:hAnsi="Times New Roman"/>
          <w:sz w:val="24"/>
          <w:szCs w:val="24"/>
          <w:lang w:eastAsia="cs-CZ"/>
        </w:rPr>
        <w:t xml:space="preserve"> na 762 962</w:t>
      </w:r>
      <w:r w:rsidR="00F23F33">
        <w:rPr>
          <w:rFonts w:ascii="Times New Roman" w:hAnsi="Times New Roman"/>
          <w:sz w:val="24"/>
          <w:szCs w:val="24"/>
          <w:lang w:eastAsia="cs-CZ"/>
        </w:rPr>
        <w:t xml:space="preserve"> eur </w:t>
      </w:r>
      <w:r w:rsidRPr="00CA6532" w:rsidR="00F23F33">
        <w:rPr>
          <w:rFonts w:ascii="Times New Roman" w:hAnsi="Times New Roman"/>
          <w:sz w:val="24"/>
          <w:szCs w:val="24"/>
          <w:lang w:eastAsia="cs-CZ"/>
        </w:rPr>
        <w:t>ročne</w:t>
      </w:r>
      <w:r w:rsidR="00F23F33">
        <w:rPr>
          <w:rFonts w:ascii="Times New Roman" w:hAnsi="Times New Roman"/>
          <w:sz w:val="24"/>
          <w:szCs w:val="24"/>
          <w:lang w:eastAsia="cs-CZ"/>
        </w:rPr>
        <w:t xml:space="preserve">. </w:t>
      </w:r>
    </w:p>
    <w:p w:rsidR="007D5748" w:rsidRPr="00CA6532" w:rsidP="00975686">
      <w:pPr>
        <w:tabs>
          <w:tab w:val="num" w:pos="1080"/>
        </w:tabs>
        <w:bidi w:val="0"/>
        <w:spacing w:after="0" w:line="240" w:lineRule="auto"/>
        <w:jc w:val="both"/>
        <w:rPr>
          <w:rFonts w:ascii="Times New Roman" w:hAnsi="Times New Roman"/>
          <w:bCs/>
          <w:sz w:val="24"/>
          <w:szCs w:val="24"/>
          <w:lang w:eastAsia="sk-SK"/>
        </w:rPr>
        <w:sectPr w:rsidSect="0004075F">
          <w:headerReference w:type="even" r:id="rId4"/>
          <w:headerReference w:type="default" r:id="rId5"/>
          <w:footerReference w:type="even" r:id="rId6"/>
          <w:footerReference w:type="default" r:id="rId7"/>
          <w:headerReference w:type="first" r:id="rId8"/>
          <w:footerReference w:type="first" r:id="rId9"/>
          <w:type w:val="continuous"/>
          <w:pgSz w:w="11906" w:h="16838"/>
          <w:pgMar w:top="1417" w:right="1417" w:bottom="1417" w:left="1417" w:header="708" w:footer="708" w:gutter="0"/>
          <w:lnNumType w:distance="0"/>
          <w:pgNumType w:start="6"/>
          <w:cols w:space="708"/>
          <w:noEndnote w:val="0"/>
          <w:bidi w:val="0"/>
          <w:docGrid w:linePitch="360"/>
        </w:sectPr>
      </w:pPr>
    </w:p>
    <w:p w:rsidR="007D5748" w:rsidRPr="00E72448" w:rsidP="00E72448">
      <w:pPr>
        <w:tabs>
          <w:tab w:val="num" w:pos="1080"/>
        </w:tabs>
        <w:bidi w:val="0"/>
        <w:spacing w:after="0" w:line="240" w:lineRule="auto"/>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Tabuľka č. 3 </w:t>
      </w: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7D5748" w:rsidRPr="007D5748" w:rsidP="007D5748">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7D5748" w:rsidP="007D5748">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7D5748" w:rsidRPr="007D5748" w:rsidP="007D5748">
            <w:pPr>
              <w:bidi w:val="0"/>
              <w:spacing w:after="0" w:line="240" w:lineRule="auto"/>
              <w:rPr>
                <w:rFonts w:ascii="Times New Roman" w:hAnsi="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7D5748" w:rsidP="004C1D7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sidR="00C5282E">
              <w:rPr>
                <w:rFonts w:ascii="Times New Roman" w:hAnsi="Times New Roman"/>
                <w:b/>
                <w:bCs/>
                <w:sz w:val="24"/>
                <w:szCs w:val="24"/>
                <w:lang w:eastAsia="sk-SK"/>
              </w:rPr>
              <w:t>. 201</w:t>
            </w:r>
            <w:r w:rsidR="004C1D70">
              <w:rPr>
                <w:rFonts w:ascii="Times New Roman" w:hAnsi="Times New Roman"/>
                <w:b/>
                <w:bCs/>
                <w:sz w:val="24"/>
                <w:szCs w:val="24"/>
                <w:lang w:eastAsia="sk-SK"/>
              </w:rPr>
              <w:t>8</w:t>
            </w: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7D5748" w:rsidP="004C1D7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sidR="00C5282E">
              <w:rPr>
                <w:rFonts w:ascii="Times New Roman" w:hAnsi="Times New Roman"/>
                <w:b/>
                <w:bCs/>
                <w:sz w:val="24"/>
                <w:szCs w:val="24"/>
                <w:lang w:eastAsia="sk-SK"/>
              </w:rPr>
              <w:t>. 201</w:t>
            </w:r>
            <w:r w:rsidR="004C1D70">
              <w:rPr>
                <w:rFonts w:ascii="Times New Roman" w:hAnsi="Times New Roman"/>
                <w:b/>
                <w:bCs/>
                <w:sz w:val="24"/>
                <w:szCs w:val="24"/>
                <w:lang w:eastAsia="sk-SK"/>
              </w:rPr>
              <w:t>9</w:t>
            </w: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7D5748" w:rsidP="004C1D70">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sidR="00C5282E">
              <w:rPr>
                <w:rFonts w:ascii="Times New Roman" w:hAnsi="Times New Roman"/>
                <w:b/>
                <w:bCs/>
                <w:sz w:val="24"/>
                <w:szCs w:val="24"/>
                <w:lang w:eastAsia="sk-SK"/>
              </w:rPr>
              <w:t>. 20</w:t>
            </w:r>
            <w:r w:rsidR="004C1D70">
              <w:rPr>
                <w:rFonts w:ascii="Times New Roman" w:hAnsi="Times New Roman"/>
                <w:b/>
                <w:bCs/>
                <w:sz w:val="24"/>
                <w:szCs w:val="24"/>
                <w:lang w:eastAsia="sk-SK"/>
              </w:rPr>
              <w:t>20</w:t>
            </w: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7D5748" w:rsidP="00C5282E">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sidR="004C1D70">
              <w:rPr>
                <w:rFonts w:ascii="Times New Roman" w:hAnsi="Times New Roman"/>
                <w:b/>
                <w:bCs/>
                <w:sz w:val="24"/>
                <w:szCs w:val="24"/>
                <w:lang w:eastAsia="sk-SK"/>
              </w:rPr>
              <w:t>. 2021</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7D5748" w:rsidRPr="007D5748" w:rsidP="007D5748">
            <w:pPr>
              <w:bidi w:val="0"/>
              <w:spacing w:after="0" w:line="240" w:lineRule="auto"/>
              <w:rPr>
                <w:rFonts w:ascii="Times New Roman" w:hAnsi="Times New Roman"/>
                <w:b/>
                <w:bCs/>
                <w:color w:val="FFFFFF"/>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C5282E" w:rsidRPr="007D5748" w:rsidP="00C5282E">
            <w:pPr>
              <w:bidi w:val="0"/>
              <w:spacing w:after="0" w:line="240" w:lineRule="auto"/>
              <w:rPr>
                <w:rFonts w:ascii="Times New Roman" w:hAnsi="Times New Roman"/>
                <w:b/>
                <w:bCs/>
                <w:sz w:val="24"/>
                <w:szCs w:val="24"/>
                <w:vertAlign w:val="superscript"/>
                <w:lang w:eastAsia="sk-SK"/>
              </w:rPr>
            </w:pPr>
            <w:r w:rsidRPr="007D5748">
              <w:rPr>
                <w:rFonts w:ascii="Times New Roman" w:hAnsi="Times New Roman"/>
                <w:b/>
                <w:bCs/>
                <w:sz w:val="24"/>
                <w:szCs w:val="24"/>
                <w:lang w:eastAsia="sk-SK"/>
              </w:rPr>
              <w:t>Daňové príjmy (100)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C5282E" w:rsidP="00C5282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0</w:t>
            </w:r>
          </w:p>
        </w:tc>
        <w:tc>
          <w:tcPr>
            <w:tcW w:w="1500" w:type="dxa"/>
            <w:tcBorders>
              <w:top w:val="nil"/>
              <w:left w:val="nil"/>
              <w:bottom w:val="single" w:sz="4" w:space="0" w:color="auto"/>
              <w:right w:val="single" w:sz="4" w:space="0" w:color="auto"/>
            </w:tcBorders>
            <w:textDirection w:val="lrTb"/>
            <w:vAlign w:val="top"/>
          </w:tcPr>
          <w:p w:rsidR="00C5282E" w:rsidP="00C5282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0 </w:t>
            </w:r>
          </w:p>
        </w:tc>
        <w:tc>
          <w:tcPr>
            <w:tcW w:w="1500" w:type="dxa"/>
            <w:tcBorders>
              <w:top w:val="nil"/>
              <w:left w:val="nil"/>
              <w:bottom w:val="single" w:sz="4" w:space="0" w:color="auto"/>
              <w:right w:val="single" w:sz="4" w:space="0" w:color="auto"/>
            </w:tcBorders>
            <w:textDirection w:val="lrTb"/>
            <w:vAlign w:val="top"/>
          </w:tcPr>
          <w:p w:rsidR="00C5282E" w:rsidP="00C5282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0 </w:t>
            </w:r>
          </w:p>
        </w:tc>
        <w:tc>
          <w:tcPr>
            <w:tcW w:w="1500" w:type="dxa"/>
            <w:tcBorders>
              <w:top w:val="nil"/>
              <w:left w:val="nil"/>
              <w:bottom w:val="single" w:sz="4" w:space="0" w:color="auto"/>
              <w:right w:val="single" w:sz="4" w:space="0" w:color="auto"/>
            </w:tcBorders>
            <w:textDirection w:val="lrTb"/>
            <w:vAlign w:val="top"/>
          </w:tcPr>
          <w:p w:rsidR="00C5282E" w:rsidP="00C5282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0 </w:t>
            </w:r>
          </w:p>
        </w:tc>
        <w:tc>
          <w:tcPr>
            <w:tcW w:w="3000" w:type="dxa"/>
            <w:tcBorders>
              <w:top w:val="nil"/>
              <w:left w:val="nil"/>
              <w:bottom w:val="single" w:sz="4" w:space="0" w:color="auto"/>
              <w:right w:val="single" w:sz="4" w:space="0" w:color="auto"/>
            </w:tcBorders>
            <w:noWrap/>
            <w:textDirection w:val="lrTb"/>
            <w:vAlign w:val="bottom"/>
          </w:tcPr>
          <w:p w:rsidR="00C5282E" w:rsidRPr="007D5748" w:rsidP="00C5282E">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C5282E" w:rsidRPr="007D5748" w:rsidP="00C5282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Nedaňové príjmy (200)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C5282E" w:rsidRPr="007D5748" w:rsidP="00C5282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C5282E" w:rsidRPr="007D5748" w:rsidP="004C1D70">
            <w:pPr>
              <w:bidi w:val="0"/>
              <w:spacing w:after="0" w:line="240" w:lineRule="auto"/>
              <w:jc w:val="center"/>
              <w:rPr>
                <w:rFonts w:ascii="Times New Roman" w:hAnsi="Times New Roman"/>
                <w:b/>
                <w:bCs/>
                <w:sz w:val="24"/>
                <w:szCs w:val="24"/>
                <w:lang w:eastAsia="sk-SK"/>
              </w:rPr>
            </w:pPr>
            <w:r w:rsidR="004C1D70">
              <w:rPr>
                <w:rFonts w:ascii="Times New Roman" w:hAnsi="Times New Roman"/>
                <w:b/>
                <w:bCs/>
                <w:sz w:val="24"/>
                <w:szCs w:val="24"/>
                <w:lang w:eastAsia="sk-SK"/>
              </w:rPr>
              <w:t>762 962,54</w:t>
            </w:r>
          </w:p>
        </w:tc>
        <w:tc>
          <w:tcPr>
            <w:tcW w:w="1500" w:type="dxa"/>
            <w:tcBorders>
              <w:top w:val="nil"/>
              <w:left w:val="nil"/>
              <w:bottom w:val="single" w:sz="4" w:space="0" w:color="auto"/>
              <w:right w:val="single" w:sz="4" w:space="0" w:color="auto"/>
            </w:tcBorders>
            <w:textDirection w:val="lrTb"/>
            <w:vAlign w:val="top"/>
          </w:tcPr>
          <w:p w:rsidR="00C5282E" w:rsidRPr="007D5748" w:rsidP="00C5282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762 962,54</w:t>
            </w:r>
          </w:p>
        </w:tc>
        <w:tc>
          <w:tcPr>
            <w:tcW w:w="1500" w:type="dxa"/>
            <w:tcBorders>
              <w:top w:val="nil"/>
              <w:left w:val="nil"/>
              <w:bottom w:val="single" w:sz="4" w:space="0" w:color="auto"/>
              <w:right w:val="single" w:sz="4" w:space="0" w:color="auto"/>
            </w:tcBorders>
            <w:textDirection w:val="lrTb"/>
            <w:vAlign w:val="top"/>
          </w:tcPr>
          <w:p w:rsidR="00C5282E" w:rsidRPr="007D5748" w:rsidP="00C5282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762 962,54</w:t>
            </w:r>
          </w:p>
        </w:tc>
        <w:tc>
          <w:tcPr>
            <w:tcW w:w="3000" w:type="dxa"/>
            <w:tcBorders>
              <w:top w:val="nil"/>
              <w:left w:val="nil"/>
              <w:bottom w:val="single" w:sz="4" w:space="0" w:color="auto"/>
              <w:right w:val="single" w:sz="4" w:space="0" w:color="auto"/>
            </w:tcBorders>
            <w:noWrap/>
            <w:textDirection w:val="lrTb"/>
            <w:vAlign w:val="bottom"/>
          </w:tcPr>
          <w:p w:rsidR="00C5282E" w:rsidRPr="007D5748" w:rsidP="00C5282E">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C5282E" w:rsidRPr="007D5748" w:rsidP="00C5282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Granty a transfery (300)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C5282E" w:rsidP="00C5282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0</w:t>
            </w:r>
          </w:p>
        </w:tc>
        <w:tc>
          <w:tcPr>
            <w:tcW w:w="1500" w:type="dxa"/>
            <w:tcBorders>
              <w:top w:val="nil"/>
              <w:left w:val="nil"/>
              <w:bottom w:val="single" w:sz="4" w:space="0" w:color="auto"/>
              <w:right w:val="single" w:sz="4" w:space="0" w:color="auto"/>
            </w:tcBorders>
            <w:textDirection w:val="lrTb"/>
            <w:vAlign w:val="top"/>
          </w:tcPr>
          <w:p w:rsidR="00C5282E" w:rsidP="00C5282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0 </w:t>
            </w:r>
          </w:p>
        </w:tc>
        <w:tc>
          <w:tcPr>
            <w:tcW w:w="1500" w:type="dxa"/>
            <w:tcBorders>
              <w:top w:val="nil"/>
              <w:left w:val="nil"/>
              <w:bottom w:val="single" w:sz="4" w:space="0" w:color="auto"/>
              <w:right w:val="single" w:sz="4" w:space="0" w:color="auto"/>
            </w:tcBorders>
            <w:textDirection w:val="lrTb"/>
            <w:vAlign w:val="top"/>
          </w:tcPr>
          <w:p w:rsidR="00C5282E" w:rsidP="00C5282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0 </w:t>
            </w:r>
          </w:p>
        </w:tc>
        <w:tc>
          <w:tcPr>
            <w:tcW w:w="1500" w:type="dxa"/>
            <w:tcBorders>
              <w:top w:val="nil"/>
              <w:left w:val="nil"/>
              <w:bottom w:val="single" w:sz="4" w:space="0" w:color="auto"/>
              <w:right w:val="single" w:sz="4" w:space="0" w:color="auto"/>
            </w:tcBorders>
            <w:textDirection w:val="lrTb"/>
            <w:vAlign w:val="top"/>
          </w:tcPr>
          <w:p w:rsidR="00C5282E" w:rsidP="00C5282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0 </w:t>
            </w:r>
          </w:p>
        </w:tc>
        <w:tc>
          <w:tcPr>
            <w:tcW w:w="3000" w:type="dxa"/>
            <w:tcBorders>
              <w:top w:val="nil"/>
              <w:left w:val="nil"/>
              <w:bottom w:val="single" w:sz="4" w:space="0" w:color="auto"/>
              <w:right w:val="single" w:sz="4" w:space="0" w:color="auto"/>
            </w:tcBorders>
            <w:noWrap/>
            <w:textDirection w:val="lrTb"/>
            <w:vAlign w:val="bottom"/>
          </w:tcPr>
          <w:p w:rsidR="00C5282E" w:rsidRPr="007D5748" w:rsidP="00C5282E">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C5282E" w:rsidRPr="007D5748" w:rsidP="00C5282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center"/>
          </w:tcPr>
          <w:p w:rsidR="00C5282E" w:rsidP="00C5282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0</w:t>
            </w:r>
          </w:p>
        </w:tc>
        <w:tc>
          <w:tcPr>
            <w:tcW w:w="1500" w:type="dxa"/>
            <w:tcBorders>
              <w:top w:val="nil"/>
              <w:left w:val="nil"/>
              <w:bottom w:val="single" w:sz="4" w:space="0" w:color="auto"/>
              <w:right w:val="single" w:sz="4" w:space="0" w:color="auto"/>
            </w:tcBorders>
            <w:shd w:val="clear" w:color="auto" w:fill="FFFF99"/>
            <w:textDirection w:val="lrTb"/>
            <w:vAlign w:val="center"/>
          </w:tcPr>
          <w:p w:rsidR="00C5282E" w:rsidP="00C5282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0 </w:t>
            </w:r>
          </w:p>
        </w:tc>
        <w:tc>
          <w:tcPr>
            <w:tcW w:w="1500" w:type="dxa"/>
            <w:tcBorders>
              <w:top w:val="nil"/>
              <w:left w:val="nil"/>
              <w:bottom w:val="single" w:sz="4" w:space="0" w:color="auto"/>
              <w:right w:val="single" w:sz="4" w:space="0" w:color="auto"/>
            </w:tcBorders>
            <w:shd w:val="clear" w:color="auto" w:fill="FFFF99"/>
            <w:textDirection w:val="lrTb"/>
            <w:vAlign w:val="center"/>
          </w:tcPr>
          <w:p w:rsidR="00C5282E" w:rsidP="00C5282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0 </w:t>
            </w:r>
          </w:p>
        </w:tc>
        <w:tc>
          <w:tcPr>
            <w:tcW w:w="1500" w:type="dxa"/>
            <w:tcBorders>
              <w:top w:val="nil"/>
              <w:left w:val="nil"/>
              <w:bottom w:val="single" w:sz="4" w:space="0" w:color="auto"/>
              <w:right w:val="single" w:sz="4" w:space="0" w:color="auto"/>
            </w:tcBorders>
            <w:shd w:val="clear" w:color="auto" w:fill="FFFF99"/>
            <w:textDirection w:val="lrTb"/>
            <w:vAlign w:val="center"/>
          </w:tcPr>
          <w:p w:rsidR="00C5282E" w:rsidP="00C5282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0 </w:t>
            </w:r>
          </w:p>
        </w:tc>
        <w:tc>
          <w:tcPr>
            <w:tcW w:w="3000" w:type="dxa"/>
            <w:tcBorders>
              <w:top w:val="nil"/>
              <w:left w:val="nil"/>
              <w:bottom w:val="single" w:sz="4" w:space="0" w:color="auto"/>
              <w:right w:val="single" w:sz="4" w:space="0" w:color="auto"/>
            </w:tcBorders>
            <w:noWrap/>
            <w:textDirection w:val="lrTb"/>
            <w:vAlign w:val="bottom"/>
          </w:tcPr>
          <w:p w:rsidR="00C5282E" w:rsidRPr="007D5748" w:rsidP="00C5282E">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C5282E" w:rsidRPr="007D5748" w:rsidP="00C5282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center"/>
          </w:tcPr>
          <w:p w:rsidR="00C5282E" w:rsidP="00C5282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0</w:t>
            </w:r>
          </w:p>
        </w:tc>
        <w:tc>
          <w:tcPr>
            <w:tcW w:w="1500" w:type="dxa"/>
            <w:tcBorders>
              <w:top w:val="nil"/>
              <w:left w:val="nil"/>
              <w:bottom w:val="single" w:sz="4" w:space="0" w:color="auto"/>
              <w:right w:val="single" w:sz="4" w:space="0" w:color="auto"/>
            </w:tcBorders>
            <w:shd w:val="clear" w:color="auto" w:fill="FFFF99"/>
            <w:textDirection w:val="lrTb"/>
            <w:vAlign w:val="center"/>
          </w:tcPr>
          <w:p w:rsidR="00C5282E" w:rsidP="00C5282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0 </w:t>
            </w:r>
          </w:p>
        </w:tc>
        <w:tc>
          <w:tcPr>
            <w:tcW w:w="1500" w:type="dxa"/>
            <w:tcBorders>
              <w:top w:val="nil"/>
              <w:left w:val="nil"/>
              <w:bottom w:val="single" w:sz="4" w:space="0" w:color="auto"/>
              <w:right w:val="single" w:sz="4" w:space="0" w:color="auto"/>
            </w:tcBorders>
            <w:shd w:val="clear" w:color="auto" w:fill="FFFF99"/>
            <w:textDirection w:val="lrTb"/>
            <w:vAlign w:val="center"/>
          </w:tcPr>
          <w:p w:rsidR="00C5282E" w:rsidP="00C5282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0 </w:t>
            </w:r>
          </w:p>
        </w:tc>
        <w:tc>
          <w:tcPr>
            <w:tcW w:w="1500" w:type="dxa"/>
            <w:tcBorders>
              <w:top w:val="nil"/>
              <w:left w:val="nil"/>
              <w:bottom w:val="single" w:sz="4" w:space="0" w:color="auto"/>
              <w:right w:val="single" w:sz="4" w:space="0" w:color="auto"/>
            </w:tcBorders>
            <w:shd w:val="clear" w:color="auto" w:fill="FFFF99"/>
            <w:textDirection w:val="lrTb"/>
            <w:vAlign w:val="center"/>
          </w:tcPr>
          <w:p w:rsidR="00C5282E" w:rsidP="00C5282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0 </w:t>
            </w:r>
          </w:p>
        </w:tc>
        <w:tc>
          <w:tcPr>
            <w:tcW w:w="3000" w:type="dxa"/>
            <w:tcBorders>
              <w:top w:val="nil"/>
              <w:left w:val="nil"/>
              <w:bottom w:val="single" w:sz="4" w:space="0" w:color="auto"/>
              <w:right w:val="single" w:sz="4" w:space="0" w:color="auto"/>
            </w:tcBorders>
            <w:noWrap/>
            <w:textDirection w:val="lrTb"/>
            <w:vAlign w:val="bottom"/>
          </w:tcPr>
          <w:p w:rsidR="00C5282E" w:rsidRPr="007D5748" w:rsidP="00C5282E">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C5282E" w:rsidRPr="007D5748" w:rsidP="00C5282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C5282E" w:rsidRPr="007D5748" w:rsidP="00C5282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C5282E" w:rsidRPr="007D5748" w:rsidP="00C5282E">
            <w:pPr>
              <w:bidi w:val="0"/>
              <w:spacing w:after="0" w:line="240" w:lineRule="auto"/>
              <w:jc w:val="center"/>
              <w:rPr>
                <w:rFonts w:ascii="Times New Roman" w:hAnsi="Times New Roman"/>
                <w:b/>
                <w:bCs/>
                <w:sz w:val="24"/>
                <w:szCs w:val="24"/>
                <w:lang w:eastAsia="sk-SK"/>
              </w:rPr>
            </w:pPr>
            <w:r w:rsidR="004C1D70">
              <w:rPr>
                <w:rFonts w:ascii="Times New Roman" w:hAnsi="Times New Roman"/>
                <w:b/>
                <w:bCs/>
                <w:sz w:val="24"/>
                <w:szCs w:val="24"/>
                <w:lang w:eastAsia="sk-SK"/>
              </w:rPr>
              <w:t>762 962,54</w:t>
            </w:r>
          </w:p>
        </w:tc>
        <w:tc>
          <w:tcPr>
            <w:tcW w:w="1500" w:type="dxa"/>
            <w:tcBorders>
              <w:top w:val="nil"/>
              <w:left w:val="nil"/>
              <w:bottom w:val="single" w:sz="4" w:space="0" w:color="auto"/>
              <w:right w:val="single" w:sz="4" w:space="0" w:color="auto"/>
            </w:tcBorders>
            <w:shd w:val="clear" w:color="auto" w:fill="BFBFBF"/>
            <w:textDirection w:val="lrTb"/>
            <w:vAlign w:val="top"/>
          </w:tcPr>
          <w:p w:rsidR="00C5282E" w:rsidRPr="007D5748" w:rsidP="00C5282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762 962,54</w:t>
            </w:r>
          </w:p>
        </w:tc>
        <w:tc>
          <w:tcPr>
            <w:tcW w:w="1500" w:type="dxa"/>
            <w:tcBorders>
              <w:top w:val="nil"/>
              <w:left w:val="nil"/>
              <w:bottom w:val="single" w:sz="4" w:space="0" w:color="auto"/>
              <w:right w:val="single" w:sz="4" w:space="0" w:color="auto"/>
            </w:tcBorders>
            <w:shd w:val="clear" w:color="auto" w:fill="BFBFBF"/>
            <w:textDirection w:val="lrTb"/>
            <w:vAlign w:val="top"/>
          </w:tcPr>
          <w:p w:rsidR="00C5282E" w:rsidRPr="007D5748" w:rsidP="00C5282E">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762 962,54</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C5282E" w:rsidRPr="007D5748" w:rsidP="00C5282E">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bl>
    <w:p w:rsidR="007D5748" w:rsidRPr="007D5748" w:rsidP="007D5748">
      <w:pPr>
        <w:tabs>
          <w:tab w:val="num" w:pos="1080"/>
        </w:tabs>
        <w:bidi w:val="0"/>
        <w:spacing w:after="0" w:line="240" w:lineRule="auto"/>
        <w:jc w:val="both"/>
        <w:rPr>
          <w:rFonts w:ascii="Times New Roman" w:hAnsi="Times New Roman"/>
          <w:bCs/>
          <w:sz w:val="20"/>
          <w:szCs w:val="20"/>
          <w:lang w:eastAsia="sk-SK"/>
        </w:rPr>
      </w:pPr>
      <w:r w:rsidRPr="007D5748">
        <w:rPr>
          <w:rFonts w:ascii="Times New Roman" w:hAnsi="Times New Roman"/>
          <w:bCs/>
          <w:sz w:val="20"/>
          <w:szCs w:val="20"/>
          <w:lang w:eastAsia="sk-SK"/>
        </w:rPr>
        <w:t>1 –  príjmy rozpísať až do položiek platnej ekonomickej klasifikácie</w:t>
      </w:r>
    </w:p>
    <w:p w:rsidR="007D5748" w:rsidRPr="007D5748" w:rsidP="007D5748">
      <w:pPr>
        <w:tabs>
          <w:tab w:val="num" w:pos="1080"/>
        </w:tabs>
        <w:bidi w:val="0"/>
        <w:spacing w:after="0" w:line="240" w:lineRule="auto"/>
        <w:jc w:val="both"/>
        <w:rPr>
          <w:rFonts w:ascii="Times New Roman" w:hAnsi="Times New Roman"/>
          <w:b/>
          <w:bCs/>
          <w:sz w:val="24"/>
          <w:szCs w:val="20"/>
          <w:lang w:eastAsia="sk-SK"/>
        </w:rPr>
      </w:pPr>
      <w:r w:rsidRPr="007D5748">
        <w:rPr>
          <w:rFonts w:ascii="Times New Roman" w:hAnsi="Times New Roman"/>
          <w:b/>
          <w:bCs/>
          <w:sz w:val="24"/>
          <w:szCs w:val="20"/>
          <w:lang w:eastAsia="sk-SK"/>
        </w:rPr>
        <w:t>Poznámka:</w:t>
      </w:r>
    </w:p>
    <w:p w:rsidR="007D5748" w:rsidP="007D5748">
      <w:pPr>
        <w:tabs>
          <w:tab w:val="num" w:pos="1080"/>
        </w:tabs>
        <w:bidi w:val="0"/>
        <w:spacing w:after="0" w:line="240" w:lineRule="auto"/>
        <w:jc w:val="both"/>
        <w:rPr>
          <w:rFonts w:ascii="Times New Roman" w:hAnsi="Times New Roman"/>
          <w:bCs/>
          <w:sz w:val="24"/>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w:t>
      </w:r>
    </w:p>
    <w:p w:rsidR="009933A2" w:rsidP="007D5748">
      <w:pPr>
        <w:tabs>
          <w:tab w:val="num" w:pos="1080"/>
        </w:tabs>
        <w:bidi w:val="0"/>
        <w:spacing w:after="0" w:line="240" w:lineRule="auto"/>
        <w:jc w:val="both"/>
        <w:rPr>
          <w:rFonts w:ascii="Times New Roman" w:hAnsi="Times New Roman"/>
          <w:bCs/>
          <w:sz w:val="24"/>
          <w:szCs w:val="20"/>
          <w:lang w:eastAsia="sk-SK"/>
        </w:rPr>
      </w:pPr>
    </w:p>
    <w:p w:rsidR="007D5748" w:rsidRPr="00E72448" w:rsidP="00602E43">
      <w:pPr>
        <w:tabs>
          <w:tab w:val="num" w:pos="1080"/>
        </w:tabs>
        <w:bidi w:val="0"/>
        <w:spacing w:after="0" w:line="240" w:lineRule="auto"/>
        <w:ind w:right="-32"/>
        <w:rPr>
          <w:rFonts w:ascii="Times New Roman" w:hAnsi="Times New Roman"/>
          <w:bCs/>
          <w:sz w:val="24"/>
          <w:szCs w:val="24"/>
          <w:lang w:eastAsia="sk-SK"/>
        </w:rPr>
      </w:pPr>
      <w:r w:rsidR="00602E43">
        <w:rPr>
          <w:rFonts w:ascii="Times New Roman" w:hAnsi="Times New Roman"/>
          <w:bCs/>
          <w:sz w:val="24"/>
          <w:szCs w:val="24"/>
          <w:lang w:eastAsia="sk-SK"/>
        </w:rPr>
        <w:t xml:space="preserve">Za Štátny ústav pre kontrolu liečiv, Bratislava:                                                                                                                                       </w:t>
      </w:r>
      <w:r w:rsidR="00E72448">
        <w:rPr>
          <w:rFonts w:ascii="Times New Roman" w:hAnsi="Times New Roman"/>
          <w:bCs/>
          <w:sz w:val="24"/>
          <w:szCs w:val="24"/>
          <w:lang w:eastAsia="sk-SK"/>
        </w:rPr>
        <w:t>Tabuľka č. 4</w:t>
      </w:r>
    </w:p>
    <w:tbl>
      <w:tblPr>
        <w:tblStyle w:val="TableNormal"/>
        <w:tblpPr w:leftFromText="141" w:rightFromText="141" w:vertAnchor="text" w:horzAnchor="page" w:tblpX="629" w:tblpY="2"/>
        <w:tblW w:w="14812" w:type="dxa"/>
        <w:tblCellMar>
          <w:left w:w="70" w:type="dxa"/>
          <w:right w:w="70" w:type="dxa"/>
        </w:tblCellMar>
      </w:tblPr>
      <w:tblGrid>
        <w:gridCol w:w="7070"/>
        <w:gridCol w:w="1540"/>
        <w:gridCol w:w="1540"/>
        <w:gridCol w:w="1540"/>
        <w:gridCol w:w="1540"/>
        <w:gridCol w:w="1582"/>
      </w:tblGrid>
      <w:tr>
        <w:tblPrEx>
          <w:tblW w:w="14812"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7D5748" w:rsidRPr="007D5748" w:rsidP="007D5748">
            <w:pPr>
              <w:bidi w:val="0"/>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7D5748" w:rsidRPr="007D5748" w:rsidP="007D5748">
            <w:pPr>
              <w:bidi w:val="0"/>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Vplyv na rozpočet verejnej správy</w:t>
            </w:r>
          </w:p>
        </w:tc>
        <w:tc>
          <w:tcPr>
            <w:tcW w:w="1582"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7D5748" w:rsidP="007D5748">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tblPrEx>
          <w:tblW w:w="14812"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046025" w:rsidRPr="007D5748" w:rsidP="00046025">
            <w:pPr>
              <w:bidi w:val="0"/>
              <w:spacing w:after="0" w:line="240" w:lineRule="auto"/>
              <w:rPr>
                <w:rFonts w:ascii="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tcPr>
          <w:p w:rsidR="00046025" w:rsidRPr="007D5748" w:rsidP="00046025">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Pr>
                <w:rFonts w:ascii="Times New Roman" w:hAnsi="Times New Roman"/>
                <w:b/>
                <w:bCs/>
                <w:sz w:val="24"/>
                <w:szCs w:val="24"/>
                <w:lang w:eastAsia="sk-SK"/>
              </w:rPr>
              <w:t>. 2018</w:t>
            </w:r>
          </w:p>
        </w:tc>
        <w:tc>
          <w:tcPr>
            <w:tcW w:w="1540" w:type="dxa"/>
            <w:tcBorders>
              <w:top w:val="nil"/>
              <w:left w:val="nil"/>
              <w:bottom w:val="single" w:sz="4" w:space="0" w:color="auto"/>
              <w:right w:val="single" w:sz="4" w:space="0" w:color="auto"/>
            </w:tcBorders>
            <w:shd w:val="clear" w:color="auto" w:fill="BFBFBF"/>
            <w:textDirection w:val="lrTb"/>
            <w:vAlign w:val="top"/>
          </w:tcPr>
          <w:p w:rsidR="00046025" w:rsidRPr="007D5748" w:rsidP="00046025">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Pr>
                <w:rFonts w:ascii="Times New Roman" w:hAnsi="Times New Roman"/>
                <w:b/>
                <w:bCs/>
                <w:sz w:val="24"/>
                <w:szCs w:val="24"/>
                <w:lang w:eastAsia="sk-SK"/>
              </w:rPr>
              <w:t>. 2019</w:t>
            </w:r>
          </w:p>
        </w:tc>
        <w:tc>
          <w:tcPr>
            <w:tcW w:w="1540" w:type="dxa"/>
            <w:tcBorders>
              <w:top w:val="nil"/>
              <w:left w:val="nil"/>
              <w:bottom w:val="single" w:sz="4" w:space="0" w:color="auto"/>
              <w:right w:val="single" w:sz="4" w:space="0" w:color="auto"/>
            </w:tcBorders>
            <w:shd w:val="clear" w:color="auto" w:fill="BFBFBF"/>
            <w:textDirection w:val="lrTb"/>
            <w:vAlign w:val="top"/>
          </w:tcPr>
          <w:p w:rsidR="00046025" w:rsidRPr="007D5748" w:rsidP="00046025">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Pr>
                <w:rFonts w:ascii="Times New Roman" w:hAnsi="Times New Roman"/>
                <w:b/>
                <w:bCs/>
                <w:sz w:val="24"/>
                <w:szCs w:val="24"/>
                <w:lang w:eastAsia="sk-SK"/>
              </w:rPr>
              <w:t>. 2020</w:t>
            </w:r>
          </w:p>
        </w:tc>
        <w:tc>
          <w:tcPr>
            <w:tcW w:w="1540" w:type="dxa"/>
            <w:tcBorders>
              <w:top w:val="nil"/>
              <w:left w:val="nil"/>
              <w:bottom w:val="single" w:sz="4" w:space="0" w:color="auto"/>
              <w:right w:val="single" w:sz="4" w:space="0" w:color="auto"/>
            </w:tcBorders>
            <w:shd w:val="clear" w:color="auto" w:fill="BFBFBF"/>
            <w:textDirection w:val="lrTb"/>
            <w:vAlign w:val="top"/>
          </w:tcPr>
          <w:p w:rsidR="00046025" w:rsidRPr="007D5748" w:rsidP="00046025">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Pr>
                <w:rFonts w:ascii="Times New Roman" w:hAnsi="Times New Roman"/>
                <w:b/>
                <w:bCs/>
                <w:sz w:val="24"/>
                <w:szCs w:val="24"/>
                <w:lang w:eastAsia="sk-SK"/>
              </w:rPr>
              <w:t>. 2021</w:t>
            </w:r>
          </w:p>
        </w:tc>
        <w:tc>
          <w:tcPr>
            <w:tcW w:w="1582" w:type="dxa"/>
            <w:vMerge/>
            <w:tcBorders>
              <w:top w:val="single" w:sz="4" w:space="0" w:color="auto"/>
              <w:left w:val="single" w:sz="4" w:space="0" w:color="auto"/>
              <w:bottom w:val="single" w:sz="4" w:space="0" w:color="auto"/>
              <w:right w:val="single" w:sz="4" w:space="0" w:color="auto"/>
            </w:tcBorders>
            <w:textDirection w:val="lrTb"/>
            <w:vAlign w:val="center"/>
          </w:tcPr>
          <w:p w:rsidR="00046025" w:rsidRPr="007D5748" w:rsidP="00046025">
            <w:pPr>
              <w:bidi w:val="0"/>
              <w:spacing w:after="0" w:line="240" w:lineRule="auto"/>
              <w:rPr>
                <w:rFonts w:ascii="Times New Roman" w:hAnsi="Times New Roman"/>
                <w:b/>
                <w:bCs/>
                <w:color w:val="FFFFFF"/>
                <w:sz w:val="24"/>
                <w:szCs w:val="24"/>
                <w:lang w:eastAsia="sk-SK"/>
              </w:rPr>
            </w:pPr>
          </w:p>
        </w:tc>
      </w:tr>
      <w:tr>
        <w:tblPrEx>
          <w:tblW w:w="14812"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46025" w:rsidRPr="007D5748" w:rsidP="00046025">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0</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517 964,72</w:t>
            </w:r>
            <w:r w:rsidRPr="00433334">
              <w:rPr>
                <w:rFonts w:ascii="Times New Roman" w:hAnsi="Times New Roman"/>
                <w:b/>
                <w:bCs/>
              </w:rPr>
              <w:t> </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512 364,72</w:t>
            </w:r>
            <w:r w:rsidRPr="00433334">
              <w:rPr>
                <w:rFonts w:ascii="Times New Roman" w:hAnsi="Times New Roman"/>
                <w:b/>
                <w:bCs/>
              </w:rPr>
              <w:t> </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512 364,72</w:t>
            </w:r>
            <w:r w:rsidRPr="00433334">
              <w:rPr>
                <w:rFonts w:ascii="Times New Roman" w:hAnsi="Times New Roman"/>
                <w:b/>
                <w:bCs/>
              </w:rPr>
              <w:t> </w:t>
            </w:r>
          </w:p>
        </w:tc>
        <w:tc>
          <w:tcPr>
            <w:tcW w:w="1582" w:type="dxa"/>
            <w:tcBorders>
              <w:top w:val="nil"/>
              <w:left w:val="nil"/>
              <w:bottom w:val="single" w:sz="4" w:space="0" w:color="auto"/>
              <w:right w:val="single" w:sz="4" w:space="0" w:color="auto"/>
            </w:tcBorders>
            <w:noWrap/>
            <w:textDirection w:val="lrTb"/>
            <w:vAlign w:val="bottom"/>
          </w:tcPr>
          <w:p w:rsidR="00046025" w:rsidRPr="007D5748" w:rsidP="00046025">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812"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46025" w:rsidRPr="007D5748" w:rsidP="00046025">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343 200,00</w:t>
            </w:r>
            <w:r w:rsidRPr="00433334">
              <w:rPr>
                <w:rFonts w:ascii="Times New Roman" w:hAnsi="Times New Roman"/>
              </w:rPr>
              <w:t> </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343 200,00</w:t>
            </w:r>
            <w:r w:rsidRPr="00433334">
              <w:rPr>
                <w:rFonts w:ascii="Times New Roman" w:hAnsi="Times New Roman"/>
              </w:rPr>
              <w:t> </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343 200,00</w:t>
            </w:r>
            <w:r w:rsidRPr="00433334">
              <w:rPr>
                <w:rFonts w:ascii="Times New Roman" w:hAnsi="Times New Roman"/>
              </w:rPr>
              <w:t> </w:t>
            </w:r>
          </w:p>
        </w:tc>
        <w:tc>
          <w:tcPr>
            <w:tcW w:w="1582" w:type="dxa"/>
            <w:tcBorders>
              <w:top w:val="nil"/>
              <w:left w:val="nil"/>
              <w:bottom w:val="single" w:sz="4" w:space="0" w:color="auto"/>
              <w:right w:val="single" w:sz="4" w:space="0" w:color="auto"/>
            </w:tcBorders>
            <w:noWrap/>
            <w:textDirection w:val="lrTb"/>
            <w:vAlign w:val="bottom"/>
          </w:tcPr>
          <w:p w:rsidR="00046025" w:rsidRPr="007D5748" w:rsidP="00046025">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812"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46025" w:rsidRPr="007D5748" w:rsidP="00046025">
            <w:pPr>
              <w:bidi w:val="0"/>
              <w:spacing w:after="0" w:line="240" w:lineRule="auto"/>
              <w:rPr>
                <w:rFonts w:ascii="Times New Roman" w:hAnsi="Times New Roman"/>
                <w:sz w:val="20"/>
                <w:szCs w:val="20"/>
                <w:vertAlign w:val="superscript"/>
                <w:lang w:eastAsia="sk-SK"/>
              </w:rPr>
            </w:pPr>
            <w:r w:rsidRPr="007D5748">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119 948,40</w:t>
            </w:r>
            <w:r w:rsidRPr="00433334">
              <w:rPr>
                <w:rFonts w:ascii="Times New Roman" w:hAnsi="Times New Roman"/>
              </w:rPr>
              <w:t> </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119 948,40</w:t>
            </w:r>
            <w:r w:rsidRPr="00433334">
              <w:rPr>
                <w:rFonts w:ascii="Times New Roman" w:hAnsi="Times New Roman"/>
              </w:rPr>
              <w:t> </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119 948,40</w:t>
            </w:r>
            <w:r w:rsidRPr="00433334">
              <w:rPr>
                <w:rFonts w:ascii="Times New Roman" w:hAnsi="Times New Roman"/>
              </w:rPr>
              <w:t> </w:t>
            </w:r>
          </w:p>
        </w:tc>
        <w:tc>
          <w:tcPr>
            <w:tcW w:w="1582" w:type="dxa"/>
            <w:tcBorders>
              <w:top w:val="nil"/>
              <w:left w:val="nil"/>
              <w:bottom w:val="single" w:sz="4" w:space="0" w:color="auto"/>
              <w:right w:val="single" w:sz="4" w:space="0" w:color="auto"/>
            </w:tcBorders>
            <w:noWrap/>
            <w:textDirection w:val="lrTb"/>
            <w:vAlign w:val="bottom"/>
          </w:tcPr>
          <w:p w:rsidR="00046025" w:rsidRPr="007D5748" w:rsidP="00046025">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812"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46025" w:rsidRPr="007D5748" w:rsidP="00046025">
            <w:pPr>
              <w:bidi w:val="0"/>
              <w:spacing w:after="0" w:line="240" w:lineRule="auto"/>
              <w:rPr>
                <w:rFonts w:ascii="Times New Roman" w:hAnsi="Times New Roman"/>
                <w:sz w:val="20"/>
                <w:szCs w:val="20"/>
                <w:vertAlign w:val="superscript"/>
                <w:lang w:eastAsia="sk-SK"/>
              </w:rPr>
            </w:pPr>
            <w:r w:rsidRPr="007D5748">
              <w:rPr>
                <w:rFonts w:ascii="Times New Roman" w:hAnsi="Times New Roman"/>
                <w:sz w:val="20"/>
                <w:szCs w:val="20"/>
                <w:lang w:eastAsia="sk-SK"/>
              </w:rPr>
              <w:t xml:space="preserve">  Tovary a služby (630)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53 716,32</w:t>
            </w:r>
            <w:r w:rsidRPr="00433334">
              <w:rPr>
                <w:rFonts w:ascii="Times New Roman" w:hAnsi="Times New Roman"/>
              </w:rPr>
              <w:t> </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48 116,32</w:t>
            </w:r>
            <w:r w:rsidRPr="00433334">
              <w:rPr>
                <w:rFonts w:ascii="Times New Roman" w:hAnsi="Times New Roman"/>
              </w:rPr>
              <w:t> </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48 116,32</w:t>
            </w:r>
            <w:r w:rsidRPr="00433334">
              <w:rPr>
                <w:rFonts w:ascii="Times New Roman" w:hAnsi="Times New Roman"/>
              </w:rPr>
              <w:t> </w:t>
            </w:r>
          </w:p>
        </w:tc>
        <w:tc>
          <w:tcPr>
            <w:tcW w:w="1582" w:type="dxa"/>
            <w:tcBorders>
              <w:top w:val="nil"/>
              <w:left w:val="nil"/>
              <w:bottom w:val="single" w:sz="4" w:space="0" w:color="auto"/>
              <w:right w:val="single" w:sz="4" w:space="0" w:color="auto"/>
            </w:tcBorders>
            <w:noWrap/>
            <w:textDirection w:val="lrTb"/>
            <w:vAlign w:val="bottom"/>
          </w:tcPr>
          <w:p w:rsidR="00046025" w:rsidRPr="007D5748" w:rsidP="00046025">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812"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46025" w:rsidRPr="007D5748" w:rsidP="00046025">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Bežné transfery (640)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1 100,00</w:t>
            </w:r>
            <w:r w:rsidRPr="00433334">
              <w:rPr>
                <w:rFonts w:ascii="Times New Roman" w:hAnsi="Times New Roman"/>
              </w:rPr>
              <w:t> </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1 100,00</w:t>
            </w:r>
            <w:r w:rsidRPr="00433334">
              <w:rPr>
                <w:rFonts w:ascii="Times New Roman" w:hAnsi="Times New Roman"/>
              </w:rPr>
              <w:t> </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1 100,00</w:t>
            </w:r>
            <w:r w:rsidRPr="00433334">
              <w:rPr>
                <w:rFonts w:ascii="Times New Roman" w:hAnsi="Times New Roman"/>
              </w:rPr>
              <w:t> </w:t>
            </w:r>
          </w:p>
        </w:tc>
        <w:tc>
          <w:tcPr>
            <w:tcW w:w="1582" w:type="dxa"/>
            <w:tcBorders>
              <w:top w:val="nil"/>
              <w:left w:val="nil"/>
              <w:bottom w:val="single" w:sz="4" w:space="0" w:color="auto"/>
              <w:right w:val="single" w:sz="4" w:space="0" w:color="auto"/>
            </w:tcBorders>
            <w:noWrap/>
            <w:textDirection w:val="lrTb"/>
            <w:vAlign w:val="bottom"/>
          </w:tcPr>
          <w:p w:rsidR="00046025" w:rsidRPr="007D5748" w:rsidP="00046025">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812"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6A3AE6" w:rsidRPr="007D5748" w:rsidP="006A3AE6">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Splácanie úrokov a ostatné platby súvisiace s </w:t>
            </w:r>
            <w:r>
              <w:t xml:space="preserve"> </w:t>
            </w:r>
            <w:r w:rsidRPr="008D339D">
              <w:rPr>
                <w:rFonts w:ascii="Times New Roman" w:hAnsi="Times New Roman"/>
                <w:sz w:val="20"/>
                <w:szCs w:val="20"/>
                <w:lang w:eastAsia="sk-SK"/>
              </w:rPr>
              <w:t>úverom, pôžičkou, návratnou finančnou výpomocou a finančným prenájmom</w:t>
            </w:r>
            <w:r w:rsidRPr="007D5748">
              <w:rPr>
                <w:rFonts w:ascii="Times New Roman" w:hAnsi="Times New Roman"/>
                <w:sz w:val="20"/>
                <w:szCs w:val="20"/>
                <w:lang w:eastAsia="sk-SK"/>
              </w:rPr>
              <w:t xml:space="preserve"> (650)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center"/>
          </w:tcPr>
          <w:p w:rsidR="006A3AE6" w:rsidRPr="00433334" w:rsidP="006A3AE6">
            <w:pPr>
              <w:pStyle w:val="NormalWeb"/>
              <w:bidi w:val="0"/>
              <w:spacing w:before="0" w:beforeAutospacing="0" w:after="0" w:afterAutospacing="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center"/>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center"/>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center"/>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rPr>
              <w:t>0</w:t>
            </w:r>
          </w:p>
        </w:tc>
        <w:tc>
          <w:tcPr>
            <w:tcW w:w="1582" w:type="dxa"/>
            <w:tcBorders>
              <w:top w:val="nil"/>
              <w:left w:val="nil"/>
              <w:bottom w:val="single" w:sz="4" w:space="0" w:color="auto"/>
              <w:right w:val="single" w:sz="4" w:space="0" w:color="auto"/>
            </w:tcBorders>
            <w:noWrap/>
            <w:textDirection w:val="lrTb"/>
            <w:vAlign w:val="center"/>
          </w:tcPr>
          <w:p w:rsidR="006A3AE6" w:rsidRPr="007D5748" w:rsidP="006A3AE6">
            <w:pPr>
              <w:bidi w:val="0"/>
              <w:spacing w:after="0" w:line="240" w:lineRule="auto"/>
              <w:rPr>
                <w:rFonts w:ascii="Times New Roman" w:hAnsi="Times New Roman"/>
                <w:sz w:val="24"/>
                <w:szCs w:val="24"/>
                <w:lang w:eastAsia="sk-SK"/>
              </w:rPr>
            </w:pPr>
          </w:p>
        </w:tc>
      </w:tr>
      <w:tr>
        <w:tblPrEx>
          <w:tblW w:w="14812"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6A3AE6" w:rsidRPr="007D5748" w:rsidP="006A3AE6">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6A3AE6" w:rsidRPr="00433334" w:rsidP="006A3AE6">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0</w:t>
            </w:r>
            <w:r w:rsidRPr="00433334">
              <w:rPr>
                <w:rFonts w:ascii="Times New Roman" w:hAnsi="Times New Roman"/>
                <w:b/>
                <w:bCs/>
              </w:rPr>
              <w:t> </w:t>
            </w:r>
          </w:p>
        </w:tc>
        <w:tc>
          <w:tcPr>
            <w:tcW w:w="1540" w:type="dxa"/>
            <w:tcBorders>
              <w:top w:val="nil"/>
              <w:left w:val="nil"/>
              <w:bottom w:val="single" w:sz="4" w:space="0" w:color="auto"/>
              <w:right w:val="single" w:sz="4" w:space="0" w:color="auto"/>
            </w:tcBorders>
            <w:textDirection w:val="lrTb"/>
            <w:vAlign w:val="top"/>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w:t>
            </w:r>
          </w:p>
        </w:tc>
        <w:tc>
          <w:tcPr>
            <w:tcW w:w="1540" w:type="dxa"/>
            <w:tcBorders>
              <w:top w:val="nil"/>
              <w:left w:val="nil"/>
              <w:bottom w:val="single" w:sz="4" w:space="0" w:color="auto"/>
              <w:right w:val="single" w:sz="4" w:space="0" w:color="auto"/>
            </w:tcBorders>
            <w:textDirection w:val="lrTb"/>
            <w:vAlign w:val="top"/>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w:t>
            </w:r>
          </w:p>
        </w:tc>
        <w:tc>
          <w:tcPr>
            <w:tcW w:w="1540" w:type="dxa"/>
            <w:tcBorders>
              <w:top w:val="nil"/>
              <w:left w:val="nil"/>
              <w:bottom w:val="single" w:sz="4" w:space="0" w:color="auto"/>
              <w:right w:val="single" w:sz="4" w:space="0" w:color="auto"/>
            </w:tcBorders>
            <w:textDirection w:val="lrTb"/>
            <w:vAlign w:val="top"/>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w:t>
            </w:r>
          </w:p>
        </w:tc>
        <w:tc>
          <w:tcPr>
            <w:tcW w:w="1582" w:type="dxa"/>
            <w:tcBorders>
              <w:top w:val="nil"/>
              <w:left w:val="nil"/>
              <w:bottom w:val="single" w:sz="4" w:space="0" w:color="auto"/>
              <w:right w:val="single" w:sz="4" w:space="0" w:color="auto"/>
            </w:tcBorders>
            <w:noWrap/>
            <w:textDirection w:val="lrTb"/>
            <w:vAlign w:val="bottom"/>
          </w:tcPr>
          <w:p w:rsidR="006A3AE6" w:rsidRPr="007D5748" w:rsidP="006A3AE6">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812"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6A3AE6" w:rsidRPr="007D5748" w:rsidP="006A3AE6">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Obstarávanie kapitálových aktív (710)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6A3AE6" w:rsidRPr="00433334" w:rsidP="006A3AE6">
            <w:pPr>
              <w:pStyle w:val="NormalWeb"/>
              <w:bidi w:val="0"/>
              <w:spacing w:before="0" w:beforeAutospacing="0" w:after="0" w:afterAutospacing="0" w:line="240" w:lineRule="auto"/>
              <w:jc w:val="right"/>
              <w:rPr>
                <w:rFonts w:ascii="Times New Roman" w:hAnsi="Times New Roman"/>
              </w:rPr>
            </w:pPr>
            <w:r>
              <w:rPr>
                <w:rFonts w:ascii="Times New Roman" w:hAnsi="Times New Roman"/>
              </w:rPr>
              <w:t>0</w:t>
            </w:r>
            <w:r w:rsidRPr="00433334">
              <w:rPr>
                <w:rFonts w:ascii="Times New Roman" w:hAnsi="Times New Roman"/>
              </w:rPr>
              <w:t> </w:t>
            </w:r>
          </w:p>
        </w:tc>
        <w:tc>
          <w:tcPr>
            <w:tcW w:w="1540" w:type="dxa"/>
            <w:tcBorders>
              <w:top w:val="nil"/>
              <w:left w:val="nil"/>
              <w:bottom w:val="single" w:sz="4" w:space="0" w:color="auto"/>
              <w:right w:val="single" w:sz="4" w:space="0" w:color="auto"/>
            </w:tcBorders>
            <w:textDirection w:val="lrTb"/>
            <w:vAlign w:val="top"/>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rPr>
              <w:t>0</w:t>
            </w:r>
          </w:p>
        </w:tc>
        <w:tc>
          <w:tcPr>
            <w:tcW w:w="1582" w:type="dxa"/>
            <w:tcBorders>
              <w:top w:val="nil"/>
              <w:left w:val="nil"/>
              <w:bottom w:val="single" w:sz="4" w:space="0" w:color="auto"/>
              <w:right w:val="single" w:sz="4" w:space="0" w:color="auto"/>
            </w:tcBorders>
            <w:noWrap/>
            <w:textDirection w:val="lrTb"/>
            <w:vAlign w:val="bottom"/>
          </w:tcPr>
          <w:p w:rsidR="006A3AE6" w:rsidRPr="007D5748" w:rsidP="006A3AE6">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812"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6A3AE6" w:rsidRPr="007D5748" w:rsidP="006A3AE6">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Kapitálové transfery (720)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6A3AE6" w:rsidRPr="00433334" w:rsidP="006A3AE6">
            <w:pPr>
              <w:pStyle w:val="NormalWeb"/>
              <w:bidi w:val="0"/>
              <w:spacing w:before="0" w:beforeAutospacing="0" w:after="0" w:afterAutospacing="0" w:line="240" w:lineRule="auto"/>
              <w:jc w:val="right"/>
              <w:rPr>
                <w:rFonts w:ascii="Times New Roman" w:hAnsi="Times New Roman"/>
              </w:rPr>
            </w:pPr>
            <w:r>
              <w:rPr>
                <w:rFonts w:ascii="Times New Roman" w:hAnsi="Times New Roman"/>
              </w:rPr>
              <w:t>0</w:t>
            </w:r>
            <w:r w:rsidRPr="00433334">
              <w:rPr>
                <w:rFonts w:ascii="Times New Roman" w:hAnsi="Times New Roman"/>
              </w:rPr>
              <w:t> </w:t>
            </w:r>
          </w:p>
        </w:tc>
        <w:tc>
          <w:tcPr>
            <w:tcW w:w="1540" w:type="dxa"/>
            <w:tcBorders>
              <w:top w:val="nil"/>
              <w:left w:val="nil"/>
              <w:bottom w:val="single" w:sz="4" w:space="0" w:color="auto"/>
              <w:right w:val="single" w:sz="4" w:space="0" w:color="auto"/>
            </w:tcBorders>
            <w:textDirection w:val="lrTb"/>
            <w:vAlign w:val="top"/>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rPr>
              <w:t>0</w:t>
            </w:r>
          </w:p>
        </w:tc>
        <w:tc>
          <w:tcPr>
            <w:tcW w:w="1582" w:type="dxa"/>
            <w:tcBorders>
              <w:top w:val="nil"/>
              <w:left w:val="nil"/>
              <w:bottom w:val="single" w:sz="4" w:space="0" w:color="auto"/>
              <w:right w:val="single" w:sz="4" w:space="0" w:color="auto"/>
            </w:tcBorders>
            <w:noWrap/>
            <w:textDirection w:val="lrTb"/>
            <w:vAlign w:val="bottom"/>
          </w:tcPr>
          <w:p w:rsidR="006A3AE6" w:rsidRPr="007D5748" w:rsidP="006A3AE6">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812"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6A3AE6" w:rsidRPr="007D5748" w:rsidP="006A3AE6">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6A3AE6" w:rsidRPr="00433334" w:rsidP="006A3AE6">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0</w:t>
            </w:r>
            <w:r w:rsidRPr="00433334">
              <w:rPr>
                <w:rFonts w:ascii="Times New Roman" w:hAnsi="Times New Roman"/>
                <w:b/>
                <w:bCs/>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w:t>
            </w:r>
          </w:p>
        </w:tc>
        <w:tc>
          <w:tcPr>
            <w:tcW w:w="1540" w:type="dxa"/>
            <w:tcBorders>
              <w:top w:val="nil"/>
              <w:left w:val="nil"/>
              <w:bottom w:val="single" w:sz="4" w:space="0" w:color="auto"/>
              <w:right w:val="single" w:sz="4" w:space="0" w:color="auto"/>
            </w:tcBorders>
            <w:shd w:val="clear" w:color="auto" w:fill="FFFF99"/>
            <w:textDirection w:val="lrTb"/>
            <w:vAlign w:val="top"/>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w:t>
            </w:r>
          </w:p>
        </w:tc>
        <w:tc>
          <w:tcPr>
            <w:tcW w:w="1540" w:type="dxa"/>
            <w:tcBorders>
              <w:top w:val="nil"/>
              <w:left w:val="nil"/>
              <w:bottom w:val="single" w:sz="4" w:space="0" w:color="auto"/>
              <w:right w:val="single" w:sz="4" w:space="0" w:color="auto"/>
            </w:tcBorders>
            <w:shd w:val="clear" w:color="auto" w:fill="FFFF99"/>
            <w:textDirection w:val="lrTb"/>
            <w:vAlign w:val="top"/>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w:t>
            </w:r>
          </w:p>
        </w:tc>
        <w:tc>
          <w:tcPr>
            <w:tcW w:w="1582" w:type="dxa"/>
            <w:tcBorders>
              <w:top w:val="nil"/>
              <w:left w:val="nil"/>
              <w:bottom w:val="single" w:sz="4" w:space="0" w:color="auto"/>
              <w:right w:val="single" w:sz="4" w:space="0" w:color="auto"/>
            </w:tcBorders>
            <w:noWrap/>
            <w:textDirection w:val="lrTb"/>
            <w:vAlign w:val="bottom"/>
          </w:tcPr>
          <w:p w:rsidR="006A3AE6" w:rsidRPr="007D5748" w:rsidP="006A3AE6">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812"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6A3AE6" w:rsidRPr="007D5748" w:rsidP="006A3AE6">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6A3AE6" w:rsidRPr="00F21AC7" w:rsidP="006A3AE6">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0</w:t>
            </w:r>
            <w:r w:rsidRPr="00F21AC7">
              <w:rPr>
                <w:rFonts w:ascii="Times New Roman" w:hAnsi="Times New Roman"/>
                <w:b/>
                <w:bCs/>
              </w:rPr>
              <w:t> </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6A3AE6" w:rsidRPr="00F21AC7" w:rsidP="006A3AE6">
            <w:pPr>
              <w:pStyle w:val="NormalWeb"/>
              <w:bidi w:val="0"/>
              <w:spacing w:before="0" w:beforeAutospacing="0" w:after="0" w:afterAutospacing="0" w:line="240" w:lineRule="auto"/>
              <w:jc w:val="right"/>
              <w:rPr>
                <w:rFonts w:ascii="Times New Roman" w:hAnsi="Times New Roman"/>
              </w:rPr>
            </w:pPr>
            <w:r w:rsidRPr="00F21AC7">
              <w:rPr>
                <w:rFonts w:ascii="Times New Roman" w:hAnsi="Times New Roman"/>
                <w:b/>
                <w:bCs/>
              </w:rPr>
              <w:t>517 964,72  </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6A3AE6" w:rsidRPr="00F21AC7" w:rsidP="006A3AE6">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512 364,72</w:t>
            </w:r>
            <w:r w:rsidRPr="00433334">
              <w:rPr>
                <w:rFonts w:ascii="Times New Roman" w:hAnsi="Times New Roman"/>
                <w:b/>
                <w:bCs/>
              </w:rPr>
              <w:t> </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6A3AE6" w:rsidRPr="00F21AC7" w:rsidP="006A3AE6">
            <w:pPr>
              <w:pStyle w:val="NormalWeb"/>
              <w:bidi w:val="0"/>
              <w:spacing w:before="0" w:beforeAutospacing="0" w:after="0" w:afterAutospacing="0" w:line="240" w:lineRule="auto"/>
              <w:jc w:val="right"/>
              <w:rPr>
                <w:rFonts w:ascii="Times New Roman" w:hAnsi="Times New Roman"/>
              </w:rPr>
            </w:pPr>
            <w:r w:rsidRPr="00F21AC7">
              <w:rPr>
                <w:rFonts w:ascii="Times New Roman" w:hAnsi="Times New Roman"/>
                <w:b/>
                <w:bCs/>
              </w:rPr>
              <w:t>512 364,72 </w:t>
            </w:r>
          </w:p>
        </w:tc>
        <w:tc>
          <w:tcPr>
            <w:tcW w:w="1582" w:type="dxa"/>
            <w:tcBorders>
              <w:top w:val="single" w:sz="4" w:space="0" w:color="auto"/>
              <w:left w:val="nil"/>
              <w:bottom w:val="single" w:sz="4" w:space="0" w:color="auto"/>
              <w:right w:val="single" w:sz="4" w:space="0" w:color="auto"/>
            </w:tcBorders>
            <w:shd w:val="clear" w:color="auto" w:fill="BFBFBF"/>
            <w:noWrap/>
            <w:textDirection w:val="lrTb"/>
            <w:vAlign w:val="bottom"/>
          </w:tcPr>
          <w:p w:rsidR="006A3AE6" w:rsidRPr="007D5748" w:rsidP="006A3AE6">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bl>
    <w:p w:rsidR="007D5748" w:rsidP="007D5748">
      <w:pPr>
        <w:tabs>
          <w:tab w:val="num" w:pos="1080"/>
        </w:tabs>
        <w:bidi w:val="0"/>
        <w:spacing w:after="0" w:line="240" w:lineRule="auto"/>
        <w:ind w:left="-900"/>
        <w:jc w:val="both"/>
        <w:rPr>
          <w:rFonts w:ascii="Times New Roman" w:hAnsi="Times New Roman"/>
          <w:bCs/>
          <w:sz w:val="20"/>
          <w:szCs w:val="20"/>
          <w:lang w:eastAsia="sk-SK"/>
        </w:rPr>
      </w:pPr>
      <w:r w:rsidRPr="007D5748">
        <w:rPr>
          <w:rFonts w:ascii="Times New Roman" w:hAnsi="Times New Roman"/>
          <w:bCs/>
          <w:sz w:val="20"/>
          <w:szCs w:val="20"/>
          <w:lang w:eastAsia="sk-SK"/>
        </w:rPr>
        <w:t>2 –  výdavky rozpísať až do položiek platnej ekonomickej klasifikácie</w:t>
      </w:r>
    </w:p>
    <w:p w:rsidR="00602E43" w:rsidP="009933A2">
      <w:pPr>
        <w:tabs>
          <w:tab w:val="num" w:pos="1080"/>
        </w:tabs>
        <w:bidi w:val="0"/>
        <w:spacing w:after="0" w:line="240" w:lineRule="auto"/>
        <w:ind w:right="-32"/>
        <w:jc w:val="right"/>
        <w:rPr>
          <w:rFonts w:ascii="Times New Roman" w:hAnsi="Times New Roman"/>
          <w:bCs/>
          <w:sz w:val="24"/>
          <w:szCs w:val="24"/>
          <w:lang w:eastAsia="sk-SK"/>
        </w:rPr>
      </w:pPr>
    </w:p>
    <w:p w:rsidR="009933A2" w:rsidRPr="00E72448" w:rsidP="00602E43">
      <w:pPr>
        <w:tabs>
          <w:tab w:val="num" w:pos="1080"/>
        </w:tabs>
        <w:bidi w:val="0"/>
        <w:spacing w:after="0" w:line="240" w:lineRule="auto"/>
        <w:ind w:right="-32"/>
        <w:rPr>
          <w:rFonts w:ascii="Times New Roman" w:hAnsi="Times New Roman"/>
          <w:bCs/>
          <w:sz w:val="24"/>
          <w:szCs w:val="24"/>
          <w:lang w:eastAsia="sk-SK"/>
        </w:rPr>
      </w:pPr>
      <w:r w:rsidR="00602E43">
        <w:rPr>
          <w:rFonts w:ascii="Times New Roman" w:hAnsi="Times New Roman"/>
          <w:bCs/>
          <w:sz w:val="24"/>
          <w:szCs w:val="24"/>
          <w:lang w:eastAsia="sk-SK"/>
        </w:rPr>
        <w:t xml:space="preserve">Za aparát ústredného orgánu Ministerstva zdravotníctva SR:                                                                                                                  </w:t>
      </w:r>
      <w:r>
        <w:rPr>
          <w:rFonts w:ascii="Times New Roman" w:hAnsi="Times New Roman"/>
          <w:bCs/>
          <w:sz w:val="24"/>
          <w:szCs w:val="24"/>
          <w:lang w:eastAsia="sk-SK"/>
        </w:rPr>
        <w:t>Tabuľka č. 4</w:t>
      </w:r>
    </w:p>
    <w:tbl>
      <w:tblPr>
        <w:tblStyle w:val="TableNormal"/>
        <w:tblpPr w:leftFromText="141" w:rightFromText="141" w:vertAnchor="text" w:horzAnchor="page" w:tblpX="629" w:tblpY="2"/>
        <w:tblW w:w="14812" w:type="dxa"/>
        <w:tblCellMar>
          <w:left w:w="70" w:type="dxa"/>
          <w:right w:w="70" w:type="dxa"/>
        </w:tblCellMar>
      </w:tblPr>
      <w:tblGrid>
        <w:gridCol w:w="7070"/>
        <w:gridCol w:w="1540"/>
        <w:gridCol w:w="1540"/>
        <w:gridCol w:w="1540"/>
        <w:gridCol w:w="1540"/>
        <w:gridCol w:w="1582"/>
      </w:tblGrid>
      <w:tr>
        <w:tblPrEx>
          <w:tblW w:w="14812"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9933A2" w:rsidRPr="007D5748" w:rsidP="009B4479">
            <w:pPr>
              <w:bidi w:val="0"/>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9933A2" w:rsidRPr="007D5748" w:rsidP="009B4479">
            <w:pPr>
              <w:bidi w:val="0"/>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Vplyv na rozpočet verejnej správy</w:t>
            </w:r>
          </w:p>
        </w:tc>
        <w:tc>
          <w:tcPr>
            <w:tcW w:w="1582"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933A2" w:rsidRPr="007D5748" w:rsidP="009B4479">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tblPrEx>
          <w:tblW w:w="14812"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046025" w:rsidRPr="007D5748" w:rsidP="00046025">
            <w:pPr>
              <w:bidi w:val="0"/>
              <w:spacing w:after="0" w:line="240" w:lineRule="auto"/>
              <w:rPr>
                <w:rFonts w:ascii="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tcPr>
          <w:p w:rsidR="00046025" w:rsidRPr="007D5748" w:rsidP="00046025">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Pr>
                <w:rFonts w:ascii="Times New Roman" w:hAnsi="Times New Roman"/>
                <w:b/>
                <w:bCs/>
                <w:sz w:val="24"/>
                <w:szCs w:val="24"/>
                <w:lang w:eastAsia="sk-SK"/>
              </w:rPr>
              <w:t>. 2018</w:t>
            </w:r>
          </w:p>
        </w:tc>
        <w:tc>
          <w:tcPr>
            <w:tcW w:w="1540" w:type="dxa"/>
            <w:tcBorders>
              <w:top w:val="nil"/>
              <w:left w:val="nil"/>
              <w:bottom w:val="single" w:sz="4" w:space="0" w:color="auto"/>
              <w:right w:val="single" w:sz="4" w:space="0" w:color="auto"/>
            </w:tcBorders>
            <w:shd w:val="clear" w:color="auto" w:fill="BFBFBF"/>
            <w:textDirection w:val="lrTb"/>
            <w:vAlign w:val="top"/>
          </w:tcPr>
          <w:p w:rsidR="00046025" w:rsidRPr="007D5748" w:rsidP="00046025">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Pr>
                <w:rFonts w:ascii="Times New Roman" w:hAnsi="Times New Roman"/>
                <w:b/>
                <w:bCs/>
                <w:sz w:val="24"/>
                <w:szCs w:val="24"/>
                <w:lang w:eastAsia="sk-SK"/>
              </w:rPr>
              <w:t>. 2019</w:t>
            </w:r>
          </w:p>
        </w:tc>
        <w:tc>
          <w:tcPr>
            <w:tcW w:w="1540" w:type="dxa"/>
            <w:tcBorders>
              <w:top w:val="nil"/>
              <w:left w:val="nil"/>
              <w:bottom w:val="single" w:sz="4" w:space="0" w:color="auto"/>
              <w:right w:val="single" w:sz="4" w:space="0" w:color="auto"/>
            </w:tcBorders>
            <w:shd w:val="clear" w:color="auto" w:fill="BFBFBF"/>
            <w:textDirection w:val="lrTb"/>
            <w:vAlign w:val="top"/>
          </w:tcPr>
          <w:p w:rsidR="00046025" w:rsidRPr="007D5748" w:rsidP="00046025">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Pr>
                <w:rFonts w:ascii="Times New Roman" w:hAnsi="Times New Roman"/>
                <w:b/>
                <w:bCs/>
                <w:sz w:val="24"/>
                <w:szCs w:val="24"/>
                <w:lang w:eastAsia="sk-SK"/>
              </w:rPr>
              <w:t>. 2020</w:t>
            </w:r>
          </w:p>
        </w:tc>
        <w:tc>
          <w:tcPr>
            <w:tcW w:w="1540" w:type="dxa"/>
            <w:tcBorders>
              <w:top w:val="nil"/>
              <w:left w:val="nil"/>
              <w:bottom w:val="single" w:sz="4" w:space="0" w:color="auto"/>
              <w:right w:val="single" w:sz="4" w:space="0" w:color="auto"/>
            </w:tcBorders>
            <w:shd w:val="clear" w:color="auto" w:fill="BFBFBF"/>
            <w:textDirection w:val="lrTb"/>
            <w:vAlign w:val="top"/>
          </w:tcPr>
          <w:p w:rsidR="00046025" w:rsidRPr="007D5748" w:rsidP="00046025">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Pr>
                <w:rFonts w:ascii="Times New Roman" w:hAnsi="Times New Roman"/>
                <w:b/>
                <w:bCs/>
                <w:sz w:val="24"/>
                <w:szCs w:val="24"/>
                <w:lang w:eastAsia="sk-SK"/>
              </w:rPr>
              <w:t>. 2021</w:t>
            </w:r>
          </w:p>
        </w:tc>
        <w:tc>
          <w:tcPr>
            <w:tcW w:w="1582" w:type="dxa"/>
            <w:vMerge/>
            <w:tcBorders>
              <w:top w:val="single" w:sz="4" w:space="0" w:color="auto"/>
              <w:left w:val="single" w:sz="4" w:space="0" w:color="auto"/>
              <w:bottom w:val="single" w:sz="4" w:space="0" w:color="auto"/>
              <w:right w:val="single" w:sz="4" w:space="0" w:color="auto"/>
            </w:tcBorders>
            <w:textDirection w:val="lrTb"/>
            <w:vAlign w:val="center"/>
          </w:tcPr>
          <w:p w:rsidR="00046025" w:rsidRPr="007D5748" w:rsidP="00046025">
            <w:pPr>
              <w:bidi w:val="0"/>
              <w:spacing w:after="0" w:line="240" w:lineRule="auto"/>
              <w:rPr>
                <w:rFonts w:ascii="Times New Roman" w:hAnsi="Times New Roman"/>
                <w:b/>
                <w:bCs/>
                <w:color w:val="FFFFFF"/>
                <w:sz w:val="24"/>
                <w:szCs w:val="24"/>
                <w:lang w:eastAsia="sk-SK"/>
              </w:rPr>
            </w:pPr>
          </w:p>
        </w:tc>
      </w:tr>
      <w:tr>
        <w:tblPrEx>
          <w:tblW w:w="14812"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46025" w:rsidRPr="007D5748" w:rsidP="00046025">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0</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180 000,00</w:t>
            </w:r>
            <w:r w:rsidRPr="00433334">
              <w:rPr>
                <w:rFonts w:ascii="Times New Roman" w:hAnsi="Times New Roman"/>
                <w:b/>
                <w:bCs/>
              </w:rPr>
              <w:t> </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180 000,00</w:t>
            </w:r>
            <w:r w:rsidRPr="00433334">
              <w:rPr>
                <w:rFonts w:ascii="Times New Roman" w:hAnsi="Times New Roman"/>
                <w:b/>
                <w:bCs/>
              </w:rPr>
              <w:t> </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180 000,00</w:t>
            </w:r>
            <w:r w:rsidRPr="00433334">
              <w:rPr>
                <w:rFonts w:ascii="Times New Roman" w:hAnsi="Times New Roman"/>
                <w:b/>
                <w:bCs/>
              </w:rPr>
              <w:t> </w:t>
            </w:r>
          </w:p>
        </w:tc>
        <w:tc>
          <w:tcPr>
            <w:tcW w:w="1582" w:type="dxa"/>
            <w:tcBorders>
              <w:top w:val="nil"/>
              <w:left w:val="nil"/>
              <w:bottom w:val="single" w:sz="4" w:space="0" w:color="auto"/>
              <w:right w:val="single" w:sz="4" w:space="0" w:color="auto"/>
            </w:tcBorders>
            <w:noWrap/>
            <w:textDirection w:val="lrTb"/>
            <w:vAlign w:val="bottom"/>
          </w:tcPr>
          <w:p w:rsidR="00046025" w:rsidRPr="007D5748" w:rsidP="00046025">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812"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46025" w:rsidRPr="007D5748" w:rsidP="00046025">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41 400,00</w:t>
            </w:r>
            <w:r w:rsidRPr="00433334">
              <w:rPr>
                <w:rFonts w:ascii="Times New Roman" w:hAnsi="Times New Roman"/>
              </w:rPr>
              <w:t> </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41 400,00</w:t>
            </w:r>
            <w:r w:rsidRPr="00433334">
              <w:rPr>
                <w:rFonts w:ascii="Times New Roman" w:hAnsi="Times New Roman"/>
              </w:rPr>
              <w:t> </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41 400,00</w:t>
            </w:r>
            <w:r w:rsidRPr="00433334">
              <w:rPr>
                <w:rFonts w:ascii="Times New Roman" w:hAnsi="Times New Roman"/>
              </w:rPr>
              <w:t> </w:t>
            </w:r>
          </w:p>
        </w:tc>
        <w:tc>
          <w:tcPr>
            <w:tcW w:w="1582" w:type="dxa"/>
            <w:tcBorders>
              <w:top w:val="nil"/>
              <w:left w:val="nil"/>
              <w:bottom w:val="single" w:sz="4" w:space="0" w:color="auto"/>
              <w:right w:val="single" w:sz="4" w:space="0" w:color="auto"/>
            </w:tcBorders>
            <w:noWrap/>
            <w:textDirection w:val="lrTb"/>
            <w:vAlign w:val="bottom"/>
          </w:tcPr>
          <w:p w:rsidR="00046025" w:rsidRPr="007D5748" w:rsidP="00046025">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812"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46025" w:rsidRPr="007D5748" w:rsidP="00046025">
            <w:pPr>
              <w:bidi w:val="0"/>
              <w:spacing w:after="0" w:line="240" w:lineRule="auto"/>
              <w:rPr>
                <w:rFonts w:ascii="Times New Roman" w:hAnsi="Times New Roman"/>
                <w:sz w:val="20"/>
                <w:szCs w:val="20"/>
                <w:vertAlign w:val="superscript"/>
                <w:lang w:eastAsia="sk-SK"/>
              </w:rPr>
            </w:pPr>
            <w:r w:rsidRPr="007D5748">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14 470,00</w:t>
            </w:r>
            <w:r w:rsidRPr="00433334">
              <w:rPr>
                <w:rFonts w:ascii="Times New Roman" w:hAnsi="Times New Roman"/>
              </w:rPr>
              <w:t> </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14 470,00</w:t>
            </w:r>
            <w:r w:rsidRPr="00433334">
              <w:rPr>
                <w:rFonts w:ascii="Times New Roman" w:hAnsi="Times New Roman"/>
              </w:rPr>
              <w:t> </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14 470,00</w:t>
            </w:r>
            <w:r w:rsidRPr="00433334">
              <w:rPr>
                <w:rFonts w:ascii="Times New Roman" w:hAnsi="Times New Roman"/>
              </w:rPr>
              <w:t> </w:t>
            </w:r>
          </w:p>
        </w:tc>
        <w:tc>
          <w:tcPr>
            <w:tcW w:w="1582" w:type="dxa"/>
            <w:tcBorders>
              <w:top w:val="nil"/>
              <w:left w:val="nil"/>
              <w:bottom w:val="single" w:sz="4" w:space="0" w:color="auto"/>
              <w:right w:val="single" w:sz="4" w:space="0" w:color="auto"/>
            </w:tcBorders>
            <w:noWrap/>
            <w:textDirection w:val="lrTb"/>
            <w:vAlign w:val="bottom"/>
          </w:tcPr>
          <w:p w:rsidR="00046025" w:rsidRPr="007D5748" w:rsidP="00046025">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812"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46025" w:rsidRPr="007D5748" w:rsidP="00046025">
            <w:pPr>
              <w:bidi w:val="0"/>
              <w:spacing w:after="0" w:line="240" w:lineRule="auto"/>
              <w:rPr>
                <w:rFonts w:ascii="Times New Roman" w:hAnsi="Times New Roman"/>
                <w:sz w:val="20"/>
                <w:szCs w:val="20"/>
                <w:vertAlign w:val="superscript"/>
                <w:lang w:eastAsia="sk-SK"/>
              </w:rPr>
            </w:pPr>
            <w:r w:rsidRPr="007D5748">
              <w:rPr>
                <w:rFonts w:ascii="Times New Roman" w:hAnsi="Times New Roman"/>
                <w:sz w:val="20"/>
                <w:szCs w:val="20"/>
                <w:lang w:eastAsia="sk-SK"/>
              </w:rPr>
              <w:t xml:space="preserve">  Tovary a služby (630)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124 130,00</w:t>
            </w:r>
            <w:r w:rsidRPr="00433334">
              <w:rPr>
                <w:rFonts w:ascii="Times New Roman" w:hAnsi="Times New Roman"/>
              </w:rPr>
              <w:t> </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124 130,00</w:t>
            </w:r>
            <w:r w:rsidRPr="00433334">
              <w:rPr>
                <w:rFonts w:ascii="Times New Roman" w:hAnsi="Times New Roman"/>
              </w:rPr>
              <w:t> </w:t>
            </w:r>
          </w:p>
        </w:tc>
        <w:tc>
          <w:tcPr>
            <w:tcW w:w="1540" w:type="dxa"/>
            <w:tcBorders>
              <w:top w:val="nil"/>
              <w:left w:val="nil"/>
              <w:bottom w:val="single" w:sz="4" w:space="0" w:color="auto"/>
              <w:right w:val="single" w:sz="4" w:space="0" w:color="auto"/>
            </w:tcBorders>
            <w:textDirection w:val="lrTb"/>
            <w:vAlign w:val="top"/>
          </w:tcPr>
          <w:p w:rsidR="00046025" w:rsidRPr="00433334" w:rsidP="00046025">
            <w:pPr>
              <w:pStyle w:val="NormalWeb"/>
              <w:bidi w:val="0"/>
              <w:spacing w:before="0" w:beforeAutospacing="0" w:after="0" w:afterAutospacing="0" w:line="240" w:lineRule="auto"/>
              <w:jc w:val="center"/>
              <w:rPr>
                <w:rFonts w:ascii="Times New Roman" w:hAnsi="Times New Roman"/>
              </w:rPr>
            </w:pPr>
            <w:r>
              <w:rPr>
                <w:rFonts w:ascii="Times New Roman" w:hAnsi="Times New Roman"/>
              </w:rPr>
              <w:t xml:space="preserve">   124 130,00</w:t>
            </w:r>
          </w:p>
        </w:tc>
        <w:tc>
          <w:tcPr>
            <w:tcW w:w="1582" w:type="dxa"/>
            <w:tcBorders>
              <w:top w:val="nil"/>
              <w:left w:val="nil"/>
              <w:bottom w:val="single" w:sz="4" w:space="0" w:color="auto"/>
              <w:right w:val="single" w:sz="4" w:space="0" w:color="auto"/>
            </w:tcBorders>
            <w:noWrap/>
            <w:textDirection w:val="lrTb"/>
            <w:vAlign w:val="bottom"/>
          </w:tcPr>
          <w:p w:rsidR="00046025" w:rsidRPr="007D5748" w:rsidP="00046025">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812"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6A3AE6" w:rsidRPr="007D5748" w:rsidP="006A3AE6">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Bežné transfery (640)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6A3AE6" w:rsidRPr="00433334" w:rsidP="006A3AE6">
            <w:pPr>
              <w:pStyle w:val="NormalWeb"/>
              <w:bidi w:val="0"/>
              <w:spacing w:before="0" w:beforeAutospacing="0" w:after="0" w:afterAutospacing="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rPr>
              <w:t>0</w:t>
            </w:r>
          </w:p>
        </w:tc>
        <w:tc>
          <w:tcPr>
            <w:tcW w:w="1582" w:type="dxa"/>
            <w:tcBorders>
              <w:top w:val="nil"/>
              <w:left w:val="nil"/>
              <w:bottom w:val="single" w:sz="4" w:space="0" w:color="auto"/>
              <w:right w:val="single" w:sz="4" w:space="0" w:color="auto"/>
            </w:tcBorders>
            <w:noWrap/>
            <w:textDirection w:val="lrTb"/>
            <w:vAlign w:val="bottom"/>
          </w:tcPr>
          <w:p w:rsidR="006A3AE6" w:rsidRPr="007D5748" w:rsidP="006A3AE6">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812"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6A3AE6" w:rsidRPr="007D5748" w:rsidP="006A3AE6">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Splácanie úrokov a ostatné platby súvisiace s </w:t>
            </w:r>
            <w:r>
              <w:t xml:space="preserve"> </w:t>
            </w:r>
            <w:r w:rsidRPr="008D339D">
              <w:rPr>
                <w:rFonts w:ascii="Times New Roman" w:hAnsi="Times New Roman"/>
                <w:sz w:val="20"/>
                <w:szCs w:val="20"/>
                <w:lang w:eastAsia="sk-SK"/>
              </w:rPr>
              <w:t>úverom, pôžičkou, návratnou finančnou výpomocou a finančným prenájmom</w:t>
            </w:r>
            <w:r w:rsidRPr="007D5748">
              <w:rPr>
                <w:rFonts w:ascii="Times New Roman" w:hAnsi="Times New Roman"/>
                <w:sz w:val="20"/>
                <w:szCs w:val="20"/>
                <w:lang w:eastAsia="sk-SK"/>
              </w:rPr>
              <w:t xml:space="preserve"> (650)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center"/>
          </w:tcPr>
          <w:p w:rsidR="006A3AE6" w:rsidRPr="00433334" w:rsidP="006A3AE6">
            <w:pPr>
              <w:pStyle w:val="NormalWeb"/>
              <w:bidi w:val="0"/>
              <w:spacing w:before="0" w:beforeAutospacing="0" w:after="0" w:afterAutospacing="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center"/>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center"/>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center"/>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rPr>
              <w:t>0</w:t>
            </w:r>
          </w:p>
        </w:tc>
        <w:tc>
          <w:tcPr>
            <w:tcW w:w="1582" w:type="dxa"/>
            <w:tcBorders>
              <w:top w:val="nil"/>
              <w:left w:val="nil"/>
              <w:bottom w:val="single" w:sz="4" w:space="0" w:color="auto"/>
              <w:right w:val="single" w:sz="4" w:space="0" w:color="auto"/>
            </w:tcBorders>
            <w:noWrap/>
            <w:textDirection w:val="lrTb"/>
            <w:vAlign w:val="center"/>
          </w:tcPr>
          <w:p w:rsidR="006A3AE6" w:rsidRPr="007D5748" w:rsidP="006A3AE6">
            <w:pPr>
              <w:bidi w:val="0"/>
              <w:spacing w:after="0" w:line="240" w:lineRule="auto"/>
              <w:rPr>
                <w:rFonts w:ascii="Times New Roman" w:hAnsi="Times New Roman"/>
                <w:sz w:val="24"/>
                <w:szCs w:val="24"/>
                <w:lang w:eastAsia="sk-SK"/>
              </w:rPr>
            </w:pPr>
          </w:p>
        </w:tc>
      </w:tr>
      <w:tr>
        <w:tblPrEx>
          <w:tblW w:w="14812"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6A3AE6" w:rsidRPr="007D5748" w:rsidP="006A3AE6">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6A3AE6" w:rsidRPr="00433334" w:rsidP="006A3AE6">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0</w:t>
            </w:r>
            <w:r w:rsidRPr="00433334">
              <w:rPr>
                <w:rFonts w:ascii="Times New Roman" w:hAnsi="Times New Roman"/>
                <w:b/>
                <w:bCs/>
              </w:rPr>
              <w:t> </w:t>
            </w:r>
          </w:p>
        </w:tc>
        <w:tc>
          <w:tcPr>
            <w:tcW w:w="1540" w:type="dxa"/>
            <w:tcBorders>
              <w:top w:val="nil"/>
              <w:left w:val="nil"/>
              <w:bottom w:val="single" w:sz="4" w:space="0" w:color="auto"/>
              <w:right w:val="single" w:sz="4" w:space="0" w:color="auto"/>
            </w:tcBorders>
            <w:textDirection w:val="lrTb"/>
            <w:vAlign w:val="top"/>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w:t>
            </w:r>
          </w:p>
        </w:tc>
        <w:tc>
          <w:tcPr>
            <w:tcW w:w="1540" w:type="dxa"/>
            <w:tcBorders>
              <w:top w:val="nil"/>
              <w:left w:val="nil"/>
              <w:bottom w:val="single" w:sz="4" w:space="0" w:color="auto"/>
              <w:right w:val="single" w:sz="4" w:space="0" w:color="auto"/>
            </w:tcBorders>
            <w:textDirection w:val="lrTb"/>
            <w:vAlign w:val="top"/>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w:t>
            </w:r>
          </w:p>
        </w:tc>
        <w:tc>
          <w:tcPr>
            <w:tcW w:w="1540" w:type="dxa"/>
            <w:tcBorders>
              <w:top w:val="nil"/>
              <w:left w:val="nil"/>
              <w:bottom w:val="single" w:sz="4" w:space="0" w:color="auto"/>
              <w:right w:val="single" w:sz="4" w:space="0" w:color="auto"/>
            </w:tcBorders>
            <w:textDirection w:val="lrTb"/>
            <w:vAlign w:val="top"/>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w:t>
            </w:r>
          </w:p>
        </w:tc>
        <w:tc>
          <w:tcPr>
            <w:tcW w:w="1582" w:type="dxa"/>
            <w:tcBorders>
              <w:top w:val="nil"/>
              <w:left w:val="nil"/>
              <w:bottom w:val="single" w:sz="4" w:space="0" w:color="auto"/>
              <w:right w:val="single" w:sz="4" w:space="0" w:color="auto"/>
            </w:tcBorders>
            <w:noWrap/>
            <w:textDirection w:val="lrTb"/>
            <w:vAlign w:val="bottom"/>
          </w:tcPr>
          <w:p w:rsidR="006A3AE6" w:rsidRPr="007D5748" w:rsidP="006A3AE6">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812"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6A3AE6" w:rsidRPr="007D5748" w:rsidP="006A3AE6">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Obstarávanie kapitálových aktív (710)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6A3AE6" w:rsidRPr="00433334" w:rsidP="006A3AE6">
            <w:pPr>
              <w:pStyle w:val="NormalWeb"/>
              <w:bidi w:val="0"/>
              <w:spacing w:before="0" w:beforeAutospacing="0" w:after="0" w:afterAutospacing="0" w:line="240" w:lineRule="auto"/>
              <w:jc w:val="right"/>
              <w:rPr>
                <w:rFonts w:ascii="Times New Roman" w:hAnsi="Times New Roman"/>
              </w:rPr>
            </w:pPr>
            <w:r>
              <w:rPr>
                <w:rFonts w:ascii="Times New Roman" w:hAnsi="Times New Roman"/>
              </w:rPr>
              <w:t>0</w:t>
            </w:r>
            <w:r w:rsidRPr="00433334">
              <w:rPr>
                <w:rFonts w:ascii="Times New Roman" w:hAnsi="Times New Roman"/>
              </w:rPr>
              <w:t> </w:t>
            </w:r>
          </w:p>
        </w:tc>
        <w:tc>
          <w:tcPr>
            <w:tcW w:w="1540" w:type="dxa"/>
            <w:tcBorders>
              <w:top w:val="nil"/>
              <w:left w:val="nil"/>
              <w:bottom w:val="single" w:sz="4" w:space="0" w:color="auto"/>
              <w:right w:val="single" w:sz="4" w:space="0" w:color="auto"/>
            </w:tcBorders>
            <w:textDirection w:val="lrTb"/>
            <w:vAlign w:val="top"/>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rPr>
              <w:t>0</w:t>
            </w:r>
          </w:p>
        </w:tc>
        <w:tc>
          <w:tcPr>
            <w:tcW w:w="1582" w:type="dxa"/>
            <w:tcBorders>
              <w:top w:val="nil"/>
              <w:left w:val="nil"/>
              <w:bottom w:val="single" w:sz="4" w:space="0" w:color="auto"/>
              <w:right w:val="single" w:sz="4" w:space="0" w:color="auto"/>
            </w:tcBorders>
            <w:noWrap/>
            <w:textDirection w:val="lrTb"/>
            <w:vAlign w:val="bottom"/>
          </w:tcPr>
          <w:p w:rsidR="006A3AE6" w:rsidRPr="007D5748" w:rsidP="006A3AE6">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812"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6A3AE6" w:rsidRPr="007D5748" w:rsidP="006A3AE6">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Kapitálové transfery (720)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6A3AE6" w:rsidRPr="00433334" w:rsidP="006A3AE6">
            <w:pPr>
              <w:pStyle w:val="NormalWeb"/>
              <w:bidi w:val="0"/>
              <w:spacing w:before="0" w:beforeAutospacing="0" w:after="0" w:afterAutospacing="0" w:line="240" w:lineRule="auto"/>
              <w:jc w:val="right"/>
              <w:rPr>
                <w:rFonts w:ascii="Times New Roman" w:hAnsi="Times New Roman"/>
              </w:rPr>
            </w:pPr>
            <w:r>
              <w:rPr>
                <w:rFonts w:ascii="Times New Roman" w:hAnsi="Times New Roman"/>
              </w:rPr>
              <w:t>0</w:t>
            </w:r>
            <w:r w:rsidRPr="00433334">
              <w:rPr>
                <w:rFonts w:ascii="Times New Roman" w:hAnsi="Times New Roman"/>
              </w:rPr>
              <w:t> </w:t>
            </w:r>
          </w:p>
        </w:tc>
        <w:tc>
          <w:tcPr>
            <w:tcW w:w="1540" w:type="dxa"/>
            <w:tcBorders>
              <w:top w:val="nil"/>
              <w:left w:val="nil"/>
              <w:bottom w:val="single" w:sz="4" w:space="0" w:color="auto"/>
              <w:right w:val="single" w:sz="4" w:space="0" w:color="auto"/>
            </w:tcBorders>
            <w:textDirection w:val="lrTb"/>
            <w:vAlign w:val="top"/>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rPr>
              <w:t>0</w:t>
            </w:r>
          </w:p>
        </w:tc>
        <w:tc>
          <w:tcPr>
            <w:tcW w:w="1582" w:type="dxa"/>
            <w:tcBorders>
              <w:top w:val="nil"/>
              <w:left w:val="nil"/>
              <w:bottom w:val="single" w:sz="4" w:space="0" w:color="auto"/>
              <w:right w:val="single" w:sz="4" w:space="0" w:color="auto"/>
            </w:tcBorders>
            <w:noWrap/>
            <w:textDirection w:val="lrTb"/>
            <w:vAlign w:val="bottom"/>
          </w:tcPr>
          <w:p w:rsidR="006A3AE6" w:rsidRPr="007D5748" w:rsidP="006A3AE6">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812"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6A3AE6" w:rsidRPr="007D5748" w:rsidP="006A3AE6">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6A3AE6" w:rsidRPr="00433334" w:rsidP="006A3AE6">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0</w:t>
            </w:r>
            <w:r w:rsidRPr="00433334">
              <w:rPr>
                <w:rFonts w:ascii="Times New Roman" w:hAnsi="Times New Roman"/>
                <w:b/>
                <w:bCs/>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w:t>
            </w:r>
          </w:p>
        </w:tc>
        <w:tc>
          <w:tcPr>
            <w:tcW w:w="1540" w:type="dxa"/>
            <w:tcBorders>
              <w:top w:val="nil"/>
              <w:left w:val="nil"/>
              <w:bottom w:val="single" w:sz="4" w:space="0" w:color="auto"/>
              <w:right w:val="single" w:sz="4" w:space="0" w:color="auto"/>
            </w:tcBorders>
            <w:shd w:val="clear" w:color="auto" w:fill="FFFF99"/>
            <w:textDirection w:val="lrTb"/>
            <w:vAlign w:val="top"/>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w:t>
            </w:r>
          </w:p>
        </w:tc>
        <w:tc>
          <w:tcPr>
            <w:tcW w:w="1540" w:type="dxa"/>
            <w:tcBorders>
              <w:top w:val="nil"/>
              <w:left w:val="nil"/>
              <w:bottom w:val="single" w:sz="4" w:space="0" w:color="auto"/>
              <w:right w:val="single" w:sz="4" w:space="0" w:color="auto"/>
            </w:tcBorders>
            <w:shd w:val="clear" w:color="auto" w:fill="FFFF99"/>
            <w:textDirection w:val="lrTb"/>
            <w:vAlign w:val="top"/>
          </w:tcPr>
          <w:p w:rsidR="006A3AE6" w:rsidRPr="00433334"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w:t>
            </w:r>
          </w:p>
        </w:tc>
        <w:tc>
          <w:tcPr>
            <w:tcW w:w="1582" w:type="dxa"/>
            <w:tcBorders>
              <w:top w:val="nil"/>
              <w:left w:val="nil"/>
              <w:bottom w:val="single" w:sz="4" w:space="0" w:color="auto"/>
              <w:right w:val="single" w:sz="4" w:space="0" w:color="auto"/>
            </w:tcBorders>
            <w:noWrap/>
            <w:textDirection w:val="lrTb"/>
            <w:vAlign w:val="bottom"/>
          </w:tcPr>
          <w:p w:rsidR="006A3AE6" w:rsidRPr="007D5748" w:rsidP="006A3AE6">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812"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6A3AE6" w:rsidRPr="007D5748" w:rsidP="006A3AE6">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6A3AE6" w:rsidRPr="00F21AC7" w:rsidP="006A3AE6">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0</w:t>
            </w:r>
            <w:r w:rsidRPr="00F21AC7">
              <w:rPr>
                <w:rFonts w:ascii="Times New Roman" w:hAnsi="Times New Roman"/>
                <w:b/>
                <w:bCs/>
              </w:rPr>
              <w:t> </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6A3AE6" w:rsidRPr="00F21AC7" w:rsidP="006A3AE6">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 xml:space="preserve">   180 000,00</w:t>
            </w:r>
            <w:r w:rsidRPr="00433334">
              <w:rPr>
                <w:rFonts w:ascii="Times New Roman" w:hAnsi="Times New Roman"/>
                <w:b/>
                <w:bCs/>
              </w:rPr>
              <w:t> </w:t>
            </w:r>
            <w:r w:rsidRPr="00F21AC7">
              <w:rPr>
                <w:rFonts w:ascii="Times New Roman" w:hAnsi="Times New Roman"/>
                <w:b/>
                <w:bCs/>
              </w:rPr>
              <w:t> </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6A3AE6" w:rsidRPr="00F21AC7"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xml:space="preserve">    180 000,00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6A3AE6" w:rsidRPr="00F21AC7" w:rsidP="006A3AE6">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180 000,00</w:t>
            </w:r>
            <w:r w:rsidRPr="00F21AC7">
              <w:rPr>
                <w:rFonts w:ascii="Times New Roman" w:hAnsi="Times New Roman"/>
                <w:b/>
                <w:bCs/>
              </w:rPr>
              <w:t> </w:t>
            </w:r>
          </w:p>
        </w:tc>
        <w:tc>
          <w:tcPr>
            <w:tcW w:w="1582" w:type="dxa"/>
            <w:tcBorders>
              <w:top w:val="single" w:sz="4" w:space="0" w:color="auto"/>
              <w:left w:val="nil"/>
              <w:bottom w:val="single" w:sz="4" w:space="0" w:color="auto"/>
              <w:right w:val="single" w:sz="4" w:space="0" w:color="auto"/>
            </w:tcBorders>
            <w:shd w:val="clear" w:color="auto" w:fill="BFBFBF"/>
            <w:noWrap/>
            <w:textDirection w:val="lrTb"/>
            <w:vAlign w:val="bottom"/>
          </w:tcPr>
          <w:p w:rsidR="006A3AE6" w:rsidRPr="007D5748" w:rsidP="006A3AE6">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bl>
    <w:p w:rsidR="009933A2" w:rsidRPr="007D5748" w:rsidP="009933A2">
      <w:pPr>
        <w:tabs>
          <w:tab w:val="num" w:pos="1080"/>
        </w:tabs>
        <w:bidi w:val="0"/>
        <w:spacing w:after="0" w:line="240" w:lineRule="auto"/>
        <w:ind w:left="-900"/>
        <w:jc w:val="both"/>
        <w:rPr>
          <w:rFonts w:ascii="Times New Roman" w:hAnsi="Times New Roman"/>
          <w:bCs/>
          <w:sz w:val="20"/>
          <w:szCs w:val="20"/>
          <w:lang w:eastAsia="sk-SK"/>
        </w:rPr>
      </w:pPr>
      <w:r w:rsidRPr="007D5748">
        <w:rPr>
          <w:rFonts w:ascii="Times New Roman" w:hAnsi="Times New Roman"/>
          <w:bCs/>
          <w:sz w:val="20"/>
          <w:szCs w:val="20"/>
          <w:lang w:eastAsia="sk-SK"/>
        </w:rPr>
        <w:t>2 –  výdavky rozpísať až do položiek platnej ekonomickej klasifikácie</w:t>
      </w:r>
    </w:p>
    <w:p w:rsidR="009933A2" w:rsidRPr="007D5748" w:rsidP="007D5748">
      <w:pPr>
        <w:tabs>
          <w:tab w:val="num" w:pos="1080"/>
        </w:tabs>
        <w:bidi w:val="0"/>
        <w:spacing w:after="0" w:line="240" w:lineRule="auto"/>
        <w:ind w:left="-900"/>
        <w:jc w:val="both"/>
        <w:rPr>
          <w:rFonts w:ascii="Times New Roman" w:hAnsi="Times New Roman"/>
          <w:bCs/>
          <w:sz w:val="20"/>
          <w:szCs w:val="20"/>
          <w:lang w:eastAsia="sk-SK"/>
        </w:rPr>
      </w:pPr>
    </w:p>
    <w:p w:rsidR="007D5748" w:rsidRPr="007D5748" w:rsidP="007D5748">
      <w:pPr>
        <w:tabs>
          <w:tab w:val="num" w:pos="1080"/>
        </w:tabs>
        <w:bidi w:val="0"/>
        <w:spacing w:after="0" w:line="240" w:lineRule="auto"/>
        <w:ind w:left="-900"/>
        <w:jc w:val="both"/>
        <w:rPr>
          <w:rFonts w:ascii="Times New Roman" w:hAnsi="Times New Roman"/>
          <w:b/>
          <w:bCs/>
          <w:sz w:val="20"/>
          <w:szCs w:val="20"/>
          <w:lang w:eastAsia="sk-SK"/>
        </w:rPr>
      </w:pPr>
      <w:r w:rsidRPr="007D5748">
        <w:rPr>
          <w:rFonts w:ascii="Times New Roman" w:hAnsi="Times New Roman"/>
          <w:b/>
          <w:bCs/>
          <w:sz w:val="24"/>
          <w:szCs w:val="20"/>
          <w:lang w:eastAsia="sk-SK"/>
        </w:rPr>
        <w:t>Poznámka:</w:t>
      </w:r>
    </w:p>
    <w:p w:rsidR="007D5748" w:rsidP="007D5748">
      <w:pPr>
        <w:tabs>
          <w:tab w:val="num" w:pos="1080"/>
        </w:tabs>
        <w:bidi w:val="0"/>
        <w:spacing w:after="0" w:line="240" w:lineRule="auto"/>
        <w:ind w:left="-900"/>
        <w:jc w:val="both"/>
        <w:rPr>
          <w:rFonts w:ascii="Times New Roman" w:hAnsi="Times New Roman"/>
          <w:bCs/>
          <w:sz w:val="24"/>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w:t>
      </w:r>
    </w:p>
    <w:p w:rsidR="009933A2" w:rsidP="007D5748">
      <w:pPr>
        <w:tabs>
          <w:tab w:val="num" w:pos="1080"/>
        </w:tabs>
        <w:bidi w:val="0"/>
        <w:spacing w:after="0" w:line="240" w:lineRule="auto"/>
        <w:ind w:left="-900"/>
        <w:jc w:val="both"/>
        <w:rPr>
          <w:rFonts w:ascii="Times New Roman" w:hAnsi="Times New Roman"/>
          <w:bCs/>
          <w:sz w:val="24"/>
          <w:szCs w:val="20"/>
          <w:lang w:eastAsia="sk-SK"/>
        </w:rPr>
      </w:pPr>
    </w:p>
    <w:p w:rsidR="009933A2" w:rsidP="007D5748">
      <w:pPr>
        <w:tabs>
          <w:tab w:val="num" w:pos="1080"/>
        </w:tabs>
        <w:bidi w:val="0"/>
        <w:spacing w:after="0" w:line="240" w:lineRule="auto"/>
        <w:ind w:left="-900"/>
        <w:jc w:val="both"/>
        <w:rPr>
          <w:rFonts w:ascii="Times New Roman" w:hAnsi="Times New Roman"/>
          <w:bCs/>
          <w:sz w:val="24"/>
          <w:szCs w:val="20"/>
          <w:lang w:eastAsia="sk-SK"/>
        </w:rPr>
      </w:pPr>
    </w:p>
    <w:p w:rsidR="00602E43" w:rsidP="007D5748">
      <w:pPr>
        <w:tabs>
          <w:tab w:val="num" w:pos="1080"/>
        </w:tabs>
        <w:bidi w:val="0"/>
        <w:spacing w:after="0" w:line="240" w:lineRule="auto"/>
        <w:ind w:left="-900"/>
        <w:jc w:val="both"/>
        <w:rPr>
          <w:rFonts w:ascii="Times New Roman" w:hAnsi="Times New Roman"/>
          <w:bCs/>
          <w:sz w:val="24"/>
          <w:szCs w:val="20"/>
          <w:lang w:eastAsia="sk-SK"/>
        </w:rPr>
      </w:pPr>
    </w:p>
    <w:p w:rsidR="00602E43" w:rsidP="007D5748">
      <w:pPr>
        <w:tabs>
          <w:tab w:val="num" w:pos="1080"/>
        </w:tabs>
        <w:bidi w:val="0"/>
        <w:spacing w:after="0" w:line="240" w:lineRule="auto"/>
        <w:ind w:left="-900"/>
        <w:jc w:val="both"/>
        <w:rPr>
          <w:rFonts w:ascii="Times New Roman" w:hAnsi="Times New Roman"/>
          <w:bCs/>
          <w:sz w:val="24"/>
          <w:szCs w:val="20"/>
          <w:lang w:eastAsia="sk-SK"/>
        </w:rPr>
      </w:pPr>
    </w:p>
    <w:p w:rsidR="00602E43" w:rsidP="007D5748">
      <w:pPr>
        <w:tabs>
          <w:tab w:val="num" w:pos="1080"/>
        </w:tabs>
        <w:bidi w:val="0"/>
        <w:spacing w:after="0" w:line="240" w:lineRule="auto"/>
        <w:ind w:left="-900"/>
        <w:jc w:val="both"/>
        <w:rPr>
          <w:rFonts w:ascii="Times New Roman" w:hAnsi="Times New Roman"/>
          <w:bCs/>
          <w:sz w:val="24"/>
          <w:szCs w:val="20"/>
          <w:lang w:eastAsia="sk-SK"/>
        </w:rPr>
      </w:pPr>
    </w:p>
    <w:p w:rsidR="00602E43" w:rsidP="007D5748">
      <w:pPr>
        <w:tabs>
          <w:tab w:val="num" w:pos="1080"/>
        </w:tabs>
        <w:bidi w:val="0"/>
        <w:spacing w:after="0" w:line="240" w:lineRule="auto"/>
        <w:ind w:left="-900"/>
        <w:jc w:val="both"/>
        <w:rPr>
          <w:rFonts w:ascii="Times New Roman" w:hAnsi="Times New Roman"/>
          <w:bCs/>
          <w:sz w:val="24"/>
          <w:szCs w:val="20"/>
          <w:lang w:eastAsia="sk-SK"/>
        </w:rPr>
      </w:pPr>
    </w:p>
    <w:p w:rsidR="00602E43" w:rsidP="007D5748">
      <w:pPr>
        <w:tabs>
          <w:tab w:val="num" w:pos="1080"/>
        </w:tabs>
        <w:bidi w:val="0"/>
        <w:spacing w:after="0" w:line="240" w:lineRule="auto"/>
        <w:ind w:left="-900"/>
        <w:jc w:val="both"/>
        <w:rPr>
          <w:rFonts w:ascii="Times New Roman" w:hAnsi="Times New Roman"/>
          <w:bCs/>
          <w:sz w:val="24"/>
          <w:szCs w:val="20"/>
          <w:lang w:eastAsia="sk-SK"/>
        </w:rPr>
      </w:pPr>
    </w:p>
    <w:p w:rsidR="00602E43" w:rsidP="007D5748">
      <w:pPr>
        <w:tabs>
          <w:tab w:val="num" w:pos="1080"/>
        </w:tabs>
        <w:bidi w:val="0"/>
        <w:spacing w:after="0" w:line="240" w:lineRule="auto"/>
        <w:ind w:left="-900"/>
        <w:jc w:val="both"/>
        <w:rPr>
          <w:rFonts w:ascii="Times New Roman" w:hAnsi="Times New Roman"/>
          <w:bCs/>
          <w:sz w:val="24"/>
          <w:szCs w:val="20"/>
          <w:lang w:eastAsia="sk-SK"/>
        </w:rPr>
      </w:pPr>
    </w:p>
    <w:p w:rsidR="00602E43" w:rsidP="007D5748">
      <w:pPr>
        <w:tabs>
          <w:tab w:val="num" w:pos="1080"/>
        </w:tabs>
        <w:bidi w:val="0"/>
        <w:spacing w:after="0" w:line="240" w:lineRule="auto"/>
        <w:ind w:left="-900"/>
        <w:jc w:val="both"/>
        <w:rPr>
          <w:rFonts w:ascii="Times New Roman" w:hAnsi="Times New Roman"/>
          <w:bCs/>
          <w:sz w:val="24"/>
          <w:szCs w:val="20"/>
          <w:lang w:eastAsia="sk-SK"/>
        </w:rPr>
      </w:pPr>
    </w:p>
    <w:p w:rsidR="00602E43" w:rsidP="007D5748">
      <w:pPr>
        <w:tabs>
          <w:tab w:val="num" w:pos="1080"/>
        </w:tabs>
        <w:bidi w:val="0"/>
        <w:spacing w:after="0" w:line="240" w:lineRule="auto"/>
        <w:ind w:left="-900"/>
        <w:jc w:val="both"/>
        <w:rPr>
          <w:rFonts w:ascii="Times New Roman" w:hAnsi="Times New Roman"/>
          <w:bCs/>
          <w:sz w:val="24"/>
          <w:szCs w:val="20"/>
          <w:lang w:eastAsia="sk-SK"/>
        </w:rPr>
      </w:pPr>
    </w:p>
    <w:p w:rsidR="00602E43" w:rsidP="007D5748">
      <w:pPr>
        <w:tabs>
          <w:tab w:val="num" w:pos="1080"/>
        </w:tabs>
        <w:bidi w:val="0"/>
        <w:spacing w:after="0" w:line="240" w:lineRule="auto"/>
        <w:ind w:left="-900"/>
        <w:jc w:val="both"/>
        <w:rPr>
          <w:rFonts w:ascii="Times New Roman" w:hAnsi="Times New Roman"/>
          <w:bCs/>
          <w:sz w:val="24"/>
          <w:szCs w:val="20"/>
          <w:lang w:eastAsia="sk-SK"/>
        </w:rPr>
      </w:pPr>
    </w:p>
    <w:p w:rsidR="00602E43" w:rsidP="007D5748">
      <w:pPr>
        <w:tabs>
          <w:tab w:val="num" w:pos="1080"/>
        </w:tabs>
        <w:bidi w:val="0"/>
        <w:spacing w:after="0" w:line="240" w:lineRule="auto"/>
        <w:ind w:left="-900"/>
        <w:jc w:val="both"/>
        <w:rPr>
          <w:rFonts w:ascii="Times New Roman" w:hAnsi="Times New Roman"/>
          <w:bCs/>
          <w:sz w:val="24"/>
          <w:szCs w:val="20"/>
          <w:lang w:eastAsia="sk-SK"/>
        </w:rPr>
      </w:pPr>
    </w:p>
    <w:p w:rsidR="00602E43" w:rsidP="007D5748">
      <w:pPr>
        <w:tabs>
          <w:tab w:val="num" w:pos="1080"/>
        </w:tabs>
        <w:bidi w:val="0"/>
        <w:spacing w:after="0" w:line="240" w:lineRule="auto"/>
        <w:ind w:left="-900"/>
        <w:jc w:val="both"/>
        <w:rPr>
          <w:rFonts w:ascii="Times New Roman" w:hAnsi="Times New Roman"/>
          <w:bCs/>
          <w:sz w:val="24"/>
          <w:szCs w:val="20"/>
          <w:lang w:eastAsia="sk-SK"/>
        </w:rPr>
      </w:pPr>
    </w:p>
    <w:p w:rsidR="00602E43" w:rsidRPr="007D5748" w:rsidP="007D5748">
      <w:pPr>
        <w:tabs>
          <w:tab w:val="num" w:pos="1080"/>
        </w:tabs>
        <w:bidi w:val="0"/>
        <w:spacing w:after="0" w:line="240" w:lineRule="auto"/>
        <w:ind w:left="-900"/>
        <w:jc w:val="both"/>
        <w:rPr>
          <w:rFonts w:ascii="Times New Roman" w:hAnsi="Times New Roman"/>
          <w:bCs/>
          <w:sz w:val="20"/>
          <w:szCs w:val="20"/>
          <w:lang w:eastAsia="sk-SK"/>
        </w:rPr>
      </w:pPr>
    </w:p>
    <w:p w:rsidR="007D5748" w:rsidRPr="00E72448" w:rsidP="00602E43">
      <w:pPr>
        <w:tabs>
          <w:tab w:val="num" w:pos="1080"/>
        </w:tabs>
        <w:bidi w:val="0"/>
        <w:spacing w:after="0" w:line="240" w:lineRule="auto"/>
        <w:rPr>
          <w:rFonts w:ascii="Times New Roman" w:hAnsi="Times New Roman"/>
          <w:bCs/>
          <w:sz w:val="24"/>
          <w:szCs w:val="24"/>
          <w:lang w:eastAsia="sk-SK"/>
        </w:rPr>
      </w:pPr>
      <w:r w:rsidR="00602E43">
        <w:rPr>
          <w:rFonts w:ascii="Times New Roman" w:hAnsi="Times New Roman"/>
          <w:bCs/>
          <w:sz w:val="24"/>
          <w:szCs w:val="24"/>
          <w:lang w:eastAsia="sk-SK"/>
        </w:rPr>
        <w:t xml:space="preserve">Za Štátny ústav pre kontrolu liečiv, Bratislava:                                                                                                                                         </w:t>
      </w:r>
      <w:r w:rsidR="00E72448">
        <w:rPr>
          <w:rFonts w:ascii="Times New Roman" w:hAnsi="Times New Roman"/>
          <w:bCs/>
          <w:sz w:val="24"/>
          <w:szCs w:val="24"/>
          <w:lang w:eastAsia="sk-SK"/>
        </w:rPr>
        <w:t>Tabuľka č. 5</w:t>
      </w:r>
    </w:p>
    <w:tbl>
      <w:tblPr>
        <w:tblStyle w:val="TableNormal"/>
        <w:tblW w:w="14888" w:type="dxa"/>
        <w:jc w:val="center"/>
        <w:tblCellMar>
          <w:left w:w="70" w:type="dxa"/>
          <w:right w:w="70" w:type="dxa"/>
        </w:tblCellMar>
      </w:tblPr>
      <w:tblGrid>
        <w:gridCol w:w="6126"/>
        <w:gridCol w:w="1683"/>
        <w:gridCol w:w="1825"/>
        <w:gridCol w:w="1985"/>
        <w:gridCol w:w="2062"/>
        <w:gridCol w:w="1207"/>
      </w:tblGrid>
      <w:tr>
        <w:tblPrEx>
          <w:tblW w:w="14888" w:type="dxa"/>
          <w:jc w:val="center"/>
          <w:tblCellMar>
            <w:left w:w="70" w:type="dxa"/>
            <w:right w:w="70" w:type="dxa"/>
          </w:tblCellMar>
        </w:tblPrEx>
        <w:trPr>
          <w:cantSplit/>
          <w:trHeight w:val="255"/>
          <w:jc w:val="center"/>
        </w:trPr>
        <w:tc>
          <w:tcPr>
            <w:tcW w:w="6126"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Zamestnanosť</w:t>
            </w:r>
          </w:p>
        </w:tc>
        <w:tc>
          <w:tcPr>
            <w:tcW w:w="7555"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7D5748" w:rsidRPr="007D5748" w:rsidP="007D5748">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w:t>
            </w:r>
          </w:p>
        </w:tc>
        <w:tc>
          <w:tcPr>
            <w:tcW w:w="1207"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7D5748" w:rsidP="007D5748">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tblPrEx>
          <w:tblW w:w="14888" w:type="dxa"/>
          <w:jc w:val="center"/>
          <w:tblCellMar>
            <w:left w:w="70" w:type="dxa"/>
            <w:right w:w="70" w:type="dxa"/>
          </w:tblCellMar>
        </w:tblPrEx>
        <w:trPr>
          <w:cantSplit/>
          <w:trHeight w:val="255"/>
          <w:jc w:val="center"/>
        </w:trPr>
        <w:tc>
          <w:tcPr>
            <w:tcW w:w="6126"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46025" w:rsidRPr="007D5748" w:rsidP="00046025">
            <w:pPr>
              <w:bidi w:val="0"/>
              <w:spacing w:after="0" w:line="240" w:lineRule="auto"/>
              <w:rPr>
                <w:rFonts w:ascii="Times New Roman" w:hAnsi="Times New Roman"/>
                <w:b/>
                <w:bCs/>
                <w:sz w:val="24"/>
                <w:szCs w:val="24"/>
                <w:lang w:eastAsia="sk-SK"/>
              </w:rPr>
            </w:pPr>
          </w:p>
        </w:tc>
        <w:tc>
          <w:tcPr>
            <w:tcW w:w="1683" w:type="dxa"/>
            <w:tcBorders>
              <w:top w:val="nil"/>
              <w:left w:val="nil"/>
              <w:bottom w:val="single" w:sz="4" w:space="0" w:color="auto"/>
              <w:right w:val="single" w:sz="4" w:space="0" w:color="auto"/>
            </w:tcBorders>
            <w:shd w:val="clear" w:color="auto" w:fill="BFBFBF"/>
            <w:textDirection w:val="lrTb"/>
            <w:vAlign w:val="top"/>
          </w:tcPr>
          <w:p w:rsidR="00046025" w:rsidRPr="007D5748" w:rsidP="00046025">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Pr>
                <w:rFonts w:ascii="Times New Roman" w:hAnsi="Times New Roman"/>
                <w:b/>
                <w:bCs/>
                <w:sz w:val="24"/>
                <w:szCs w:val="24"/>
                <w:lang w:eastAsia="sk-SK"/>
              </w:rPr>
              <w:t>. 2018</w:t>
            </w:r>
          </w:p>
        </w:tc>
        <w:tc>
          <w:tcPr>
            <w:tcW w:w="1825" w:type="dxa"/>
            <w:tcBorders>
              <w:top w:val="nil"/>
              <w:left w:val="nil"/>
              <w:bottom w:val="single" w:sz="4" w:space="0" w:color="auto"/>
              <w:right w:val="single" w:sz="4" w:space="0" w:color="auto"/>
            </w:tcBorders>
            <w:shd w:val="clear" w:color="auto" w:fill="BFBFBF"/>
            <w:textDirection w:val="lrTb"/>
            <w:vAlign w:val="top"/>
          </w:tcPr>
          <w:p w:rsidR="00046025" w:rsidRPr="007D5748" w:rsidP="00046025">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Pr>
                <w:rFonts w:ascii="Times New Roman" w:hAnsi="Times New Roman"/>
                <w:b/>
                <w:bCs/>
                <w:sz w:val="24"/>
                <w:szCs w:val="24"/>
                <w:lang w:eastAsia="sk-SK"/>
              </w:rPr>
              <w:t>. 2019</w:t>
            </w:r>
          </w:p>
        </w:tc>
        <w:tc>
          <w:tcPr>
            <w:tcW w:w="1985" w:type="dxa"/>
            <w:tcBorders>
              <w:top w:val="nil"/>
              <w:left w:val="nil"/>
              <w:bottom w:val="single" w:sz="4" w:space="0" w:color="auto"/>
              <w:right w:val="single" w:sz="4" w:space="0" w:color="auto"/>
            </w:tcBorders>
            <w:shd w:val="clear" w:color="auto" w:fill="BFBFBF"/>
            <w:textDirection w:val="lrTb"/>
            <w:vAlign w:val="top"/>
          </w:tcPr>
          <w:p w:rsidR="00046025" w:rsidRPr="007D5748" w:rsidP="00046025">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Pr>
                <w:rFonts w:ascii="Times New Roman" w:hAnsi="Times New Roman"/>
                <w:b/>
                <w:bCs/>
                <w:sz w:val="24"/>
                <w:szCs w:val="24"/>
                <w:lang w:eastAsia="sk-SK"/>
              </w:rPr>
              <w:t>. 2020</w:t>
            </w:r>
          </w:p>
        </w:tc>
        <w:tc>
          <w:tcPr>
            <w:tcW w:w="2062" w:type="dxa"/>
            <w:tcBorders>
              <w:top w:val="nil"/>
              <w:left w:val="nil"/>
              <w:bottom w:val="single" w:sz="4" w:space="0" w:color="auto"/>
              <w:right w:val="single" w:sz="4" w:space="0" w:color="auto"/>
            </w:tcBorders>
            <w:shd w:val="clear" w:color="auto" w:fill="BFBFBF"/>
            <w:textDirection w:val="lrTb"/>
            <w:vAlign w:val="top"/>
          </w:tcPr>
          <w:p w:rsidR="00046025" w:rsidRPr="007D5748" w:rsidP="00046025">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Pr>
                <w:rFonts w:ascii="Times New Roman" w:hAnsi="Times New Roman"/>
                <w:b/>
                <w:bCs/>
                <w:sz w:val="24"/>
                <w:szCs w:val="24"/>
                <w:lang w:eastAsia="sk-SK"/>
              </w:rPr>
              <w:t>. 2021</w:t>
            </w:r>
          </w:p>
        </w:tc>
        <w:tc>
          <w:tcPr>
            <w:tcW w:w="1207"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46025" w:rsidRPr="007D5748" w:rsidP="00046025">
            <w:pPr>
              <w:bidi w:val="0"/>
              <w:spacing w:after="0" w:line="240" w:lineRule="auto"/>
              <w:rPr>
                <w:rFonts w:ascii="Times New Roman" w:hAnsi="Times New Roman"/>
                <w:b/>
                <w:bCs/>
                <w:color w:val="FFFFFF"/>
                <w:sz w:val="24"/>
                <w:szCs w:val="24"/>
                <w:lang w:eastAsia="sk-SK"/>
              </w:rPr>
            </w:pPr>
          </w:p>
        </w:tc>
      </w:tr>
      <w:tr>
        <w:tblPrEx>
          <w:tblW w:w="14888" w:type="dxa"/>
          <w:jc w:val="center"/>
          <w:tblCellMar>
            <w:left w:w="70" w:type="dxa"/>
            <w:right w:w="70" w:type="dxa"/>
          </w:tblCellMar>
        </w:tblPrEx>
        <w:trPr>
          <w:trHeight w:val="255"/>
          <w:jc w:val="center"/>
        </w:trPr>
        <w:tc>
          <w:tcPr>
            <w:tcW w:w="6126" w:type="dxa"/>
            <w:tcBorders>
              <w:top w:val="nil"/>
              <w:left w:val="single" w:sz="4" w:space="0" w:color="auto"/>
              <w:bottom w:val="single" w:sz="4" w:space="0" w:color="auto"/>
              <w:right w:val="single" w:sz="4" w:space="0" w:color="auto"/>
            </w:tcBorders>
            <w:textDirection w:val="lrTb"/>
            <w:vAlign w:val="top"/>
          </w:tcPr>
          <w:p w:rsidR="00046025" w:rsidRPr="007D5748" w:rsidP="00046025">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Počet zamestnancov celkom</w:t>
            </w:r>
          </w:p>
        </w:tc>
        <w:tc>
          <w:tcPr>
            <w:tcW w:w="1683" w:type="dxa"/>
            <w:tcBorders>
              <w:top w:val="nil"/>
              <w:left w:val="nil"/>
              <w:bottom w:val="single" w:sz="4" w:space="0" w:color="auto"/>
              <w:right w:val="single" w:sz="4" w:space="0" w:color="auto"/>
            </w:tcBorders>
            <w:textDirection w:val="lrTb"/>
            <w:vAlign w:val="top"/>
          </w:tcPr>
          <w:p w:rsidR="00046025" w:rsidRPr="00161D5C" w:rsidP="00046025">
            <w:pPr>
              <w:pStyle w:val="NormalWeb"/>
              <w:bidi w:val="0"/>
              <w:spacing w:before="0" w:beforeAutospacing="0" w:after="0" w:afterAutospacing="0" w:line="240" w:lineRule="auto"/>
              <w:jc w:val="right"/>
              <w:rPr>
                <w:rFonts w:ascii="Times New Roman" w:hAnsi="Times New Roman"/>
                <w:b/>
              </w:rPr>
            </w:pPr>
            <w:r>
              <w:rPr>
                <w:rFonts w:ascii="Times New Roman" w:hAnsi="Times New Roman"/>
                <w:b/>
              </w:rPr>
              <w:t>0</w:t>
            </w:r>
          </w:p>
        </w:tc>
        <w:tc>
          <w:tcPr>
            <w:tcW w:w="1825" w:type="dxa"/>
            <w:tcBorders>
              <w:top w:val="nil"/>
              <w:left w:val="nil"/>
              <w:bottom w:val="single" w:sz="4" w:space="0" w:color="auto"/>
              <w:right w:val="single" w:sz="4" w:space="0" w:color="auto"/>
            </w:tcBorders>
            <w:textDirection w:val="lrTb"/>
            <w:vAlign w:val="top"/>
          </w:tcPr>
          <w:p w:rsidR="00046025" w:rsidRPr="00161D5C" w:rsidP="00046025">
            <w:pPr>
              <w:pStyle w:val="NormalWeb"/>
              <w:bidi w:val="0"/>
              <w:spacing w:before="0" w:beforeAutospacing="0" w:after="0" w:afterAutospacing="0" w:line="240" w:lineRule="auto"/>
              <w:jc w:val="center"/>
              <w:rPr>
                <w:rFonts w:ascii="Times New Roman" w:hAnsi="Times New Roman"/>
                <w:b/>
              </w:rPr>
            </w:pPr>
            <w:r>
              <w:rPr>
                <w:rFonts w:ascii="Times New Roman" w:hAnsi="Times New Roman"/>
                <w:b/>
              </w:rPr>
              <w:t xml:space="preserve">       22</w:t>
            </w:r>
          </w:p>
        </w:tc>
        <w:tc>
          <w:tcPr>
            <w:tcW w:w="1985" w:type="dxa"/>
            <w:tcBorders>
              <w:top w:val="nil"/>
              <w:left w:val="nil"/>
              <w:bottom w:val="single" w:sz="4" w:space="0" w:color="auto"/>
              <w:right w:val="single" w:sz="4" w:space="0" w:color="auto"/>
            </w:tcBorders>
            <w:textDirection w:val="lrTb"/>
            <w:vAlign w:val="top"/>
          </w:tcPr>
          <w:p w:rsidR="00046025" w:rsidRPr="00161D5C" w:rsidP="00046025">
            <w:pPr>
              <w:pStyle w:val="NormalWeb"/>
              <w:bidi w:val="0"/>
              <w:spacing w:before="0" w:beforeAutospacing="0" w:after="0" w:afterAutospacing="0" w:line="240" w:lineRule="auto"/>
              <w:jc w:val="center"/>
              <w:rPr>
                <w:rFonts w:ascii="Times New Roman" w:hAnsi="Times New Roman"/>
                <w:b/>
              </w:rPr>
            </w:pPr>
            <w:r w:rsidR="006A3AE6">
              <w:rPr>
                <w:rFonts w:ascii="Times New Roman" w:hAnsi="Times New Roman"/>
                <w:b/>
              </w:rPr>
              <w:t xml:space="preserve">              </w:t>
            </w:r>
            <w:r>
              <w:rPr>
                <w:rFonts w:ascii="Times New Roman" w:hAnsi="Times New Roman"/>
                <w:b/>
              </w:rPr>
              <w:t xml:space="preserve">  </w:t>
            </w:r>
            <w:r w:rsidRPr="00161D5C">
              <w:rPr>
                <w:rFonts w:ascii="Times New Roman" w:hAnsi="Times New Roman"/>
                <w:b/>
              </w:rPr>
              <w:t>2</w:t>
            </w:r>
            <w:r>
              <w:rPr>
                <w:rFonts w:ascii="Times New Roman" w:hAnsi="Times New Roman"/>
                <w:b/>
              </w:rPr>
              <w:t>2</w:t>
            </w:r>
            <w:r w:rsidRPr="00161D5C">
              <w:rPr>
                <w:rFonts w:ascii="Times New Roman" w:hAnsi="Times New Roman"/>
                <w:b/>
              </w:rPr>
              <w:t xml:space="preserve"> </w:t>
            </w:r>
          </w:p>
        </w:tc>
        <w:tc>
          <w:tcPr>
            <w:tcW w:w="2062" w:type="dxa"/>
            <w:tcBorders>
              <w:top w:val="nil"/>
              <w:left w:val="nil"/>
              <w:bottom w:val="single" w:sz="4" w:space="0" w:color="auto"/>
              <w:right w:val="single" w:sz="4" w:space="0" w:color="auto"/>
            </w:tcBorders>
            <w:textDirection w:val="lrTb"/>
            <w:vAlign w:val="top"/>
          </w:tcPr>
          <w:p w:rsidR="00046025" w:rsidRPr="00161D5C" w:rsidP="00046025">
            <w:pPr>
              <w:pStyle w:val="NormalWeb"/>
              <w:bidi w:val="0"/>
              <w:spacing w:before="0" w:beforeAutospacing="0" w:after="0" w:afterAutospacing="0" w:line="240" w:lineRule="auto"/>
              <w:jc w:val="center"/>
              <w:rPr>
                <w:rFonts w:ascii="Times New Roman" w:hAnsi="Times New Roman"/>
                <w:b/>
              </w:rPr>
            </w:pPr>
            <w:r>
              <w:rPr>
                <w:rFonts w:ascii="Times New Roman" w:hAnsi="Times New Roman"/>
                <w:b/>
              </w:rPr>
              <w:t xml:space="preserve">          </w:t>
            </w:r>
            <w:r w:rsidRPr="00161D5C">
              <w:rPr>
                <w:rFonts w:ascii="Times New Roman" w:hAnsi="Times New Roman"/>
                <w:b/>
              </w:rPr>
              <w:t>2</w:t>
            </w:r>
            <w:r>
              <w:rPr>
                <w:rFonts w:ascii="Times New Roman" w:hAnsi="Times New Roman"/>
                <w:b/>
              </w:rPr>
              <w:t>2</w:t>
            </w:r>
          </w:p>
        </w:tc>
        <w:tc>
          <w:tcPr>
            <w:tcW w:w="1207" w:type="dxa"/>
            <w:tcBorders>
              <w:top w:val="nil"/>
              <w:left w:val="nil"/>
              <w:bottom w:val="single" w:sz="4" w:space="0" w:color="auto"/>
              <w:right w:val="single" w:sz="4" w:space="0" w:color="auto"/>
            </w:tcBorders>
            <w:noWrap/>
            <w:textDirection w:val="lrTb"/>
            <w:vAlign w:val="bottom"/>
          </w:tcPr>
          <w:p w:rsidR="00046025" w:rsidRPr="007D5748" w:rsidP="00046025">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888" w:type="dxa"/>
          <w:jc w:val="center"/>
          <w:tblCellMar>
            <w:left w:w="70" w:type="dxa"/>
            <w:right w:w="70" w:type="dxa"/>
          </w:tblCellMar>
        </w:tblPrEx>
        <w:trPr>
          <w:trHeight w:val="255"/>
          <w:jc w:val="center"/>
        </w:trPr>
        <w:tc>
          <w:tcPr>
            <w:tcW w:w="6126" w:type="dxa"/>
            <w:tcBorders>
              <w:top w:val="nil"/>
              <w:left w:val="single" w:sz="4" w:space="0" w:color="auto"/>
              <w:bottom w:val="single" w:sz="4" w:space="0" w:color="auto"/>
              <w:right w:val="single" w:sz="4" w:space="0" w:color="auto"/>
            </w:tcBorders>
            <w:textDirection w:val="lrTb"/>
            <w:vAlign w:val="top"/>
          </w:tcPr>
          <w:p w:rsidR="00046025" w:rsidRPr="007D5748" w:rsidP="00046025">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xml:space="preserve">   z toho vplyv na ŠR</w:t>
            </w:r>
          </w:p>
        </w:tc>
        <w:tc>
          <w:tcPr>
            <w:tcW w:w="1683" w:type="dxa"/>
            <w:tcBorders>
              <w:top w:val="single" w:sz="4" w:space="0" w:color="auto"/>
              <w:left w:val="nil"/>
              <w:bottom w:val="single" w:sz="4" w:space="0" w:color="auto"/>
              <w:right w:val="single" w:sz="4" w:space="0" w:color="auto"/>
            </w:tcBorders>
            <w:textDirection w:val="lrTb"/>
            <w:vAlign w:val="top"/>
          </w:tcPr>
          <w:p w:rsidR="00046025" w:rsidRPr="003534AB" w:rsidP="00046025">
            <w:pPr>
              <w:pStyle w:val="NormalWeb"/>
              <w:bidi w:val="0"/>
              <w:spacing w:before="0" w:beforeAutospacing="0" w:after="0" w:afterAutospacing="0" w:line="240" w:lineRule="auto"/>
              <w:jc w:val="right"/>
              <w:rPr>
                <w:rFonts w:ascii="Times New Roman" w:hAnsi="Times New Roman"/>
                <w:b/>
              </w:rPr>
            </w:pPr>
            <w:r w:rsidRPr="003534AB">
              <w:rPr>
                <w:rFonts w:ascii="Times New Roman" w:hAnsi="Times New Roman"/>
                <w:b/>
              </w:rPr>
              <w:t>0</w:t>
            </w:r>
          </w:p>
        </w:tc>
        <w:tc>
          <w:tcPr>
            <w:tcW w:w="1825" w:type="dxa"/>
            <w:tcBorders>
              <w:top w:val="single" w:sz="4" w:space="0" w:color="auto"/>
              <w:left w:val="nil"/>
              <w:bottom w:val="single" w:sz="4" w:space="0" w:color="auto"/>
              <w:right w:val="single" w:sz="4" w:space="0" w:color="auto"/>
            </w:tcBorders>
            <w:textDirection w:val="lrTb"/>
            <w:vAlign w:val="top"/>
          </w:tcPr>
          <w:p w:rsidR="00046025" w:rsidRPr="003534AB" w:rsidP="00046025">
            <w:pPr>
              <w:pStyle w:val="NormalWeb"/>
              <w:bidi w:val="0"/>
              <w:spacing w:before="0" w:beforeAutospacing="0" w:after="0" w:afterAutospacing="0" w:line="240" w:lineRule="auto"/>
              <w:jc w:val="center"/>
              <w:rPr>
                <w:rFonts w:ascii="Times New Roman" w:hAnsi="Times New Roman"/>
                <w:b/>
              </w:rPr>
            </w:pPr>
            <w:r>
              <w:rPr>
                <w:rFonts w:ascii="Times New Roman" w:hAnsi="Times New Roman"/>
                <w:b/>
              </w:rPr>
              <w:t xml:space="preserve">         0</w:t>
            </w:r>
          </w:p>
        </w:tc>
        <w:tc>
          <w:tcPr>
            <w:tcW w:w="1985" w:type="dxa"/>
            <w:tcBorders>
              <w:top w:val="single" w:sz="4" w:space="0" w:color="auto"/>
              <w:left w:val="nil"/>
              <w:bottom w:val="single" w:sz="4" w:space="0" w:color="auto"/>
              <w:right w:val="single" w:sz="4" w:space="0" w:color="auto"/>
            </w:tcBorders>
            <w:textDirection w:val="lrTb"/>
            <w:vAlign w:val="top"/>
          </w:tcPr>
          <w:p w:rsidR="00046025" w:rsidRPr="003534AB" w:rsidP="00046025">
            <w:pPr>
              <w:pStyle w:val="NormalWeb"/>
              <w:bidi w:val="0"/>
              <w:spacing w:before="0" w:beforeAutospacing="0" w:after="0" w:afterAutospacing="0" w:line="240" w:lineRule="auto"/>
              <w:jc w:val="center"/>
              <w:rPr>
                <w:rFonts w:ascii="Times New Roman" w:hAnsi="Times New Roman"/>
                <w:b/>
              </w:rPr>
            </w:pPr>
            <w:r w:rsidR="006A3AE6">
              <w:rPr>
                <w:rFonts w:ascii="Times New Roman" w:hAnsi="Times New Roman"/>
                <w:b/>
              </w:rPr>
              <w:t xml:space="preserve">                 </w:t>
            </w:r>
            <w:r>
              <w:rPr>
                <w:rFonts w:ascii="Times New Roman" w:hAnsi="Times New Roman"/>
                <w:b/>
              </w:rPr>
              <w:t xml:space="preserve"> 0</w:t>
            </w:r>
          </w:p>
        </w:tc>
        <w:tc>
          <w:tcPr>
            <w:tcW w:w="2062" w:type="dxa"/>
            <w:tcBorders>
              <w:top w:val="single" w:sz="4" w:space="0" w:color="auto"/>
              <w:left w:val="nil"/>
              <w:bottom w:val="single" w:sz="4" w:space="0" w:color="auto"/>
              <w:right w:val="single" w:sz="4" w:space="0" w:color="auto"/>
            </w:tcBorders>
            <w:textDirection w:val="lrTb"/>
            <w:vAlign w:val="top"/>
          </w:tcPr>
          <w:p w:rsidR="00046025" w:rsidRPr="003534AB" w:rsidP="00046025">
            <w:pPr>
              <w:pStyle w:val="NormalWeb"/>
              <w:bidi w:val="0"/>
              <w:spacing w:before="0" w:beforeAutospacing="0" w:after="0" w:afterAutospacing="0" w:line="240" w:lineRule="auto"/>
              <w:jc w:val="center"/>
              <w:rPr>
                <w:rFonts w:ascii="Times New Roman" w:hAnsi="Times New Roman"/>
                <w:b/>
              </w:rPr>
            </w:pPr>
            <w:r>
              <w:rPr>
                <w:rFonts w:ascii="Times New Roman" w:hAnsi="Times New Roman"/>
                <w:b/>
              </w:rPr>
              <w:t xml:space="preserve">            0</w:t>
            </w:r>
          </w:p>
        </w:tc>
        <w:tc>
          <w:tcPr>
            <w:tcW w:w="1207" w:type="dxa"/>
            <w:tcBorders>
              <w:top w:val="nil"/>
              <w:left w:val="nil"/>
              <w:bottom w:val="single" w:sz="4" w:space="0" w:color="auto"/>
              <w:right w:val="single" w:sz="4" w:space="0" w:color="auto"/>
            </w:tcBorders>
            <w:noWrap/>
            <w:textDirection w:val="lrTb"/>
            <w:vAlign w:val="bottom"/>
          </w:tcPr>
          <w:p w:rsidR="00046025" w:rsidRPr="007D5748" w:rsidP="00046025">
            <w:pPr>
              <w:bidi w:val="0"/>
              <w:spacing w:after="0" w:line="240" w:lineRule="auto"/>
              <w:rPr>
                <w:rFonts w:ascii="Times New Roman" w:hAnsi="Times New Roman"/>
                <w:sz w:val="24"/>
                <w:szCs w:val="24"/>
                <w:lang w:eastAsia="sk-SK"/>
              </w:rPr>
            </w:pPr>
          </w:p>
        </w:tc>
      </w:tr>
      <w:tr>
        <w:tblPrEx>
          <w:tblW w:w="14888" w:type="dxa"/>
          <w:jc w:val="center"/>
          <w:tblCellMar>
            <w:left w:w="70" w:type="dxa"/>
            <w:right w:w="70" w:type="dxa"/>
          </w:tblCellMar>
        </w:tblPrEx>
        <w:trPr>
          <w:trHeight w:val="255"/>
          <w:jc w:val="center"/>
        </w:trPr>
        <w:tc>
          <w:tcPr>
            <w:tcW w:w="6126" w:type="dxa"/>
            <w:tcBorders>
              <w:top w:val="nil"/>
              <w:left w:val="single" w:sz="4" w:space="0" w:color="auto"/>
              <w:bottom w:val="single" w:sz="4" w:space="0" w:color="auto"/>
              <w:right w:val="single" w:sz="4" w:space="0" w:color="auto"/>
            </w:tcBorders>
            <w:textDirection w:val="lrTb"/>
            <w:vAlign w:val="top"/>
          </w:tcPr>
          <w:p w:rsidR="00046025" w:rsidRPr="007D5748" w:rsidP="00046025">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Priemerný mzdový výdavok (v eurách)</w:t>
            </w:r>
          </w:p>
        </w:tc>
        <w:tc>
          <w:tcPr>
            <w:tcW w:w="1683" w:type="dxa"/>
            <w:tcBorders>
              <w:top w:val="single" w:sz="4" w:space="0" w:color="auto"/>
              <w:left w:val="nil"/>
              <w:bottom w:val="single" w:sz="4" w:space="0" w:color="auto"/>
              <w:right w:val="single" w:sz="4" w:space="0" w:color="auto"/>
            </w:tcBorders>
            <w:textDirection w:val="lrTb"/>
            <w:vAlign w:val="top"/>
          </w:tcPr>
          <w:p w:rsidR="00046025" w:rsidRPr="003534AB" w:rsidP="00046025">
            <w:pPr>
              <w:pStyle w:val="NormalWeb"/>
              <w:bidi w:val="0"/>
              <w:spacing w:before="0" w:beforeAutospacing="0" w:after="0" w:afterAutospacing="0" w:line="240" w:lineRule="auto"/>
              <w:jc w:val="right"/>
              <w:rPr>
                <w:rFonts w:ascii="Times New Roman" w:hAnsi="Times New Roman"/>
                <w:b/>
              </w:rPr>
            </w:pPr>
            <w:r w:rsidRPr="003534AB">
              <w:rPr>
                <w:rFonts w:ascii="Times New Roman" w:hAnsi="Times New Roman"/>
                <w:b/>
              </w:rPr>
              <w:t>0</w:t>
            </w:r>
          </w:p>
        </w:tc>
        <w:tc>
          <w:tcPr>
            <w:tcW w:w="1825" w:type="dxa"/>
            <w:tcBorders>
              <w:top w:val="single" w:sz="4" w:space="0" w:color="auto"/>
              <w:left w:val="nil"/>
              <w:bottom w:val="single" w:sz="4" w:space="0" w:color="auto"/>
              <w:right w:val="single" w:sz="4" w:space="0" w:color="auto"/>
            </w:tcBorders>
            <w:textDirection w:val="lrTb"/>
            <w:vAlign w:val="top"/>
          </w:tcPr>
          <w:p w:rsidR="00046025" w:rsidRPr="003534AB" w:rsidP="00046025">
            <w:pPr>
              <w:pStyle w:val="NormalWeb"/>
              <w:bidi w:val="0"/>
              <w:spacing w:before="0" w:beforeAutospacing="0" w:after="0" w:afterAutospacing="0" w:line="240" w:lineRule="auto"/>
              <w:jc w:val="center"/>
              <w:rPr>
                <w:rFonts w:ascii="Times New Roman" w:hAnsi="Times New Roman"/>
                <w:b/>
              </w:rPr>
            </w:pPr>
            <w:r>
              <w:rPr>
                <w:rFonts w:ascii="Times New Roman" w:hAnsi="Times New Roman"/>
                <w:b/>
              </w:rPr>
              <w:t xml:space="preserve">        1 300,00</w:t>
            </w:r>
          </w:p>
        </w:tc>
        <w:tc>
          <w:tcPr>
            <w:tcW w:w="1985" w:type="dxa"/>
            <w:tcBorders>
              <w:top w:val="single" w:sz="4" w:space="0" w:color="auto"/>
              <w:left w:val="nil"/>
              <w:bottom w:val="single" w:sz="4" w:space="0" w:color="auto"/>
              <w:right w:val="single" w:sz="4" w:space="0" w:color="auto"/>
            </w:tcBorders>
            <w:textDirection w:val="lrTb"/>
            <w:vAlign w:val="top"/>
          </w:tcPr>
          <w:p w:rsidR="00046025" w:rsidRPr="003534AB" w:rsidP="00046025">
            <w:pPr>
              <w:pStyle w:val="NormalWeb"/>
              <w:bidi w:val="0"/>
              <w:spacing w:before="0" w:beforeAutospacing="0" w:after="0" w:afterAutospacing="0" w:line="240" w:lineRule="auto"/>
              <w:jc w:val="center"/>
              <w:rPr>
                <w:rFonts w:ascii="Times New Roman" w:hAnsi="Times New Roman"/>
                <w:b/>
              </w:rPr>
            </w:pPr>
            <w:r w:rsidR="006A3AE6">
              <w:rPr>
                <w:rFonts w:ascii="Times New Roman" w:hAnsi="Times New Roman"/>
                <w:b/>
              </w:rPr>
              <w:t xml:space="preserve">               </w:t>
            </w:r>
            <w:r w:rsidRPr="003534AB">
              <w:rPr>
                <w:rFonts w:ascii="Times New Roman" w:hAnsi="Times New Roman"/>
                <w:b/>
              </w:rPr>
              <w:t>1</w:t>
            </w:r>
            <w:r>
              <w:rPr>
                <w:rFonts w:ascii="Times New Roman" w:hAnsi="Times New Roman"/>
                <w:b/>
              </w:rPr>
              <w:t> </w:t>
            </w:r>
            <w:r w:rsidRPr="003534AB">
              <w:rPr>
                <w:rFonts w:ascii="Times New Roman" w:hAnsi="Times New Roman"/>
                <w:b/>
              </w:rPr>
              <w:t>300</w:t>
            </w:r>
            <w:r>
              <w:rPr>
                <w:rFonts w:ascii="Times New Roman" w:hAnsi="Times New Roman"/>
                <w:b/>
              </w:rPr>
              <w:t>,00</w:t>
            </w:r>
          </w:p>
        </w:tc>
        <w:tc>
          <w:tcPr>
            <w:tcW w:w="2062" w:type="dxa"/>
            <w:tcBorders>
              <w:top w:val="single" w:sz="4" w:space="0" w:color="auto"/>
              <w:left w:val="nil"/>
              <w:bottom w:val="single" w:sz="4" w:space="0" w:color="auto"/>
              <w:right w:val="single" w:sz="4" w:space="0" w:color="auto"/>
            </w:tcBorders>
            <w:textDirection w:val="lrTb"/>
            <w:vAlign w:val="top"/>
          </w:tcPr>
          <w:p w:rsidR="00046025" w:rsidRPr="003534AB" w:rsidP="00046025">
            <w:pPr>
              <w:pStyle w:val="NormalWeb"/>
              <w:bidi w:val="0"/>
              <w:spacing w:before="0" w:beforeAutospacing="0" w:after="0" w:afterAutospacing="0" w:line="240" w:lineRule="auto"/>
              <w:jc w:val="center"/>
              <w:rPr>
                <w:rFonts w:ascii="Times New Roman" w:hAnsi="Times New Roman"/>
                <w:b/>
              </w:rPr>
            </w:pPr>
            <w:r>
              <w:rPr>
                <w:rFonts w:ascii="Times New Roman" w:hAnsi="Times New Roman"/>
                <w:b/>
              </w:rPr>
              <w:t xml:space="preserve">          </w:t>
            </w:r>
            <w:r w:rsidRPr="003534AB">
              <w:rPr>
                <w:rFonts w:ascii="Times New Roman" w:hAnsi="Times New Roman"/>
                <w:b/>
              </w:rPr>
              <w:t>1</w:t>
            </w:r>
            <w:r>
              <w:rPr>
                <w:rFonts w:ascii="Times New Roman" w:hAnsi="Times New Roman"/>
                <w:b/>
              </w:rPr>
              <w:t> </w:t>
            </w:r>
            <w:r w:rsidRPr="003534AB">
              <w:rPr>
                <w:rFonts w:ascii="Times New Roman" w:hAnsi="Times New Roman"/>
                <w:b/>
              </w:rPr>
              <w:t>300</w:t>
            </w:r>
            <w:r>
              <w:rPr>
                <w:rFonts w:ascii="Times New Roman" w:hAnsi="Times New Roman"/>
                <w:b/>
              </w:rPr>
              <w:t>,00</w:t>
            </w:r>
          </w:p>
        </w:tc>
        <w:tc>
          <w:tcPr>
            <w:tcW w:w="1207" w:type="dxa"/>
            <w:tcBorders>
              <w:top w:val="nil"/>
              <w:left w:val="nil"/>
              <w:bottom w:val="single" w:sz="4" w:space="0" w:color="auto"/>
              <w:right w:val="single" w:sz="4" w:space="0" w:color="auto"/>
            </w:tcBorders>
            <w:noWrap/>
            <w:textDirection w:val="lrTb"/>
            <w:vAlign w:val="bottom"/>
          </w:tcPr>
          <w:p w:rsidR="00046025" w:rsidRPr="007D5748" w:rsidP="00046025">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888" w:type="dxa"/>
          <w:jc w:val="center"/>
          <w:tblCellMar>
            <w:left w:w="70" w:type="dxa"/>
            <w:right w:w="70" w:type="dxa"/>
          </w:tblCellMar>
        </w:tblPrEx>
        <w:trPr>
          <w:trHeight w:val="255"/>
          <w:jc w:val="center"/>
        </w:trPr>
        <w:tc>
          <w:tcPr>
            <w:tcW w:w="6126" w:type="dxa"/>
            <w:tcBorders>
              <w:top w:val="nil"/>
              <w:left w:val="single" w:sz="4" w:space="0" w:color="auto"/>
              <w:bottom w:val="single" w:sz="4" w:space="0" w:color="auto"/>
              <w:right w:val="single" w:sz="4" w:space="0" w:color="auto"/>
            </w:tcBorders>
            <w:textDirection w:val="lrTb"/>
            <w:vAlign w:val="top"/>
          </w:tcPr>
          <w:p w:rsidR="00046025" w:rsidRPr="007D5748" w:rsidP="00046025">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83" w:type="dxa"/>
            <w:tcBorders>
              <w:top w:val="single" w:sz="4" w:space="0" w:color="auto"/>
              <w:left w:val="nil"/>
              <w:bottom w:val="single" w:sz="4" w:space="0" w:color="auto"/>
              <w:right w:val="single" w:sz="4" w:space="0" w:color="auto"/>
            </w:tcBorders>
            <w:textDirection w:val="lrTb"/>
            <w:vAlign w:val="top"/>
          </w:tcPr>
          <w:p w:rsidR="00046025" w:rsidRPr="003534AB" w:rsidP="00046025">
            <w:pPr>
              <w:pStyle w:val="NormalWeb"/>
              <w:bidi w:val="0"/>
              <w:spacing w:before="0" w:beforeAutospacing="0" w:after="0" w:afterAutospacing="0" w:line="240" w:lineRule="auto"/>
              <w:jc w:val="right"/>
              <w:rPr>
                <w:rFonts w:ascii="Times New Roman" w:hAnsi="Times New Roman"/>
                <w:b/>
              </w:rPr>
            </w:pPr>
            <w:r w:rsidRPr="003534AB">
              <w:rPr>
                <w:rFonts w:ascii="Times New Roman" w:hAnsi="Times New Roman"/>
                <w:b/>
              </w:rPr>
              <w:t>0</w:t>
            </w:r>
          </w:p>
        </w:tc>
        <w:tc>
          <w:tcPr>
            <w:tcW w:w="1825" w:type="dxa"/>
            <w:tcBorders>
              <w:top w:val="single" w:sz="4" w:space="0" w:color="auto"/>
              <w:left w:val="nil"/>
              <w:bottom w:val="single" w:sz="4" w:space="0" w:color="auto"/>
              <w:right w:val="single" w:sz="4" w:space="0" w:color="auto"/>
            </w:tcBorders>
            <w:textDirection w:val="lrTb"/>
            <w:vAlign w:val="top"/>
          </w:tcPr>
          <w:p w:rsidR="00046025" w:rsidRPr="003534AB" w:rsidP="00046025">
            <w:pPr>
              <w:pStyle w:val="NormalWeb"/>
              <w:bidi w:val="0"/>
              <w:spacing w:before="0" w:beforeAutospacing="0" w:after="0" w:afterAutospacing="0" w:line="240" w:lineRule="auto"/>
              <w:jc w:val="center"/>
              <w:rPr>
                <w:rFonts w:ascii="Times New Roman" w:hAnsi="Times New Roman"/>
                <w:b/>
              </w:rPr>
            </w:pPr>
            <w:r>
              <w:rPr>
                <w:rFonts w:ascii="Times New Roman" w:hAnsi="Times New Roman"/>
                <w:b/>
              </w:rPr>
              <w:t xml:space="preserve">          0</w:t>
            </w:r>
          </w:p>
        </w:tc>
        <w:tc>
          <w:tcPr>
            <w:tcW w:w="1985" w:type="dxa"/>
            <w:tcBorders>
              <w:top w:val="single" w:sz="4" w:space="0" w:color="auto"/>
              <w:left w:val="nil"/>
              <w:bottom w:val="single" w:sz="4" w:space="0" w:color="auto"/>
              <w:right w:val="single" w:sz="4" w:space="0" w:color="auto"/>
            </w:tcBorders>
            <w:textDirection w:val="lrTb"/>
            <w:vAlign w:val="top"/>
          </w:tcPr>
          <w:p w:rsidR="00046025" w:rsidRPr="003534AB" w:rsidP="00046025">
            <w:pPr>
              <w:pStyle w:val="NormalWeb"/>
              <w:bidi w:val="0"/>
              <w:spacing w:before="0" w:beforeAutospacing="0" w:after="0" w:afterAutospacing="0" w:line="240" w:lineRule="auto"/>
              <w:jc w:val="center"/>
              <w:rPr>
                <w:rFonts w:ascii="Times New Roman" w:hAnsi="Times New Roman"/>
                <w:b/>
              </w:rPr>
            </w:pPr>
            <w:r w:rsidR="006A3AE6">
              <w:rPr>
                <w:rFonts w:ascii="Times New Roman" w:hAnsi="Times New Roman"/>
                <w:b/>
              </w:rPr>
              <w:t xml:space="preserve">              </w:t>
            </w:r>
            <w:r>
              <w:rPr>
                <w:rFonts w:ascii="Times New Roman" w:hAnsi="Times New Roman"/>
                <w:b/>
              </w:rPr>
              <w:t xml:space="preserve">   0</w:t>
            </w:r>
          </w:p>
        </w:tc>
        <w:tc>
          <w:tcPr>
            <w:tcW w:w="2062" w:type="dxa"/>
            <w:tcBorders>
              <w:top w:val="single" w:sz="4" w:space="0" w:color="auto"/>
              <w:left w:val="nil"/>
              <w:bottom w:val="single" w:sz="4" w:space="0" w:color="auto"/>
              <w:right w:val="single" w:sz="4" w:space="0" w:color="auto"/>
            </w:tcBorders>
            <w:textDirection w:val="lrTb"/>
            <w:vAlign w:val="top"/>
          </w:tcPr>
          <w:p w:rsidR="00046025" w:rsidRPr="003534AB" w:rsidP="00046025">
            <w:pPr>
              <w:pStyle w:val="NormalWeb"/>
              <w:bidi w:val="0"/>
              <w:spacing w:before="0" w:beforeAutospacing="0" w:after="0" w:afterAutospacing="0" w:line="240" w:lineRule="auto"/>
              <w:jc w:val="center"/>
              <w:rPr>
                <w:rFonts w:ascii="Times New Roman" w:hAnsi="Times New Roman"/>
                <w:b/>
              </w:rPr>
            </w:pPr>
            <w:r>
              <w:rPr>
                <w:rFonts w:ascii="Times New Roman" w:hAnsi="Times New Roman"/>
                <w:b/>
              </w:rPr>
              <w:t xml:space="preserve">           0</w:t>
            </w:r>
          </w:p>
        </w:tc>
        <w:tc>
          <w:tcPr>
            <w:tcW w:w="1207" w:type="dxa"/>
            <w:tcBorders>
              <w:top w:val="nil"/>
              <w:left w:val="nil"/>
              <w:bottom w:val="single" w:sz="4" w:space="0" w:color="auto"/>
              <w:right w:val="single" w:sz="4" w:space="0" w:color="auto"/>
            </w:tcBorders>
            <w:noWrap/>
            <w:textDirection w:val="lrTb"/>
            <w:vAlign w:val="bottom"/>
          </w:tcPr>
          <w:p w:rsidR="00046025" w:rsidRPr="007D5748" w:rsidP="00046025">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888" w:type="dxa"/>
          <w:jc w:val="center"/>
          <w:tblCellMar>
            <w:left w:w="70" w:type="dxa"/>
            <w:right w:w="70" w:type="dxa"/>
          </w:tblCellMar>
        </w:tblPrEx>
        <w:trPr>
          <w:trHeight w:val="255"/>
          <w:jc w:val="center"/>
        </w:trPr>
        <w:tc>
          <w:tcPr>
            <w:tcW w:w="6126" w:type="dxa"/>
            <w:tcBorders>
              <w:top w:val="nil"/>
              <w:left w:val="single" w:sz="4" w:space="0" w:color="auto"/>
              <w:bottom w:val="single" w:sz="4" w:space="0" w:color="auto"/>
              <w:right w:val="single" w:sz="4" w:space="0" w:color="auto"/>
            </w:tcBorders>
            <w:shd w:val="clear" w:color="auto" w:fill="BFBFBF"/>
            <w:textDirection w:val="lrTb"/>
            <w:vAlign w:val="top"/>
          </w:tcPr>
          <w:p w:rsidR="00046025" w:rsidRPr="007D5748" w:rsidP="00046025">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Osobné výdavky celkom (v eurách)</w:t>
            </w:r>
          </w:p>
        </w:tc>
        <w:tc>
          <w:tcPr>
            <w:tcW w:w="1683" w:type="dxa"/>
            <w:tcBorders>
              <w:top w:val="nil"/>
              <w:left w:val="nil"/>
              <w:bottom w:val="single" w:sz="4" w:space="0" w:color="auto"/>
              <w:right w:val="single" w:sz="4" w:space="0" w:color="auto"/>
            </w:tcBorders>
            <w:shd w:val="clear" w:color="auto" w:fill="BFBFBF"/>
            <w:textDirection w:val="lrTb"/>
            <w:vAlign w:val="top"/>
          </w:tcPr>
          <w:p w:rsidR="00046025" w:rsidRPr="003534AB" w:rsidP="00046025">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xml:space="preserve">                      </w:t>
            </w:r>
            <w:r w:rsidRPr="003534AB">
              <w:rPr>
                <w:rFonts w:ascii="Times New Roman" w:hAnsi="Times New Roman"/>
                <w:b/>
                <w:bCs/>
              </w:rPr>
              <w:t>0</w:t>
            </w:r>
          </w:p>
        </w:tc>
        <w:tc>
          <w:tcPr>
            <w:tcW w:w="1825" w:type="dxa"/>
            <w:tcBorders>
              <w:top w:val="nil"/>
              <w:left w:val="nil"/>
              <w:bottom w:val="single" w:sz="4" w:space="0" w:color="auto"/>
              <w:right w:val="single" w:sz="4" w:space="0" w:color="auto"/>
            </w:tcBorders>
            <w:shd w:val="clear" w:color="auto" w:fill="BFBFBF"/>
            <w:textDirection w:val="lrTb"/>
            <w:vAlign w:val="top"/>
          </w:tcPr>
          <w:p w:rsidR="00046025" w:rsidRPr="003534AB" w:rsidP="00046025">
            <w:pPr>
              <w:pStyle w:val="NormalWeb"/>
              <w:bidi w:val="0"/>
              <w:spacing w:before="0" w:beforeAutospacing="0" w:after="0" w:afterAutospacing="0" w:line="240" w:lineRule="auto"/>
              <w:rPr>
                <w:rFonts w:ascii="Times New Roman" w:hAnsi="Times New Roman"/>
              </w:rPr>
            </w:pPr>
            <w:r>
              <w:rPr>
                <w:rFonts w:ascii="Times New Roman" w:hAnsi="Times New Roman"/>
                <w:b/>
                <w:bCs/>
              </w:rPr>
              <w:t xml:space="preserve">       </w:t>
            </w:r>
            <w:r w:rsidRPr="003534AB">
              <w:rPr>
                <w:rFonts w:ascii="Times New Roman" w:hAnsi="Times New Roman"/>
                <w:b/>
                <w:bCs/>
              </w:rPr>
              <w:t>463 148,40  </w:t>
            </w:r>
          </w:p>
        </w:tc>
        <w:tc>
          <w:tcPr>
            <w:tcW w:w="1985" w:type="dxa"/>
            <w:tcBorders>
              <w:top w:val="nil"/>
              <w:left w:val="nil"/>
              <w:bottom w:val="single" w:sz="4" w:space="0" w:color="auto"/>
              <w:right w:val="single" w:sz="4" w:space="0" w:color="auto"/>
            </w:tcBorders>
            <w:shd w:val="clear" w:color="auto" w:fill="BFBFBF"/>
            <w:textDirection w:val="lrTb"/>
            <w:vAlign w:val="top"/>
          </w:tcPr>
          <w:p w:rsidR="00046025" w:rsidRPr="003534AB" w:rsidP="00046025">
            <w:pPr>
              <w:pStyle w:val="NormalWeb"/>
              <w:bidi w:val="0"/>
              <w:spacing w:before="0" w:beforeAutospacing="0" w:after="0" w:afterAutospacing="0" w:line="240" w:lineRule="auto"/>
              <w:jc w:val="right"/>
              <w:rPr>
                <w:rFonts w:ascii="Times New Roman" w:hAnsi="Times New Roman"/>
              </w:rPr>
            </w:pPr>
            <w:r w:rsidRPr="003534AB">
              <w:rPr>
                <w:rFonts w:ascii="Times New Roman" w:hAnsi="Times New Roman"/>
                <w:b/>
                <w:bCs/>
              </w:rPr>
              <w:t>463 148,40 </w:t>
            </w:r>
          </w:p>
        </w:tc>
        <w:tc>
          <w:tcPr>
            <w:tcW w:w="2062" w:type="dxa"/>
            <w:tcBorders>
              <w:top w:val="nil"/>
              <w:left w:val="nil"/>
              <w:bottom w:val="single" w:sz="4" w:space="0" w:color="auto"/>
              <w:right w:val="single" w:sz="4" w:space="0" w:color="auto"/>
            </w:tcBorders>
            <w:shd w:val="clear" w:color="auto" w:fill="BFBFBF"/>
            <w:textDirection w:val="lrTb"/>
            <w:vAlign w:val="top"/>
          </w:tcPr>
          <w:p w:rsidR="00046025" w:rsidRPr="003534AB"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 xml:space="preserve">  </w:t>
            </w:r>
            <w:r w:rsidRPr="003534AB">
              <w:rPr>
                <w:rFonts w:ascii="Times New Roman" w:hAnsi="Times New Roman"/>
                <w:b/>
                <w:bCs/>
              </w:rPr>
              <w:t>463 148,40 </w:t>
            </w:r>
          </w:p>
        </w:tc>
        <w:tc>
          <w:tcPr>
            <w:tcW w:w="1207" w:type="dxa"/>
            <w:tcBorders>
              <w:top w:val="nil"/>
              <w:left w:val="nil"/>
              <w:bottom w:val="single" w:sz="4" w:space="0" w:color="auto"/>
              <w:right w:val="single" w:sz="4" w:space="0" w:color="auto"/>
            </w:tcBorders>
            <w:shd w:val="clear" w:color="auto" w:fill="BFBFBF"/>
            <w:noWrap/>
            <w:textDirection w:val="lrTb"/>
            <w:vAlign w:val="bottom"/>
          </w:tcPr>
          <w:p w:rsidR="00046025" w:rsidRPr="007D5748" w:rsidP="00046025">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tblPrEx>
          <w:tblW w:w="14888" w:type="dxa"/>
          <w:jc w:val="center"/>
          <w:tblCellMar>
            <w:left w:w="70" w:type="dxa"/>
            <w:right w:w="70" w:type="dxa"/>
          </w:tblCellMar>
        </w:tblPrEx>
        <w:trPr>
          <w:trHeight w:val="255"/>
          <w:jc w:val="center"/>
        </w:trPr>
        <w:tc>
          <w:tcPr>
            <w:tcW w:w="6126" w:type="dxa"/>
            <w:tcBorders>
              <w:top w:val="nil"/>
              <w:left w:val="single" w:sz="4" w:space="0" w:color="auto"/>
              <w:bottom w:val="single" w:sz="4" w:space="0" w:color="auto"/>
              <w:right w:val="single" w:sz="4" w:space="0" w:color="auto"/>
            </w:tcBorders>
            <w:textDirection w:val="lrTb"/>
            <w:vAlign w:val="top"/>
          </w:tcPr>
          <w:p w:rsidR="00046025" w:rsidRPr="007D5748" w:rsidP="00046025">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Mzdy, platy, služobné príjmy a ostatné osobné vyrovnania (610)</w:t>
            </w:r>
          </w:p>
        </w:tc>
        <w:tc>
          <w:tcPr>
            <w:tcW w:w="1683" w:type="dxa"/>
            <w:tcBorders>
              <w:top w:val="nil"/>
              <w:left w:val="nil"/>
              <w:bottom w:val="single" w:sz="4" w:space="0" w:color="auto"/>
              <w:right w:val="single" w:sz="4" w:space="0" w:color="auto"/>
            </w:tcBorders>
            <w:textDirection w:val="lrTb"/>
            <w:vAlign w:val="center"/>
          </w:tcPr>
          <w:p w:rsidR="00046025"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 xml:space="preserve"> 0 </w:t>
            </w:r>
          </w:p>
        </w:tc>
        <w:tc>
          <w:tcPr>
            <w:tcW w:w="1825" w:type="dxa"/>
            <w:tcBorders>
              <w:top w:val="nil"/>
              <w:left w:val="nil"/>
              <w:bottom w:val="single" w:sz="4" w:space="0" w:color="auto"/>
              <w:right w:val="single" w:sz="4" w:space="0" w:color="auto"/>
            </w:tcBorders>
            <w:textDirection w:val="lrTb"/>
            <w:vAlign w:val="center"/>
          </w:tcPr>
          <w:p w:rsidR="00046025" w:rsidP="00046025">
            <w:pPr>
              <w:pStyle w:val="NormalWeb"/>
              <w:bidi w:val="0"/>
              <w:spacing w:before="0" w:beforeAutospacing="0" w:after="0" w:afterAutospacing="0" w:line="240" w:lineRule="auto"/>
              <w:rPr>
                <w:rFonts w:ascii="Times New Roman" w:hAnsi="Times New Roman"/>
              </w:rPr>
            </w:pPr>
            <w:r>
              <w:rPr>
                <w:rFonts w:ascii="Times New Roman" w:hAnsi="Times New Roman"/>
                <w:b/>
                <w:bCs/>
              </w:rPr>
              <w:t xml:space="preserve">       343 200,00</w:t>
            </w:r>
          </w:p>
        </w:tc>
        <w:tc>
          <w:tcPr>
            <w:tcW w:w="1985" w:type="dxa"/>
            <w:tcBorders>
              <w:top w:val="nil"/>
              <w:left w:val="nil"/>
              <w:bottom w:val="single" w:sz="4" w:space="0" w:color="auto"/>
              <w:right w:val="single" w:sz="4" w:space="0" w:color="auto"/>
            </w:tcBorders>
            <w:textDirection w:val="lrTb"/>
            <w:vAlign w:val="center"/>
          </w:tcPr>
          <w:p w:rsidR="00046025"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343 200,00 </w:t>
            </w:r>
          </w:p>
        </w:tc>
        <w:tc>
          <w:tcPr>
            <w:tcW w:w="2062" w:type="dxa"/>
            <w:tcBorders>
              <w:top w:val="nil"/>
              <w:left w:val="nil"/>
              <w:bottom w:val="single" w:sz="4" w:space="0" w:color="auto"/>
              <w:right w:val="single" w:sz="4" w:space="0" w:color="auto"/>
            </w:tcBorders>
            <w:textDirection w:val="lrTb"/>
            <w:vAlign w:val="center"/>
          </w:tcPr>
          <w:p w:rsidR="00046025"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343 200,00 </w:t>
            </w:r>
          </w:p>
        </w:tc>
        <w:tc>
          <w:tcPr>
            <w:tcW w:w="1207" w:type="dxa"/>
            <w:tcBorders>
              <w:top w:val="nil"/>
              <w:left w:val="nil"/>
              <w:bottom w:val="single" w:sz="4" w:space="0" w:color="auto"/>
              <w:right w:val="single" w:sz="4" w:space="0" w:color="auto"/>
            </w:tcBorders>
            <w:noWrap/>
            <w:textDirection w:val="lrTb"/>
            <w:vAlign w:val="center"/>
          </w:tcPr>
          <w:p w:rsidR="00046025" w:rsidRPr="007D5748" w:rsidP="00046025">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tblPrEx>
          <w:tblW w:w="14888" w:type="dxa"/>
          <w:jc w:val="center"/>
          <w:tblCellMar>
            <w:left w:w="70" w:type="dxa"/>
            <w:right w:w="70" w:type="dxa"/>
          </w:tblCellMar>
        </w:tblPrEx>
        <w:trPr>
          <w:trHeight w:val="255"/>
          <w:jc w:val="center"/>
        </w:trPr>
        <w:tc>
          <w:tcPr>
            <w:tcW w:w="6126" w:type="dxa"/>
            <w:tcBorders>
              <w:top w:val="nil"/>
              <w:left w:val="single" w:sz="4" w:space="0" w:color="auto"/>
              <w:bottom w:val="single" w:sz="4" w:space="0" w:color="auto"/>
              <w:right w:val="single" w:sz="4" w:space="0" w:color="auto"/>
            </w:tcBorders>
            <w:textDirection w:val="lrTb"/>
            <w:vAlign w:val="top"/>
          </w:tcPr>
          <w:p w:rsidR="00046025" w:rsidRPr="007D5748" w:rsidP="00046025">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83" w:type="dxa"/>
            <w:tcBorders>
              <w:top w:val="nil"/>
              <w:left w:val="nil"/>
              <w:bottom w:val="single" w:sz="4" w:space="0" w:color="auto"/>
              <w:right w:val="single" w:sz="4" w:space="0" w:color="auto"/>
            </w:tcBorders>
            <w:textDirection w:val="lrTb"/>
            <w:vAlign w:val="top"/>
          </w:tcPr>
          <w:p w:rsidR="00046025"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0 </w:t>
            </w:r>
          </w:p>
        </w:tc>
        <w:tc>
          <w:tcPr>
            <w:tcW w:w="1825" w:type="dxa"/>
            <w:tcBorders>
              <w:top w:val="nil"/>
              <w:left w:val="nil"/>
              <w:bottom w:val="single" w:sz="4" w:space="0" w:color="auto"/>
              <w:right w:val="single" w:sz="4" w:space="0" w:color="auto"/>
            </w:tcBorders>
            <w:textDirection w:val="lrTb"/>
            <w:vAlign w:val="top"/>
          </w:tcPr>
          <w:p w:rsidR="00046025" w:rsidP="00046025">
            <w:pPr>
              <w:pStyle w:val="NormalWeb"/>
              <w:bidi w:val="0"/>
              <w:spacing w:before="0" w:beforeAutospacing="0" w:after="0" w:afterAutospacing="0" w:line="240" w:lineRule="auto"/>
              <w:jc w:val="center"/>
              <w:rPr>
                <w:rFonts w:ascii="Times New Roman" w:hAnsi="Times New Roman"/>
              </w:rPr>
            </w:pPr>
            <w:r>
              <w:rPr>
                <w:rFonts w:ascii="Times New Roman" w:hAnsi="Times New Roman"/>
              </w:rPr>
              <w:t xml:space="preserve">           0 </w:t>
            </w:r>
          </w:p>
        </w:tc>
        <w:tc>
          <w:tcPr>
            <w:tcW w:w="1985" w:type="dxa"/>
            <w:tcBorders>
              <w:top w:val="nil"/>
              <w:left w:val="nil"/>
              <w:bottom w:val="single" w:sz="4" w:space="0" w:color="auto"/>
              <w:right w:val="single" w:sz="4" w:space="0" w:color="auto"/>
            </w:tcBorders>
            <w:textDirection w:val="lrTb"/>
            <w:vAlign w:val="top"/>
          </w:tcPr>
          <w:p w:rsidR="00046025" w:rsidP="00046025">
            <w:pPr>
              <w:pStyle w:val="NormalWeb"/>
              <w:bidi w:val="0"/>
              <w:spacing w:before="0" w:beforeAutospacing="0" w:after="0" w:afterAutospacing="0" w:line="240" w:lineRule="auto"/>
              <w:jc w:val="center"/>
              <w:rPr>
                <w:rFonts w:ascii="Times New Roman" w:hAnsi="Times New Roman"/>
              </w:rPr>
            </w:pPr>
            <w:r w:rsidR="006A3AE6">
              <w:rPr>
                <w:rFonts w:ascii="Times New Roman" w:hAnsi="Times New Roman"/>
              </w:rPr>
              <w:t xml:space="preserve">                 </w:t>
            </w:r>
            <w:r>
              <w:rPr>
                <w:rFonts w:ascii="Times New Roman" w:hAnsi="Times New Roman"/>
              </w:rPr>
              <w:t xml:space="preserve"> 0 </w:t>
            </w:r>
          </w:p>
        </w:tc>
        <w:tc>
          <w:tcPr>
            <w:tcW w:w="2062" w:type="dxa"/>
            <w:tcBorders>
              <w:top w:val="nil"/>
              <w:left w:val="nil"/>
              <w:bottom w:val="single" w:sz="4" w:space="0" w:color="auto"/>
              <w:right w:val="single" w:sz="4" w:space="0" w:color="auto"/>
            </w:tcBorders>
            <w:textDirection w:val="lrTb"/>
            <w:vAlign w:val="top"/>
          </w:tcPr>
          <w:p w:rsidR="00046025" w:rsidP="00046025">
            <w:pPr>
              <w:pStyle w:val="NormalWeb"/>
              <w:bidi w:val="0"/>
              <w:spacing w:before="0" w:beforeAutospacing="0" w:after="0" w:afterAutospacing="0" w:line="240" w:lineRule="auto"/>
              <w:jc w:val="center"/>
              <w:rPr>
                <w:rFonts w:ascii="Times New Roman" w:hAnsi="Times New Roman"/>
              </w:rPr>
            </w:pPr>
            <w:r>
              <w:rPr>
                <w:rFonts w:ascii="Times New Roman" w:hAnsi="Times New Roman"/>
              </w:rPr>
              <w:t xml:space="preserve">             0 </w:t>
            </w:r>
          </w:p>
        </w:tc>
        <w:tc>
          <w:tcPr>
            <w:tcW w:w="1207" w:type="dxa"/>
            <w:tcBorders>
              <w:top w:val="nil"/>
              <w:left w:val="nil"/>
              <w:bottom w:val="single" w:sz="4" w:space="0" w:color="auto"/>
              <w:right w:val="single" w:sz="4" w:space="0" w:color="auto"/>
            </w:tcBorders>
            <w:noWrap/>
            <w:textDirection w:val="lrTb"/>
            <w:vAlign w:val="bottom"/>
          </w:tcPr>
          <w:p w:rsidR="00046025" w:rsidRPr="007D5748" w:rsidP="00046025">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888" w:type="dxa"/>
          <w:jc w:val="center"/>
          <w:tblCellMar>
            <w:left w:w="70" w:type="dxa"/>
            <w:right w:w="70" w:type="dxa"/>
          </w:tblCellMar>
        </w:tblPrEx>
        <w:trPr>
          <w:trHeight w:val="255"/>
          <w:jc w:val="center"/>
        </w:trPr>
        <w:tc>
          <w:tcPr>
            <w:tcW w:w="6126" w:type="dxa"/>
            <w:tcBorders>
              <w:top w:val="nil"/>
              <w:left w:val="single" w:sz="4" w:space="0" w:color="auto"/>
              <w:bottom w:val="single" w:sz="4" w:space="0" w:color="auto"/>
              <w:right w:val="single" w:sz="4" w:space="0" w:color="auto"/>
            </w:tcBorders>
            <w:textDirection w:val="lrTb"/>
            <w:vAlign w:val="top"/>
          </w:tcPr>
          <w:p w:rsidR="00046025" w:rsidRPr="007D5748" w:rsidP="00046025">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Poistné a príspevok do poisťovní (620)</w:t>
            </w:r>
          </w:p>
        </w:tc>
        <w:tc>
          <w:tcPr>
            <w:tcW w:w="1683" w:type="dxa"/>
            <w:tcBorders>
              <w:top w:val="nil"/>
              <w:left w:val="nil"/>
              <w:bottom w:val="single" w:sz="4" w:space="0" w:color="auto"/>
              <w:right w:val="single" w:sz="4" w:space="0" w:color="auto"/>
            </w:tcBorders>
            <w:textDirection w:val="lrTb"/>
            <w:vAlign w:val="top"/>
          </w:tcPr>
          <w:p w:rsidR="00046025"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0 </w:t>
            </w:r>
          </w:p>
        </w:tc>
        <w:tc>
          <w:tcPr>
            <w:tcW w:w="1825" w:type="dxa"/>
            <w:tcBorders>
              <w:top w:val="nil"/>
              <w:left w:val="nil"/>
              <w:bottom w:val="single" w:sz="4" w:space="0" w:color="auto"/>
              <w:right w:val="single" w:sz="4" w:space="0" w:color="auto"/>
            </w:tcBorders>
            <w:textDirection w:val="lrTb"/>
            <w:vAlign w:val="top"/>
          </w:tcPr>
          <w:p w:rsidR="00046025" w:rsidP="00046025">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xml:space="preserve">     119 948,40 </w:t>
            </w:r>
          </w:p>
        </w:tc>
        <w:tc>
          <w:tcPr>
            <w:tcW w:w="1985" w:type="dxa"/>
            <w:tcBorders>
              <w:top w:val="nil"/>
              <w:left w:val="nil"/>
              <w:bottom w:val="single" w:sz="4" w:space="0" w:color="auto"/>
              <w:right w:val="single" w:sz="4" w:space="0" w:color="auto"/>
            </w:tcBorders>
            <w:textDirection w:val="lrTb"/>
            <w:vAlign w:val="top"/>
          </w:tcPr>
          <w:p w:rsidR="00046025"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119 948,40 </w:t>
            </w:r>
          </w:p>
        </w:tc>
        <w:tc>
          <w:tcPr>
            <w:tcW w:w="2062" w:type="dxa"/>
            <w:tcBorders>
              <w:top w:val="nil"/>
              <w:left w:val="nil"/>
              <w:bottom w:val="single" w:sz="4" w:space="0" w:color="auto"/>
              <w:right w:val="single" w:sz="4" w:space="0" w:color="auto"/>
            </w:tcBorders>
            <w:textDirection w:val="lrTb"/>
            <w:vAlign w:val="top"/>
          </w:tcPr>
          <w:p w:rsidR="00046025"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119 948,40 </w:t>
            </w:r>
          </w:p>
        </w:tc>
        <w:tc>
          <w:tcPr>
            <w:tcW w:w="1207" w:type="dxa"/>
            <w:tcBorders>
              <w:top w:val="nil"/>
              <w:left w:val="nil"/>
              <w:bottom w:val="single" w:sz="4" w:space="0" w:color="auto"/>
              <w:right w:val="single" w:sz="4" w:space="0" w:color="auto"/>
            </w:tcBorders>
            <w:noWrap/>
            <w:textDirection w:val="lrTb"/>
            <w:vAlign w:val="bottom"/>
          </w:tcPr>
          <w:p w:rsidR="00046025" w:rsidRPr="007D5748" w:rsidP="00046025">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tblPrEx>
          <w:tblW w:w="14888" w:type="dxa"/>
          <w:jc w:val="center"/>
          <w:tblCellMar>
            <w:left w:w="70" w:type="dxa"/>
            <w:right w:w="70" w:type="dxa"/>
          </w:tblCellMar>
        </w:tblPrEx>
        <w:trPr>
          <w:trHeight w:val="255"/>
          <w:jc w:val="center"/>
        </w:trPr>
        <w:tc>
          <w:tcPr>
            <w:tcW w:w="6126" w:type="dxa"/>
            <w:tcBorders>
              <w:top w:val="nil"/>
              <w:left w:val="single" w:sz="4" w:space="0" w:color="auto"/>
              <w:bottom w:val="single" w:sz="4" w:space="0" w:color="auto"/>
              <w:right w:val="single" w:sz="4" w:space="0" w:color="auto"/>
            </w:tcBorders>
            <w:textDirection w:val="lrTb"/>
            <w:vAlign w:val="top"/>
          </w:tcPr>
          <w:p w:rsidR="00046025" w:rsidRPr="007D5748" w:rsidP="00046025">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83" w:type="dxa"/>
            <w:tcBorders>
              <w:top w:val="nil"/>
              <w:left w:val="nil"/>
              <w:bottom w:val="single" w:sz="4" w:space="0" w:color="auto"/>
              <w:right w:val="single" w:sz="4" w:space="0" w:color="auto"/>
            </w:tcBorders>
            <w:textDirection w:val="lrTb"/>
            <w:vAlign w:val="top"/>
          </w:tcPr>
          <w:p w:rsidR="00046025" w:rsidP="00046025">
            <w:pPr>
              <w:pStyle w:val="NormalWeb"/>
              <w:bidi w:val="0"/>
              <w:spacing w:before="0" w:beforeAutospacing="0" w:after="0" w:afterAutospacing="0" w:line="240" w:lineRule="auto"/>
              <w:jc w:val="right"/>
              <w:rPr>
                <w:rFonts w:ascii="Times New Roman" w:hAnsi="Times New Roman"/>
              </w:rPr>
            </w:pPr>
            <w:r>
              <w:rPr>
                <w:rFonts w:ascii="Times New Roman" w:hAnsi="Times New Roman"/>
              </w:rPr>
              <w:t>0 </w:t>
            </w:r>
          </w:p>
        </w:tc>
        <w:tc>
          <w:tcPr>
            <w:tcW w:w="1825" w:type="dxa"/>
            <w:tcBorders>
              <w:top w:val="nil"/>
              <w:left w:val="nil"/>
              <w:bottom w:val="single" w:sz="4" w:space="0" w:color="auto"/>
              <w:right w:val="single" w:sz="4" w:space="0" w:color="auto"/>
            </w:tcBorders>
            <w:textDirection w:val="lrTb"/>
            <w:vAlign w:val="top"/>
          </w:tcPr>
          <w:p w:rsidR="00046025" w:rsidP="00046025">
            <w:pPr>
              <w:pStyle w:val="NormalWeb"/>
              <w:bidi w:val="0"/>
              <w:spacing w:before="0" w:beforeAutospacing="0" w:after="0" w:afterAutospacing="0" w:line="240" w:lineRule="auto"/>
              <w:jc w:val="center"/>
              <w:rPr>
                <w:rFonts w:ascii="Times New Roman" w:hAnsi="Times New Roman"/>
              </w:rPr>
            </w:pPr>
            <w:r>
              <w:rPr>
                <w:rFonts w:ascii="Times New Roman" w:hAnsi="Times New Roman"/>
              </w:rPr>
              <w:t xml:space="preserve">           0 </w:t>
            </w:r>
          </w:p>
        </w:tc>
        <w:tc>
          <w:tcPr>
            <w:tcW w:w="1985" w:type="dxa"/>
            <w:tcBorders>
              <w:top w:val="nil"/>
              <w:left w:val="nil"/>
              <w:bottom w:val="single" w:sz="4" w:space="0" w:color="auto"/>
              <w:right w:val="single" w:sz="4" w:space="0" w:color="auto"/>
            </w:tcBorders>
            <w:textDirection w:val="lrTb"/>
            <w:vAlign w:val="top"/>
          </w:tcPr>
          <w:p w:rsidR="00046025" w:rsidP="00046025">
            <w:pPr>
              <w:pStyle w:val="NormalWeb"/>
              <w:bidi w:val="0"/>
              <w:spacing w:before="0" w:beforeAutospacing="0" w:after="0" w:afterAutospacing="0" w:line="240" w:lineRule="auto"/>
              <w:jc w:val="center"/>
              <w:rPr>
                <w:rFonts w:ascii="Times New Roman" w:hAnsi="Times New Roman"/>
              </w:rPr>
            </w:pPr>
            <w:r w:rsidR="006A3AE6">
              <w:rPr>
                <w:rFonts w:ascii="Times New Roman" w:hAnsi="Times New Roman"/>
              </w:rPr>
              <w:t xml:space="preserve">                 </w:t>
            </w:r>
            <w:r>
              <w:rPr>
                <w:rFonts w:ascii="Times New Roman" w:hAnsi="Times New Roman"/>
              </w:rPr>
              <w:t xml:space="preserve"> 0 </w:t>
            </w:r>
          </w:p>
        </w:tc>
        <w:tc>
          <w:tcPr>
            <w:tcW w:w="2062" w:type="dxa"/>
            <w:tcBorders>
              <w:top w:val="nil"/>
              <w:left w:val="nil"/>
              <w:bottom w:val="single" w:sz="4" w:space="0" w:color="auto"/>
              <w:right w:val="single" w:sz="4" w:space="0" w:color="auto"/>
            </w:tcBorders>
            <w:textDirection w:val="lrTb"/>
            <w:vAlign w:val="top"/>
          </w:tcPr>
          <w:p w:rsidR="00046025" w:rsidP="00046025">
            <w:pPr>
              <w:pStyle w:val="NormalWeb"/>
              <w:bidi w:val="0"/>
              <w:spacing w:before="0" w:beforeAutospacing="0" w:after="0" w:afterAutospacing="0" w:line="240" w:lineRule="auto"/>
              <w:rPr>
                <w:rFonts w:ascii="Times New Roman" w:hAnsi="Times New Roman"/>
              </w:rPr>
            </w:pPr>
            <w:r>
              <w:rPr>
                <w:rFonts w:ascii="Times New Roman" w:hAnsi="Times New Roman"/>
              </w:rPr>
              <w:t xml:space="preserve">                  0 </w:t>
            </w:r>
          </w:p>
        </w:tc>
        <w:tc>
          <w:tcPr>
            <w:tcW w:w="1207" w:type="dxa"/>
            <w:tcBorders>
              <w:top w:val="nil"/>
              <w:left w:val="nil"/>
              <w:bottom w:val="single" w:sz="4" w:space="0" w:color="auto"/>
              <w:right w:val="single" w:sz="4" w:space="0" w:color="auto"/>
            </w:tcBorders>
            <w:noWrap/>
            <w:textDirection w:val="lrTb"/>
            <w:vAlign w:val="bottom"/>
          </w:tcPr>
          <w:p w:rsidR="00046025" w:rsidRPr="007D5748" w:rsidP="00046025">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bl>
    <w:p w:rsidR="00E72448" w:rsidP="00E72448">
      <w:pPr>
        <w:bidi w:val="0"/>
        <w:spacing w:after="0" w:line="240" w:lineRule="auto"/>
        <w:rPr>
          <w:rFonts w:ascii="Times New Roman" w:hAnsi="Times New Roman"/>
          <w:bCs/>
          <w:sz w:val="24"/>
          <w:szCs w:val="20"/>
          <w:lang w:eastAsia="sk-SK"/>
        </w:rPr>
      </w:pPr>
      <w:r w:rsidRPr="007D5748">
        <w:rPr>
          <w:rFonts w:ascii="Times New Roman" w:hAnsi="Times New Roman"/>
          <w:b/>
          <w:bCs/>
          <w:sz w:val="24"/>
          <w:szCs w:val="24"/>
          <w:lang w:eastAsia="sk-SK"/>
        </w:rPr>
        <w:t>Poznámky:</w:t>
      </w:r>
    </w:p>
    <w:p w:rsidR="00CB3623" w:rsidP="00E72448">
      <w:pPr>
        <w:bidi w:val="0"/>
        <w:spacing w:after="0" w:line="240" w:lineRule="auto"/>
        <w:rPr>
          <w:rFonts w:ascii="Times New Roman" w:hAnsi="Times New Roman"/>
          <w:bCs/>
          <w:sz w:val="24"/>
          <w:szCs w:val="20"/>
          <w:lang w:eastAsia="sk-SK"/>
        </w:rPr>
      </w:pPr>
      <w:r w:rsidRPr="007D5748" w:rsidR="00E72448">
        <w:rPr>
          <w:rFonts w:ascii="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E72448" w:rsidP="00E72448">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Priemerný mzdový výdavok je tvorený podielom mzdových výdavkov na jedného zamestnanca na jeden kalendárny mesiac bežného roka.</w:t>
      </w:r>
    </w:p>
    <w:p w:rsidR="00E72448" w:rsidP="00E72448">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Kategórie 610 a 620 sú z tejto prílohy prenášané do príslušných kategórií prílohy „výdavky“.</w:t>
      </w:r>
    </w:p>
    <w:p w:rsidR="00D05DE3" w:rsidP="00E72448">
      <w:pPr>
        <w:bidi w:val="0"/>
        <w:spacing w:after="0" w:line="240" w:lineRule="auto"/>
        <w:rPr>
          <w:rFonts w:ascii="Times New Roman" w:hAnsi="Times New Roman"/>
          <w:sz w:val="24"/>
          <w:szCs w:val="24"/>
          <w:lang w:eastAsia="sk-SK"/>
        </w:rPr>
      </w:pPr>
    </w:p>
    <w:p w:rsidR="004A4AFC" w:rsidRPr="004A4AFC" w:rsidP="004A4AFC">
      <w:pPr>
        <w:bidi w:val="0"/>
        <w:spacing w:after="0" w:line="240" w:lineRule="auto"/>
        <w:jc w:val="both"/>
        <w:rPr>
          <w:rFonts w:ascii="Times New Roman" w:hAnsi="Times New Roman"/>
          <w:bCs/>
          <w:sz w:val="24"/>
          <w:szCs w:val="24"/>
          <w:lang w:eastAsia="sk-SK"/>
        </w:rPr>
      </w:pPr>
      <w:r w:rsidRPr="004A4AFC">
        <w:rPr>
          <w:rFonts w:ascii="Times New Roman" w:hAnsi="Times New Roman"/>
          <w:bCs/>
          <w:sz w:val="24"/>
          <w:szCs w:val="24"/>
          <w:u w:val="single"/>
          <w:lang w:eastAsia="sk-SK"/>
        </w:rPr>
        <w:t xml:space="preserve">Pre Štátny ústav pre kontrolu liečiv, Bratislava </w:t>
      </w:r>
      <w:r w:rsidRPr="004A4AFC">
        <w:rPr>
          <w:rFonts w:ascii="Times New Roman" w:hAnsi="Times New Roman"/>
          <w:bCs/>
          <w:sz w:val="24"/>
          <w:szCs w:val="24"/>
          <w:lang w:eastAsia="sk-SK"/>
        </w:rPr>
        <w:t xml:space="preserve">je potrebné zvýšiť počet zamestnancov o 22 osôb v súvislosti so zabezpečovaním nových úloh </w:t>
      </w:r>
      <w:r>
        <w:rPr>
          <w:rFonts w:ascii="Times New Roman" w:hAnsi="Times New Roman"/>
          <w:bCs/>
          <w:sz w:val="24"/>
          <w:szCs w:val="24"/>
          <w:lang w:eastAsia="sk-SK"/>
        </w:rPr>
        <w:br/>
      </w:r>
      <w:r w:rsidRPr="004A4AFC">
        <w:rPr>
          <w:rFonts w:ascii="Times New Roman" w:hAnsi="Times New Roman"/>
          <w:bCs/>
          <w:sz w:val="24"/>
          <w:szCs w:val="24"/>
          <w:lang w:eastAsia="sk-SK"/>
        </w:rPr>
        <w:t xml:space="preserve">v oblasti klinického skúšania liekov, s prácou v rámci EÚ portálu a databázy a s prevádzkou národného elektronického portálu. </w:t>
      </w:r>
    </w:p>
    <w:p w:rsidR="004A4AFC" w:rsidRPr="004A4AFC" w:rsidP="004A4AFC">
      <w:pPr>
        <w:bidi w:val="0"/>
        <w:spacing w:after="0" w:line="240" w:lineRule="auto"/>
        <w:jc w:val="both"/>
        <w:rPr>
          <w:rFonts w:ascii="Times New Roman" w:hAnsi="Times New Roman"/>
          <w:bCs/>
          <w:sz w:val="24"/>
          <w:szCs w:val="24"/>
          <w:lang w:eastAsia="sk-SK"/>
        </w:rPr>
      </w:pPr>
      <w:r w:rsidRPr="004A4AFC">
        <w:rPr>
          <w:rFonts w:ascii="Times New Roman" w:hAnsi="Times New Roman"/>
          <w:bCs/>
          <w:sz w:val="24"/>
          <w:szCs w:val="24"/>
          <w:lang w:eastAsia="sk-SK"/>
        </w:rPr>
        <w:t xml:space="preserve">Od 1.1.2019 predpokladáme nástup 22 hlavných radcov zaradených do triedy 6 s ø platom 1 300 eur a odvodmi 454 eur = spolu 1 754 eur. </w:t>
      </w:r>
    </w:p>
    <w:p w:rsidR="000738ED" w:rsidP="004A4AFC">
      <w:pPr>
        <w:bidi w:val="0"/>
        <w:spacing w:after="0" w:line="240" w:lineRule="auto"/>
        <w:jc w:val="both"/>
        <w:rPr>
          <w:rFonts w:ascii="Times New Roman" w:hAnsi="Times New Roman"/>
          <w:bCs/>
          <w:sz w:val="24"/>
          <w:szCs w:val="24"/>
          <w:lang w:eastAsia="sk-SK"/>
        </w:rPr>
      </w:pPr>
      <w:r w:rsidRPr="004A4AFC" w:rsidR="004A4AFC">
        <w:rPr>
          <w:rFonts w:ascii="Times New Roman" w:hAnsi="Times New Roman"/>
          <w:bCs/>
          <w:sz w:val="24"/>
          <w:szCs w:val="24"/>
          <w:lang w:eastAsia="sk-SK"/>
        </w:rPr>
        <w:t>V rok</w:t>
      </w:r>
      <w:r w:rsidR="00046025">
        <w:rPr>
          <w:rFonts w:ascii="Times New Roman" w:hAnsi="Times New Roman"/>
          <w:bCs/>
          <w:sz w:val="24"/>
          <w:szCs w:val="24"/>
          <w:lang w:eastAsia="sk-SK"/>
        </w:rPr>
        <w:t>och</w:t>
      </w:r>
      <w:r w:rsidRPr="004A4AFC" w:rsidR="004A4AFC">
        <w:rPr>
          <w:rFonts w:ascii="Times New Roman" w:hAnsi="Times New Roman"/>
          <w:bCs/>
          <w:sz w:val="24"/>
          <w:szCs w:val="24"/>
          <w:lang w:eastAsia="sk-SK"/>
        </w:rPr>
        <w:t xml:space="preserve"> 2019</w:t>
      </w:r>
      <w:r w:rsidR="00046025">
        <w:rPr>
          <w:rFonts w:ascii="Times New Roman" w:hAnsi="Times New Roman"/>
          <w:bCs/>
          <w:sz w:val="24"/>
          <w:szCs w:val="24"/>
          <w:lang w:eastAsia="sk-SK"/>
        </w:rPr>
        <w:t xml:space="preserve">, </w:t>
      </w:r>
      <w:r w:rsidRPr="004A4AFC" w:rsidR="004A4AFC">
        <w:rPr>
          <w:rFonts w:ascii="Times New Roman" w:hAnsi="Times New Roman"/>
          <w:bCs/>
          <w:sz w:val="24"/>
          <w:szCs w:val="24"/>
          <w:lang w:eastAsia="sk-SK"/>
        </w:rPr>
        <w:t>2020</w:t>
      </w:r>
      <w:r w:rsidR="00046025">
        <w:rPr>
          <w:rFonts w:ascii="Times New Roman" w:hAnsi="Times New Roman"/>
          <w:bCs/>
          <w:sz w:val="24"/>
          <w:szCs w:val="24"/>
          <w:lang w:eastAsia="sk-SK"/>
        </w:rPr>
        <w:t xml:space="preserve"> a 2021</w:t>
      </w:r>
      <w:r w:rsidRPr="004A4AFC" w:rsidR="004A4AFC">
        <w:rPr>
          <w:rFonts w:ascii="Times New Roman" w:hAnsi="Times New Roman"/>
          <w:bCs/>
          <w:sz w:val="24"/>
          <w:szCs w:val="24"/>
          <w:lang w:eastAsia="sk-SK"/>
        </w:rPr>
        <w:t xml:space="preserve"> </w:t>
      </w:r>
      <w:r w:rsidR="006A3AE6">
        <w:rPr>
          <w:rFonts w:ascii="Times New Roman" w:hAnsi="Times New Roman"/>
          <w:bCs/>
          <w:sz w:val="24"/>
          <w:szCs w:val="24"/>
          <w:lang w:eastAsia="sk-SK"/>
        </w:rPr>
        <w:t>by mali predstavovať</w:t>
      </w:r>
      <w:r w:rsidRPr="004A4AFC" w:rsidR="004A4AFC">
        <w:rPr>
          <w:rFonts w:ascii="Times New Roman" w:hAnsi="Times New Roman"/>
          <w:bCs/>
          <w:sz w:val="24"/>
          <w:szCs w:val="24"/>
          <w:lang w:eastAsia="sk-SK"/>
        </w:rPr>
        <w:t xml:space="preserve"> dopady:  mzdy 343 200 eur + odvody 119 948,40 eur = osobné výdavky</w:t>
      </w:r>
      <w:r w:rsidR="00925BD2">
        <w:rPr>
          <w:rFonts w:ascii="Times New Roman" w:hAnsi="Times New Roman"/>
          <w:bCs/>
          <w:sz w:val="24"/>
          <w:szCs w:val="24"/>
          <w:lang w:eastAsia="sk-SK"/>
        </w:rPr>
        <w:t xml:space="preserve"> </w:t>
      </w:r>
      <w:r w:rsidRPr="004A4AFC" w:rsidR="004A4AFC">
        <w:rPr>
          <w:rFonts w:ascii="Times New Roman" w:hAnsi="Times New Roman"/>
          <w:bCs/>
          <w:sz w:val="24"/>
          <w:szCs w:val="24"/>
          <w:lang w:eastAsia="sk-SK"/>
        </w:rPr>
        <w:t>463 148,40 eur.</w:t>
      </w:r>
    </w:p>
    <w:p w:rsidR="00602E43" w:rsidP="004A4AFC">
      <w:pPr>
        <w:bidi w:val="0"/>
        <w:spacing w:after="0" w:line="240" w:lineRule="auto"/>
        <w:jc w:val="both"/>
        <w:rPr>
          <w:rFonts w:ascii="Times New Roman" w:hAnsi="Times New Roman"/>
          <w:bCs/>
          <w:sz w:val="24"/>
          <w:szCs w:val="24"/>
          <w:lang w:eastAsia="sk-SK"/>
        </w:rPr>
      </w:pPr>
    </w:p>
    <w:p w:rsidR="00602E43" w:rsidP="004A4AFC">
      <w:pPr>
        <w:bidi w:val="0"/>
        <w:spacing w:after="0" w:line="240" w:lineRule="auto"/>
        <w:jc w:val="both"/>
        <w:rPr>
          <w:rFonts w:ascii="Times New Roman" w:hAnsi="Times New Roman"/>
          <w:bCs/>
          <w:sz w:val="24"/>
          <w:szCs w:val="24"/>
          <w:lang w:eastAsia="sk-SK"/>
        </w:rPr>
      </w:pPr>
    </w:p>
    <w:p w:rsidR="00602E43" w:rsidP="004A4AFC">
      <w:pPr>
        <w:bidi w:val="0"/>
        <w:spacing w:after="0" w:line="240" w:lineRule="auto"/>
        <w:jc w:val="both"/>
        <w:rPr>
          <w:rFonts w:ascii="Times New Roman" w:hAnsi="Times New Roman"/>
          <w:bCs/>
          <w:sz w:val="24"/>
          <w:szCs w:val="24"/>
          <w:lang w:eastAsia="sk-SK"/>
        </w:rPr>
      </w:pPr>
    </w:p>
    <w:p w:rsidR="00602E43" w:rsidP="004A4AFC">
      <w:pPr>
        <w:bidi w:val="0"/>
        <w:spacing w:after="0" w:line="240" w:lineRule="auto"/>
        <w:jc w:val="both"/>
        <w:rPr>
          <w:rFonts w:ascii="Times New Roman" w:hAnsi="Times New Roman"/>
          <w:bCs/>
          <w:sz w:val="24"/>
          <w:szCs w:val="24"/>
          <w:lang w:eastAsia="sk-SK"/>
        </w:rPr>
      </w:pPr>
    </w:p>
    <w:p w:rsidR="00602E43" w:rsidP="004A4AFC">
      <w:pPr>
        <w:bidi w:val="0"/>
        <w:spacing w:after="0" w:line="240" w:lineRule="auto"/>
        <w:jc w:val="both"/>
        <w:rPr>
          <w:rFonts w:ascii="Times New Roman" w:hAnsi="Times New Roman"/>
          <w:bCs/>
          <w:sz w:val="24"/>
          <w:szCs w:val="24"/>
          <w:lang w:eastAsia="sk-SK"/>
        </w:rPr>
      </w:pPr>
    </w:p>
    <w:p w:rsidR="00602E43" w:rsidP="004A4AFC">
      <w:pPr>
        <w:bidi w:val="0"/>
        <w:spacing w:after="0" w:line="240" w:lineRule="auto"/>
        <w:jc w:val="both"/>
        <w:rPr>
          <w:rFonts w:ascii="Times New Roman" w:hAnsi="Times New Roman"/>
          <w:bCs/>
          <w:sz w:val="24"/>
          <w:szCs w:val="24"/>
          <w:lang w:eastAsia="sk-SK"/>
        </w:rPr>
      </w:pPr>
    </w:p>
    <w:p w:rsidR="00602E43" w:rsidP="004A4AFC">
      <w:pPr>
        <w:bidi w:val="0"/>
        <w:spacing w:after="0" w:line="240" w:lineRule="auto"/>
        <w:jc w:val="both"/>
        <w:rPr>
          <w:rFonts w:ascii="Times New Roman" w:hAnsi="Times New Roman"/>
          <w:bCs/>
          <w:sz w:val="24"/>
          <w:szCs w:val="24"/>
          <w:lang w:eastAsia="sk-SK"/>
        </w:rPr>
      </w:pPr>
    </w:p>
    <w:p w:rsidR="00602E43" w:rsidP="004A4AFC">
      <w:pPr>
        <w:bidi w:val="0"/>
        <w:spacing w:after="0" w:line="240" w:lineRule="auto"/>
        <w:jc w:val="both"/>
        <w:rPr>
          <w:rFonts w:ascii="Times New Roman" w:hAnsi="Times New Roman"/>
          <w:bCs/>
          <w:sz w:val="24"/>
          <w:szCs w:val="24"/>
          <w:lang w:eastAsia="sk-SK"/>
        </w:rPr>
      </w:pPr>
    </w:p>
    <w:p w:rsidR="00602E43" w:rsidP="004A4AFC">
      <w:pPr>
        <w:bidi w:val="0"/>
        <w:spacing w:after="0" w:line="240" w:lineRule="auto"/>
        <w:jc w:val="both"/>
        <w:rPr>
          <w:rFonts w:ascii="Times New Roman" w:hAnsi="Times New Roman"/>
          <w:bCs/>
          <w:sz w:val="24"/>
          <w:szCs w:val="24"/>
          <w:lang w:eastAsia="sk-SK"/>
        </w:rPr>
      </w:pPr>
    </w:p>
    <w:p w:rsidR="00602E43" w:rsidRPr="00E72448" w:rsidP="00602E43">
      <w:pPr>
        <w:tabs>
          <w:tab w:val="num" w:pos="1080"/>
        </w:tabs>
        <w:bidi w:val="0"/>
        <w:spacing w:after="0" w:line="240" w:lineRule="auto"/>
        <w:rPr>
          <w:rFonts w:ascii="Times New Roman" w:hAnsi="Times New Roman"/>
          <w:bCs/>
          <w:sz w:val="24"/>
          <w:szCs w:val="24"/>
          <w:lang w:eastAsia="sk-SK"/>
        </w:rPr>
      </w:pPr>
      <w:r>
        <w:rPr>
          <w:rFonts w:ascii="Times New Roman" w:hAnsi="Times New Roman"/>
          <w:bCs/>
          <w:sz w:val="24"/>
          <w:szCs w:val="24"/>
          <w:lang w:eastAsia="sk-SK"/>
        </w:rPr>
        <w:t>Za aparát ústredného orgánu Ministerstva zdravotníctva SR:                                                                                                                Tabuľka č. 5</w:t>
      </w:r>
    </w:p>
    <w:tbl>
      <w:tblPr>
        <w:tblStyle w:val="TableNormal"/>
        <w:tblW w:w="14888" w:type="dxa"/>
        <w:tblInd w:w="-784" w:type="dxa"/>
        <w:tblCellMar>
          <w:left w:w="70" w:type="dxa"/>
          <w:right w:w="70" w:type="dxa"/>
        </w:tblCellMar>
      </w:tblPr>
      <w:tblGrid>
        <w:gridCol w:w="6126"/>
        <w:gridCol w:w="1683"/>
        <w:gridCol w:w="1772"/>
        <w:gridCol w:w="1971"/>
        <w:gridCol w:w="2129"/>
        <w:gridCol w:w="1207"/>
      </w:tblGrid>
      <w:tr>
        <w:tblPrEx>
          <w:tblW w:w="14888" w:type="dxa"/>
          <w:tblInd w:w="-784" w:type="dxa"/>
          <w:tblCellMar>
            <w:left w:w="70" w:type="dxa"/>
            <w:right w:w="70" w:type="dxa"/>
          </w:tblCellMar>
        </w:tblPrEx>
        <w:trPr>
          <w:cantSplit/>
          <w:trHeight w:val="255"/>
        </w:trPr>
        <w:tc>
          <w:tcPr>
            <w:tcW w:w="6126"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02E43" w:rsidRPr="007D5748" w:rsidP="009B4479">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Zamestnanosť</w:t>
            </w:r>
          </w:p>
        </w:tc>
        <w:tc>
          <w:tcPr>
            <w:tcW w:w="7555"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602E43" w:rsidRPr="007D5748" w:rsidP="009B4479">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w:t>
            </w:r>
          </w:p>
        </w:tc>
        <w:tc>
          <w:tcPr>
            <w:tcW w:w="1207"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02E43" w:rsidRPr="007D5748" w:rsidP="009B4479">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tblPrEx>
          <w:tblW w:w="14888" w:type="dxa"/>
          <w:tblInd w:w="-784" w:type="dxa"/>
          <w:tblCellMar>
            <w:left w:w="70" w:type="dxa"/>
            <w:right w:w="70" w:type="dxa"/>
          </w:tblCellMar>
        </w:tblPrEx>
        <w:trPr>
          <w:cantSplit/>
          <w:trHeight w:val="255"/>
        </w:trPr>
        <w:tc>
          <w:tcPr>
            <w:tcW w:w="6126"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A3AE6" w:rsidRPr="007D5748" w:rsidP="006A3AE6">
            <w:pPr>
              <w:bidi w:val="0"/>
              <w:spacing w:after="0" w:line="240" w:lineRule="auto"/>
              <w:rPr>
                <w:rFonts w:ascii="Times New Roman" w:hAnsi="Times New Roman"/>
                <w:b/>
                <w:bCs/>
                <w:sz w:val="24"/>
                <w:szCs w:val="24"/>
                <w:lang w:eastAsia="sk-SK"/>
              </w:rPr>
            </w:pPr>
          </w:p>
        </w:tc>
        <w:tc>
          <w:tcPr>
            <w:tcW w:w="1683" w:type="dxa"/>
            <w:tcBorders>
              <w:top w:val="nil"/>
              <w:left w:val="nil"/>
              <w:bottom w:val="single" w:sz="4" w:space="0" w:color="auto"/>
              <w:right w:val="single" w:sz="4" w:space="0" w:color="auto"/>
            </w:tcBorders>
            <w:shd w:val="clear" w:color="auto" w:fill="BFBFBF"/>
            <w:textDirection w:val="lrTb"/>
            <w:vAlign w:val="top"/>
          </w:tcPr>
          <w:p w:rsidR="006A3AE6" w:rsidRPr="007D5748" w:rsidP="006A3AE6">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Pr>
                <w:rFonts w:ascii="Times New Roman" w:hAnsi="Times New Roman"/>
                <w:b/>
                <w:bCs/>
                <w:sz w:val="24"/>
                <w:szCs w:val="24"/>
                <w:lang w:eastAsia="sk-SK"/>
              </w:rPr>
              <w:t>. 2018</w:t>
            </w:r>
          </w:p>
        </w:tc>
        <w:tc>
          <w:tcPr>
            <w:tcW w:w="1772" w:type="dxa"/>
            <w:tcBorders>
              <w:top w:val="nil"/>
              <w:left w:val="nil"/>
              <w:bottom w:val="single" w:sz="4" w:space="0" w:color="auto"/>
              <w:right w:val="single" w:sz="4" w:space="0" w:color="auto"/>
            </w:tcBorders>
            <w:shd w:val="clear" w:color="auto" w:fill="BFBFBF"/>
            <w:textDirection w:val="lrTb"/>
            <w:vAlign w:val="top"/>
          </w:tcPr>
          <w:p w:rsidR="006A3AE6" w:rsidRPr="007D5748" w:rsidP="006A3AE6">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Pr>
                <w:rFonts w:ascii="Times New Roman" w:hAnsi="Times New Roman"/>
                <w:b/>
                <w:bCs/>
                <w:sz w:val="24"/>
                <w:szCs w:val="24"/>
                <w:lang w:eastAsia="sk-SK"/>
              </w:rPr>
              <w:t>. 2019</w:t>
            </w:r>
          </w:p>
        </w:tc>
        <w:tc>
          <w:tcPr>
            <w:tcW w:w="1971" w:type="dxa"/>
            <w:tcBorders>
              <w:top w:val="nil"/>
              <w:left w:val="nil"/>
              <w:bottom w:val="single" w:sz="4" w:space="0" w:color="auto"/>
              <w:right w:val="single" w:sz="4" w:space="0" w:color="auto"/>
            </w:tcBorders>
            <w:shd w:val="clear" w:color="auto" w:fill="BFBFBF"/>
            <w:textDirection w:val="lrTb"/>
            <w:vAlign w:val="top"/>
          </w:tcPr>
          <w:p w:rsidR="006A3AE6" w:rsidRPr="007D5748" w:rsidP="006A3AE6">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Pr>
                <w:rFonts w:ascii="Times New Roman" w:hAnsi="Times New Roman"/>
                <w:b/>
                <w:bCs/>
                <w:sz w:val="24"/>
                <w:szCs w:val="24"/>
                <w:lang w:eastAsia="sk-SK"/>
              </w:rPr>
              <w:t>. 2020</w:t>
            </w:r>
          </w:p>
        </w:tc>
        <w:tc>
          <w:tcPr>
            <w:tcW w:w="2129" w:type="dxa"/>
            <w:tcBorders>
              <w:top w:val="nil"/>
              <w:left w:val="nil"/>
              <w:bottom w:val="single" w:sz="4" w:space="0" w:color="auto"/>
              <w:right w:val="single" w:sz="4" w:space="0" w:color="auto"/>
            </w:tcBorders>
            <w:shd w:val="clear" w:color="auto" w:fill="BFBFBF"/>
            <w:textDirection w:val="lrTb"/>
            <w:vAlign w:val="top"/>
          </w:tcPr>
          <w:p w:rsidR="006A3AE6" w:rsidRPr="007D5748" w:rsidP="006A3AE6">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r>
              <w:rPr>
                <w:rFonts w:ascii="Times New Roman" w:hAnsi="Times New Roman"/>
                <w:b/>
                <w:bCs/>
                <w:sz w:val="24"/>
                <w:szCs w:val="24"/>
                <w:lang w:eastAsia="sk-SK"/>
              </w:rPr>
              <w:t>. 2021</w:t>
            </w:r>
          </w:p>
        </w:tc>
        <w:tc>
          <w:tcPr>
            <w:tcW w:w="1207"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A3AE6" w:rsidRPr="007D5748" w:rsidP="006A3AE6">
            <w:pPr>
              <w:bidi w:val="0"/>
              <w:spacing w:after="0" w:line="240" w:lineRule="auto"/>
              <w:rPr>
                <w:rFonts w:ascii="Times New Roman" w:hAnsi="Times New Roman"/>
                <w:b/>
                <w:bCs/>
                <w:color w:val="FFFFFF"/>
                <w:sz w:val="24"/>
                <w:szCs w:val="24"/>
                <w:lang w:eastAsia="sk-SK"/>
              </w:rPr>
            </w:pPr>
          </w:p>
        </w:tc>
      </w:tr>
      <w:tr>
        <w:tblPrEx>
          <w:tblW w:w="14888" w:type="dxa"/>
          <w:tblInd w:w="-784" w:type="dxa"/>
          <w:tblCellMar>
            <w:left w:w="70" w:type="dxa"/>
            <w:right w:w="70" w:type="dxa"/>
          </w:tblCellMar>
        </w:tblPrEx>
        <w:trPr>
          <w:trHeight w:val="255"/>
        </w:trPr>
        <w:tc>
          <w:tcPr>
            <w:tcW w:w="6126" w:type="dxa"/>
            <w:tcBorders>
              <w:top w:val="nil"/>
              <w:left w:val="single" w:sz="4" w:space="0" w:color="auto"/>
              <w:bottom w:val="single" w:sz="4" w:space="0" w:color="auto"/>
              <w:right w:val="single" w:sz="4" w:space="0" w:color="auto"/>
            </w:tcBorders>
            <w:textDirection w:val="lrTb"/>
            <w:vAlign w:val="top"/>
          </w:tcPr>
          <w:p w:rsidR="006A3AE6" w:rsidRPr="007D5748" w:rsidP="006A3AE6">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Počet zamestnancov celkom</w:t>
            </w:r>
          </w:p>
        </w:tc>
        <w:tc>
          <w:tcPr>
            <w:tcW w:w="1683" w:type="dxa"/>
            <w:tcBorders>
              <w:top w:val="nil"/>
              <w:left w:val="nil"/>
              <w:bottom w:val="single" w:sz="4" w:space="0" w:color="auto"/>
              <w:right w:val="single" w:sz="4" w:space="0" w:color="auto"/>
            </w:tcBorders>
            <w:textDirection w:val="lrTb"/>
            <w:vAlign w:val="top"/>
          </w:tcPr>
          <w:p w:rsidR="006A3AE6" w:rsidRPr="00161D5C" w:rsidP="006A3AE6">
            <w:pPr>
              <w:pStyle w:val="NormalWeb"/>
              <w:bidi w:val="0"/>
              <w:spacing w:before="0" w:beforeAutospacing="0" w:after="0" w:afterAutospacing="0" w:line="240" w:lineRule="auto"/>
              <w:jc w:val="right"/>
              <w:rPr>
                <w:rFonts w:ascii="Times New Roman" w:hAnsi="Times New Roman"/>
                <w:b/>
              </w:rPr>
            </w:pPr>
            <w:r>
              <w:rPr>
                <w:rFonts w:ascii="Times New Roman" w:hAnsi="Times New Roman"/>
                <w:b/>
              </w:rPr>
              <w:t>0</w:t>
            </w:r>
          </w:p>
        </w:tc>
        <w:tc>
          <w:tcPr>
            <w:tcW w:w="1772" w:type="dxa"/>
            <w:tcBorders>
              <w:top w:val="nil"/>
              <w:left w:val="nil"/>
              <w:bottom w:val="single" w:sz="4" w:space="0" w:color="auto"/>
              <w:right w:val="single" w:sz="4" w:space="0" w:color="auto"/>
            </w:tcBorders>
            <w:textDirection w:val="lrTb"/>
            <w:vAlign w:val="top"/>
          </w:tcPr>
          <w:p w:rsidR="006A3AE6" w:rsidRPr="00161D5C" w:rsidP="006A3AE6">
            <w:pPr>
              <w:pStyle w:val="NormalWeb"/>
              <w:bidi w:val="0"/>
              <w:spacing w:before="0" w:beforeAutospacing="0" w:after="0" w:afterAutospacing="0" w:line="240" w:lineRule="auto"/>
              <w:rPr>
                <w:rFonts w:ascii="Times New Roman" w:hAnsi="Times New Roman"/>
                <w:b/>
              </w:rPr>
            </w:pPr>
            <w:r>
              <w:rPr>
                <w:rFonts w:ascii="Times New Roman" w:hAnsi="Times New Roman"/>
                <w:b/>
              </w:rPr>
              <w:t xml:space="preserve">                    3</w:t>
            </w:r>
            <w:r w:rsidRPr="00161D5C">
              <w:rPr>
                <w:rFonts w:ascii="Times New Roman" w:hAnsi="Times New Roman"/>
                <w:b/>
              </w:rPr>
              <w:t xml:space="preserve"> </w:t>
            </w:r>
          </w:p>
        </w:tc>
        <w:tc>
          <w:tcPr>
            <w:tcW w:w="1971" w:type="dxa"/>
            <w:tcBorders>
              <w:top w:val="nil"/>
              <w:left w:val="nil"/>
              <w:bottom w:val="single" w:sz="4" w:space="0" w:color="auto"/>
              <w:right w:val="single" w:sz="4" w:space="0" w:color="auto"/>
            </w:tcBorders>
            <w:textDirection w:val="lrTb"/>
            <w:vAlign w:val="top"/>
          </w:tcPr>
          <w:p w:rsidR="006A3AE6" w:rsidRPr="00161D5C" w:rsidP="006A3AE6">
            <w:pPr>
              <w:pStyle w:val="NormalWeb"/>
              <w:bidi w:val="0"/>
              <w:spacing w:before="0" w:beforeAutospacing="0" w:after="0" w:afterAutospacing="0" w:line="240" w:lineRule="auto"/>
              <w:jc w:val="center"/>
              <w:rPr>
                <w:rFonts w:ascii="Times New Roman" w:hAnsi="Times New Roman"/>
                <w:b/>
              </w:rPr>
            </w:pPr>
            <w:r>
              <w:rPr>
                <w:rFonts w:ascii="Times New Roman" w:hAnsi="Times New Roman"/>
                <w:b/>
              </w:rPr>
              <w:t xml:space="preserve"> </w:t>
            </w:r>
            <w:r w:rsidR="00C11310">
              <w:rPr>
                <w:rFonts w:ascii="Times New Roman" w:hAnsi="Times New Roman"/>
                <w:b/>
              </w:rPr>
              <w:t xml:space="preserve">                </w:t>
            </w:r>
            <w:r>
              <w:rPr>
                <w:rFonts w:ascii="Times New Roman" w:hAnsi="Times New Roman"/>
                <w:b/>
              </w:rPr>
              <w:t>3</w:t>
            </w:r>
            <w:r w:rsidRPr="00161D5C">
              <w:rPr>
                <w:rFonts w:ascii="Times New Roman" w:hAnsi="Times New Roman"/>
                <w:b/>
              </w:rPr>
              <w:t xml:space="preserve"> </w:t>
            </w:r>
          </w:p>
        </w:tc>
        <w:tc>
          <w:tcPr>
            <w:tcW w:w="2129" w:type="dxa"/>
            <w:tcBorders>
              <w:top w:val="nil"/>
              <w:left w:val="nil"/>
              <w:bottom w:val="single" w:sz="4" w:space="0" w:color="auto"/>
              <w:right w:val="single" w:sz="4" w:space="0" w:color="auto"/>
            </w:tcBorders>
            <w:textDirection w:val="lrTb"/>
            <w:vAlign w:val="top"/>
          </w:tcPr>
          <w:p w:rsidR="006A3AE6" w:rsidRPr="00161D5C" w:rsidP="006A3AE6">
            <w:pPr>
              <w:pStyle w:val="NormalWeb"/>
              <w:bidi w:val="0"/>
              <w:spacing w:before="0" w:beforeAutospacing="0" w:after="0" w:afterAutospacing="0" w:line="240" w:lineRule="auto"/>
              <w:jc w:val="center"/>
              <w:rPr>
                <w:rFonts w:ascii="Times New Roman" w:hAnsi="Times New Roman"/>
                <w:b/>
              </w:rPr>
            </w:pPr>
            <w:r>
              <w:rPr>
                <w:rFonts w:ascii="Times New Roman" w:hAnsi="Times New Roman"/>
                <w:b/>
              </w:rPr>
              <w:t xml:space="preserve">       </w:t>
            </w:r>
            <w:r w:rsidR="00C11310">
              <w:rPr>
                <w:rFonts w:ascii="Times New Roman" w:hAnsi="Times New Roman"/>
                <w:b/>
              </w:rPr>
              <w:t xml:space="preserve">         </w:t>
            </w:r>
            <w:r>
              <w:rPr>
                <w:rFonts w:ascii="Times New Roman" w:hAnsi="Times New Roman"/>
                <w:b/>
              </w:rPr>
              <w:t xml:space="preserve">   3</w:t>
            </w:r>
          </w:p>
        </w:tc>
        <w:tc>
          <w:tcPr>
            <w:tcW w:w="1207" w:type="dxa"/>
            <w:tcBorders>
              <w:top w:val="nil"/>
              <w:left w:val="nil"/>
              <w:bottom w:val="single" w:sz="4" w:space="0" w:color="auto"/>
              <w:right w:val="single" w:sz="4" w:space="0" w:color="auto"/>
            </w:tcBorders>
            <w:noWrap/>
            <w:textDirection w:val="lrTb"/>
            <w:vAlign w:val="bottom"/>
          </w:tcPr>
          <w:p w:rsidR="006A3AE6" w:rsidRPr="007D5748" w:rsidP="006A3AE6">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888" w:type="dxa"/>
          <w:tblInd w:w="-784" w:type="dxa"/>
          <w:tblCellMar>
            <w:left w:w="70" w:type="dxa"/>
            <w:right w:w="70" w:type="dxa"/>
          </w:tblCellMar>
        </w:tblPrEx>
        <w:trPr>
          <w:trHeight w:val="255"/>
        </w:trPr>
        <w:tc>
          <w:tcPr>
            <w:tcW w:w="6126" w:type="dxa"/>
            <w:tcBorders>
              <w:top w:val="nil"/>
              <w:left w:val="single" w:sz="4" w:space="0" w:color="auto"/>
              <w:bottom w:val="single" w:sz="4" w:space="0" w:color="auto"/>
              <w:right w:val="single" w:sz="4" w:space="0" w:color="auto"/>
            </w:tcBorders>
            <w:textDirection w:val="lrTb"/>
            <w:vAlign w:val="top"/>
          </w:tcPr>
          <w:p w:rsidR="006A3AE6" w:rsidRPr="007D5748" w:rsidP="006A3AE6">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xml:space="preserve">   z toho vplyv na ŠR</w:t>
            </w:r>
          </w:p>
        </w:tc>
        <w:tc>
          <w:tcPr>
            <w:tcW w:w="1683" w:type="dxa"/>
            <w:tcBorders>
              <w:top w:val="single" w:sz="4" w:space="0" w:color="auto"/>
              <w:left w:val="nil"/>
              <w:bottom w:val="single" w:sz="4" w:space="0" w:color="auto"/>
              <w:right w:val="single" w:sz="4" w:space="0" w:color="auto"/>
            </w:tcBorders>
            <w:textDirection w:val="lrTb"/>
            <w:vAlign w:val="top"/>
          </w:tcPr>
          <w:p w:rsidR="006A3AE6" w:rsidRPr="003534AB" w:rsidP="006A3AE6">
            <w:pPr>
              <w:pStyle w:val="NormalWeb"/>
              <w:bidi w:val="0"/>
              <w:spacing w:before="0" w:beforeAutospacing="0" w:after="0" w:afterAutospacing="0" w:line="240" w:lineRule="auto"/>
              <w:jc w:val="right"/>
              <w:rPr>
                <w:rFonts w:ascii="Times New Roman" w:hAnsi="Times New Roman"/>
                <w:b/>
              </w:rPr>
            </w:pPr>
            <w:r w:rsidRPr="003534AB">
              <w:rPr>
                <w:rFonts w:ascii="Times New Roman" w:hAnsi="Times New Roman"/>
                <w:b/>
              </w:rPr>
              <w:t>0</w:t>
            </w:r>
          </w:p>
        </w:tc>
        <w:tc>
          <w:tcPr>
            <w:tcW w:w="1772" w:type="dxa"/>
            <w:tcBorders>
              <w:top w:val="single" w:sz="4" w:space="0" w:color="auto"/>
              <w:left w:val="nil"/>
              <w:bottom w:val="single" w:sz="4" w:space="0" w:color="auto"/>
              <w:right w:val="single" w:sz="4" w:space="0" w:color="auto"/>
            </w:tcBorders>
            <w:textDirection w:val="lrTb"/>
            <w:vAlign w:val="top"/>
          </w:tcPr>
          <w:p w:rsidR="006A3AE6" w:rsidRPr="003534AB" w:rsidP="006A3AE6">
            <w:pPr>
              <w:pStyle w:val="NormalWeb"/>
              <w:bidi w:val="0"/>
              <w:spacing w:before="0" w:beforeAutospacing="0" w:after="0" w:afterAutospacing="0" w:line="240" w:lineRule="auto"/>
              <w:rPr>
                <w:rFonts w:ascii="Times New Roman" w:hAnsi="Times New Roman"/>
                <w:b/>
              </w:rPr>
            </w:pPr>
            <w:r>
              <w:rPr>
                <w:rFonts w:ascii="Times New Roman" w:hAnsi="Times New Roman"/>
                <w:b/>
              </w:rPr>
              <w:t xml:space="preserve">                    0</w:t>
            </w:r>
          </w:p>
        </w:tc>
        <w:tc>
          <w:tcPr>
            <w:tcW w:w="1971" w:type="dxa"/>
            <w:tcBorders>
              <w:top w:val="single" w:sz="4" w:space="0" w:color="auto"/>
              <w:left w:val="nil"/>
              <w:bottom w:val="single" w:sz="4" w:space="0" w:color="auto"/>
              <w:right w:val="single" w:sz="4" w:space="0" w:color="auto"/>
            </w:tcBorders>
            <w:textDirection w:val="lrTb"/>
            <w:vAlign w:val="top"/>
          </w:tcPr>
          <w:p w:rsidR="006A3AE6" w:rsidRPr="003534AB" w:rsidP="006A3AE6">
            <w:pPr>
              <w:pStyle w:val="NormalWeb"/>
              <w:bidi w:val="0"/>
              <w:spacing w:before="0" w:beforeAutospacing="0" w:after="0" w:afterAutospacing="0" w:line="240" w:lineRule="auto"/>
              <w:jc w:val="center"/>
              <w:rPr>
                <w:rFonts w:ascii="Times New Roman" w:hAnsi="Times New Roman"/>
                <w:b/>
              </w:rPr>
            </w:pPr>
            <w:r w:rsidR="00C11310">
              <w:rPr>
                <w:rFonts w:ascii="Times New Roman" w:hAnsi="Times New Roman"/>
                <w:b/>
              </w:rPr>
              <w:t xml:space="preserve">             </w:t>
            </w:r>
            <w:r>
              <w:rPr>
                <w:rFonts w:ascii="Times New Roman" w:hAnsi="Times New Roman"/>
                <w:b/>
              </w:rPr>
              <w:t xml:space="preserve">    0</w:t>
            </w:r>
          </w:p>
        </w:tc>
        <w:tc>
          <w:tcPr>
            <w:tcW w:w="2129" w:type="dxa"/>
            <w:tcBorders>
              <w:top w:val="single" w:sz="4" w:space="0" w:color="auto"/>
              <w:left w:val="nil"/>
              <w:bottom w:val="single" w:sz="4" w:space="0" w:color="auto"/>
              <w:right w:val="single" w:sz="4" w:space="0" w:color="auto"/>
            </w:tcBorders>
            <w:textDirection w:val="lrTb"/>
            <w:vAlign w:val="top"/>
          </w:tcPr>
          <w:p w:rsidR="006A3AE6" w:rsidRPr="003534AB" w:rsidP="006A3AE6">
            <w:pPr>
              <w:pStyle w:val="NormalWeb"/>
              <w:bidi w:val="0"/>
              <w:spacing w:before="0" w:beforeAutospacing="0" w:after="0" w:afterAutospacing="0" w:line="240" w:lineRule="auto"/>
              <w:jc w:val="center"/>
              <w:rPr>
                <w:rFonts w:ascii="Times New Roman" w:hAnsi="Times New Roman"/>
                <w:b/>
              </w:rPr>
            </w:pPr>
            <w:r>
              <w:rPr>
                <w:rFonts w:ascii="Times New Roman" w:hAnsi="Times New Roman"/>
                <w:b/>
              </w:rPr>
              <w:t xml:space="preserve">          </w:t>
            </w:r>
            <w:r w:rsidR="00C11310">
              <w:rPr>
                <w:rFonts w:ascii="Times New Roman" w:hAnsi="Times New Roman"/>
                <w:b/>
              </w:rPr>
              <w:t xml:space="preserve">         </w:t>
            </w:r>
            <w:r>
              <w:rPr>
                <w:rFonts w:ascii="Times New Roman" w:hAnsi="Times New Roman"/>
                <w:b/>
              </w:rPr>
              <w:t>0</w:t>
            </w:r>
          </w:p>
        </w:tc>
        <w:tc>
          <w:tcPr>
            <w:tcW w:w="1207" w:type="dxa"/>
            <w:tcBorders>
              <w:top w:val="nil"/>
              <w:left w:val="nil"/>
              <w:bottom w:val="single" w:sz="4" w:space="0" w:color="auto"/>
              <w:right w:val="single" w:sz="4" w:space="0" w:color="auto"/>
            </w:tcBorders>
            <w:noWrap/>
            <w:textDirection w:val="lrTb"/>
            <w:vAlign w:val="bottom"/>
          </w:tcPr>
          <w:p w:rsidR="006A3AE6" w:rsidRPr="007D5748" w:rsidP="006A3AE6">
            <w:pPr>
              <w:bidi w:val="0"/>
              <w:spacing w:after="0" w:line="240" w:lineRule="auto"/>
              <w:rPr>
                <w:rFonts w:ascii="Times New Roman" w:hAnsi="Times New Roman"/>
                <w:sz w:val="24"/>
                <w:szCs w:val="24"/>
                <w:lang w:eastAsia="sk-SK"/>
              </w:rPr>
            </w:pPr>
          </w:p>
        </w:tc>
      </w:tr>
      <w:tr>
        <w:tblPrEx>
          <w:tblW w:w="14888" w:type="dxa"/>
          <w:tblInd w:w="-784" w:type="dxa"/>
          <w:tblCellMar>
            <w:left w:w="70" w:type="dxa"/>
            <w:right w:w="70" w:type="dxa"/>
          </w:tblCellMar>
        </w:tblPrEx>
        <w:trPr>
          <w:trHeight w:val="255"/>
        </w:trPr>
        <w:tc>
          <w:tcPr>
            <w:tcW w:w="6126" w:type="dxa"/>
            <w:tcBorders>
              <w:top w:val="nil"/>
              <w:left w:val="single" w:sz="4" w:space="0" w:color="auto"/>
              <w:bottom w:val="single" w:sz="4" w:space="0" w:color="auto"/>
              <w:right w:val="single" w:sz="4" w:space="0" w:color="auto"/>
            </w:tcBorders>
            <w:textDirection w:val="lrTb"/>
            <w:vAlign w:val="top"/>
          </w:tcPr>
          <w:p w:rsidR="006A3AE6" w:rsidRPr="007D5748" w:rsidP="006A3AE6">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Priemerný mzdový výdavok (v eurách)</w:t>
            </w:r>
          </w:p>
        </w:tc>
        <w:tc>
          <w:tcPr>
            <w:tcW w:w="1683" w:type="dxa"/>
            <w:tcBorders>
              <w:top w:val="single" w:sz="4" w:space="0" w:color="auto"/>
              <w:left w:val="nil"/>
              <w:bottom w:val="single" w:sz="4" w:space="0" w:color="auto"/>
              <w:right w:val="single" w:sz="4" w:space="0" w:color="auto"/>
            </w:tcBorders>
            <w:textDirection w:val="lrTb"/>
            <w:vAlign w:val="top"/>
          </w:tcPr>
          <w:p w:rsidR="006A3AE6" w:rsidRPr="003534AB" w:rsidP="006A3AE6">
            <w:pPr>
              <w:pStyle w:val="NormalWeb"/>
              <w:bidi w:val="0"/>
              <w:spacing w:before="0" w:beforeAutospacing="0" w:after="0" w:afterAutospacing="0" w:line="240" w:lineRule="auto"/>
              <w:jc w:val="right"/>
              <w:rPr>
                <w:rFonts w:ascii="Times New Roman" w:hAnsi="Times New Roman"/>
                <w:b/>
              </w:rPr>
            </w:pPr>
            <w:r w:rsidRPr="003534AB">
              <w:rPr>
                <w:rFonts w:ascii="Times New Roman" w:hAnsi="Times New Roman"/>
                <w:b/>
              </w:rPr>
              <w:t>0</w:t>
            </w:r>
          </w:p>
        </w:tc>
        <w:tc>
          <w:tcPr>
            <w:tcW w:w="1772" w:type="dxa"/>
            <w:tcBorders>
              <w:top w:val="single" w:sz="4" w:space="0" w:color="auto"/>
              <w:left w:val="nil"/>
              <w:bottom w:val="single" w:sz="4" w:space="0" w:color="auto"/>
              <w:right w:val="single" w:sz="4" w:space="0" w:color="auto"/>
            </w:tcBorders>
            <w:textDirection w:val="lrTb"/>
            <w:vAlign w:val="top"/>
          </w:tcPr>
          <w:p w:rsidR="006A3AE6" w:rsidRPr="003534AB" w:rsidP="006A3AE6">
            <w:pPr>
              <w:pStyle w:val="NormalWeb"/>
              <w:bidi w:val="0"/>
              <w:spacing w:before="0" w:beforeAutospacing="0" w:after="0" w:afterAutospacing="0" w:line="240" w:lineRule="auto"/>
              <w:rPr>
                <w:rFonts w:ascii="Times New Roman" w:hAnsi="Times New Roman"/>
                <w:b/>
              </w:rPr>
            </w:pPr>
            <w:r>
              <w:rPr>
                <w:rFonts w:ascii="Times New Roman" w:hAnsi="Times New Roman"/>
                <w:b/>
              </w:rPr>
              <w:t xml:space="preserve">             </w:t>
            </w:r>
            <w:r w:rsidRPr="003534AB">
              <w:rPr>
                <w:rFonts w:ascii="Times New Roman" w:hAnsi="Times New Roman"/>
                <w:b/>
              </w:rPr>
              <w:t>1</w:t>
            </w:r>
            <w:r>
              <w:rPr>
                <w:rFonts w:ascii="Times New Roman" w:hAnsi="Times New Roman"/>
                <w:b/>
              </w:rPr>
              <w:t> 150,00</w:t>
            </w:r>
          </w:p>
        </w:tc>
        <w:tc>
          <w:tcPr>
            <w:tcW w:w="1971" w:type="dxa"/>
            <w:tcBorders>
              <w:top w:val="single" w:sz="4" w:space="0" w:color="auto"/>
              <w:left w:val="nil"/>
              <w:bottom w:val="single" w:sz="4" w:space="0" w:color="auto"/>
              <w:right w:val="single" w:sz="4" w:space="0" w:color="auto"/>
            </w:tcBorders>
            <w:textDirection w:val="lrTb"/>
            <w:vAlign w:val="top"/>
          </w:tcPr>
          <w:p w:rsidR="006A3AE6" w:rsidRPr="003534AB" w:rsidP="006A3AE6">
            <w:pPr>
              <w:pStyle w:val="NormalWeb"/>
              <w:bidi w:val="0"/>
              <w:spacing w:before="0" w:beforeAutospacing="0" w:after="0" w:afterAutospacing="0" w:line="240" w:lineRule="auto"/>
              <w:rPr>
                <w:rFonts w:ascii="Times New Roman" w:hAnsi="Times New Roman"/>
                <w:b/>
              </w:rPr>
            </w:pPr>
            <w:r>
              <w:rPr>
                <w:rFonts w:ascii="Times New Roman" w:hAnsi="Times New Roman"/>
                <w:b/>
              </w:rPr>
              <w:t xml:space="preserve">                </w:t>
            </w:r>
            <w:r w:rsidRPr="003534AB">
              <w:rPr>
                <w:rFonts w:ascii="Times New Roman" w:hAnsi="Times New Roman"/>
                <w:b/>
              </w:rPr>
              <w:t>1</w:t>
            </w:r>
            <w:r>
              <w:rPr>
                <w:rFonts w:ascii="Times New Roman" w:hAnsi="Times New Roman"/>
                <w:b/>
              </w:rPr>
              <w:t> 150,00</w:t>
            </w:r>
          </w:p>
        </w:tc>
        <w:tc>
          <w:tcPr>
            <w:tcW w:w="2129" w:type="dxa"/>
            <w:tcBorders>
              <w:top w:val="single" w:sz="4" w:space="0" w:color="auto"/>
              <w:left w:val="nil"/>
              <w:bottom w:val="single" w:sz="4" w:space="0" w:color="auto"/>
              <w:right w:val="single" w:sz="4" w:space="0" w:color="auto"/>
            </w:tcBorders>
            <w:textDirection w:val="lrTb"/>
            <w:vAlign w:val="top"/>
          </w:tcPr>
          <w:p w:rsidR="006A3AE6" w:rsidRPr="003534AB" w:rsidP="006A3AE6">
            <w:pPr>
              <w:pStyle w:val="NormalWeb"/>
              <w:bidi w:val="0"/>
              <w:spacing w:before="0" w:beforeAutospacing="0" w:after="0" w:afterAutospacing="0" w:line="240" w:lineRule="auto"/>
              <w:jc w:val="center"/>
              <w:rPr>
                <w:rFonts w:ascii="Times New Roman" w:hAnsi="Times New Roman"/>
                <w:b/>
              </w:rPr>
            </w:pPr>
            <w:r>
              <w:rPr>
                <w:rFonts w:ascii="Times New Roman" w:hAnsi="Times New Roman"/>
                <w:b/>
              </w:rPr>
              <w:t xml:space="preserve">         </w:t>
            </w:r>
            <w:r w:rsidR="00C11310">
              <w:rPr>
                <w:rFonts w:ascii="Times New Roman" w:hAnsi="Times New Roman"/>
                <w:b/>
              </w:rPr>
              <w:t xml:space="preserve">       </w:t>
            </w:r>
            <w:r>
              <w:rPr>
                <w:rFonts w:ascii="Times New Roman" w:hAnsi="Times New Roman"/>
                <w:b/>
              </w:rPr>
              <w:t xml:space="preserve"> </w:t>
            </w:r>
            <w:r w:rsidRPr="003534AB">
              <w:rPr>
                <w:rFonts w:ascii="Times New Roman" w:hAnsi="Times New Roman"/>
                <w:b/>
              </w:rPr>
              <w:t>1</w:t>
            </w:r>
            <w:r>
              <w:rPr>
                <w:rFonts w:ascii="Times New Roman" w:hAnsi="Times New Roman"/>
                <w:b/>
              </w:rPr>
              <w:t> 15</w:t>
            </w:r>
            <w:r w:rsidRPr="003534AB">
              <w:rPr>
                <w:rFonts w:ascii="Times New Roman" w:hAnsi="Times New Roman"/>
                <w:b/>
              </w:rPr>
              <w:t>0</w:t>
            </w:r>
            <w:r>
              <w:rPr>
                <w:rFonts w:ascii="Times New Roman" w:hAnsi="Times New Roman"/>
                <w:b/>
              </w:rPr>
              <w:t>,00</w:t>
            </w:r>
          </w:p>
        </w:tc>
        <w:tc>
          <w:tcPr>
            <w:tcW w:w="1207" w:type="dxa"/>
            <w:tcBorders>
              <w:top w:val="nil"/>
              <w:left w:val="nil"/>
              <w:bottom w:val="single" w:sz="4" w:space="0" w:color="auto"/>
              <w:right w:val="single" w:sz="4" w:space="0" w:color="auto"/>
            </w:tcBorders>
            <w:noWrap/>
            <w:textDirection w:val="lrTb"/>
            <w:vAlign w:val="bottom"/>
          </w:tcPr>
          <w:p w:rsidR="006A3AE6" w:rsidRPr="007D5748" w:rsidP="006A3AE6">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888" w:type="dxa"/>
          <w:tblInd w:w="-784" w:type="dxa"/>
          <w:tblCellMar>
            <w:left w:w="70" w:type="dxa"/>
            <w:right w:w="70" w:type="dxa"/>
          </w:tblCellMar>
        </w:tblPrEx>
        <w:trPr>
          <w:trHeight w:val="255"/>
        </w:trPr>
        <w:tc>
          <w:tcPr>
            <w:tcW w:w="6126" w:type="dxa"/>
            <w:tcBorders>
              <w:top w:val="nil"/>
              <w:left w:val="single" w:sz="4" w:space="0" w:color="auto"/>
              <w:bottom w:val="single" w:sz="4" w:space="0" w:color="auto"/>
              <w:right w:val="single" w:sz="4" w:space="0" w:color="auto"/>
            </w:tcBorders>
            <w:textDirection w:val="lrTb"/>
            <w:vAlign w:val="top"/>
          </w:tcPr>
          <w:p w:rsidR="006A3AE6" w:rsidRPr="007D5748" w:rsidP="006A3AE6">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83" w:type="dxa"/>
            <w:tcBorders>
              <w:top w:val="single" w:sz="4" w:space="0" w:color="auto"/>
              <w:left w:val="nil"/>
              <w:bottom w:val="single" w:sz="4" w:space="0" w:color="auto"/>
              <w:right w:val="single" w:sz="4" w:space="0" w:color="auto"/>
            </w:tcBorders>
            <w:textDirection w:val="lrTb"/>
            <w:vAlign w:val="top"/>
          </w:tcPr>
          <w:p w:rsidR="006A3AE6" w:rsidRPr="003534AB" w:rsidP="006A3AE6">
            <w:pPr>
              <w:pStyle w:val="NormalWeb"/>
              <w:bidi w:val="0"/>
              <w:spacing w:before="0" w:beforeAutospacing="0" w:after="0" w:afterAutospacing="0" w:line="240" w:lineRule="auto"/>
              <w:jc w:val="right"/>
              <w:rPr>
                <w:rFonts w:ascii="Times New Roman" w:hAnsi="Times New Roman"/>
                <w:b/>
              </w:rPr>
            </w:pPr>
            <w:r w:rsidRPr="003534AB">
              <w:rPr>
                <w:rFonts w:ascii="Times New Roman" w:hAnsi="Times New Roman"/>
                <w:b/>
              </w:rPr>
              <w:t>0</w:t>
            </w:r>
          </w:p>
        </w:tc>
        <w:tc>
          <w:tcPr>
            <w:tcW w:w="1772" w:type="dxa"/>
            <w:tcBorders>
              <w:top w:val="single" w:sz="4" w:space="0" w:color="auto"/>
              <w:left w:val="nil"/>
              <w:bottom w:val="single" w:sz="4" w:space="0" w:color="auto"/>
              <w:right w:val="single" w:sz="4" w:space="0" w:color="auto"/>
            </w:tcBorders>
            <w:textDirection w:val="lrTb"/>
            <w:vAlign w:val="top"/>
          </w:tcPr>
          <w:p w:rsidR="006A3AE6" w:rsidRPr="003534AB" w:rsidP="006A3AE6">
            <w:pPr>
              <w:pStyle w:val="NormalWeb"/>
              <w:bidi w:val="0"/>
              <w:spacing w:before="0" w:beforeAutospacing="0" w:after="0" w:afterAutospacing="0" w:line="240" w:lineRule="auto"/>
              <w:rPr>
                <w:rFonts w:ascii="Times New Roman" w:hAnsi="Times New Roman"/>
                <w:b/>
              </w:rPr>
            </w:pPr>
            <w:r>
              <w:rPr>
                <w:rFonts w:ascii="Times New Roman" w:hAnsi="Times New Roman"/>
                <w:b/>
              </w:rPr>
              <w:t xml:space="preserve">                    0</w:t>
            </w:r>
          </w:p>
        </w:tc>
        <w:tc>
          <w:tcPr>
            <w:tcW w:w="1971" w:type="dxa"/>
            <w:tcBorders>
              <w:top w:val="single" w:sz="4" w:space="0" w:color="auto"/>
              <w:left w:val="nil"/>
              <w:bottom w:val="single" w:sz="4" w:space="0" w:color="auto"/>
              <w:right w:val="single" w:sz="4" w:space="0" w:color="auto"/>
            </w:tcBorders>
            <w:textDirection w:val="lrTb"/>
            <w:vAlign w:val="top"/>
          </w:tcPr>
          <w:p w:rsidR="006A3AE6" w:rsidRPr="003534AB" w:rsidP="006A3AE6">
            <w:pPr>
              <w:pStyle w:val="NormalWeb"/>
              <w:bidi w:val="0"/>
              <w:spacing w:before="0" w:beforeAutospacing="0" w:after="0" w:afterAutospacing="0" w:line="240" w:lineRule="auto"/>
              <w:jc w:val="center"/>
              <w:rPr>
                <w:rFonts w:ascii="Times New Roman" w:hAnsi="Times New Roman"/>
                <w:b/>
              </w:rPr>
            </w:pPr>
            <w:r w:rsidR="00C11310">
              <w:rPr>
                <w:rFonts w:ascii="Times New Roman" w:hAnsi="Times New Roman"/>
                <w:b/>
              </w:rPr>
              <w:t xml:space="preserve">                 </w:t>
            </w:r>
            <w:r>
              <w:rPr>
                <w:rFonts w:ascii="Times New Roman" w:hAnsi="Times New Roman"/>
                <w:b/>
              </w:rPr>
              <w:t xml:space="preserve"> 0</w:t>
            </w:r>
          </w:p>
        </w:tc>
        <w:tc>
          <w:tcPr>
            <w:tcW w:w="2129" w:type="dxa"/>
            <w:tcBorders>
              <w:top w:val="single" w:sz="4" w:space="0" w:color="auto"/>
              <w:left w:val="nil"/>
              <w:bottom w:val="single" w:sz="4" w:space="0" w:color="auto"/>
              <w:right w:val="single" w:sz="4" w:space="0" w:color="auto"/>
            </w:tcBorders>
            <w:textDirection w:val="lrTb"/>
            <w:vAlign w:val="top"/>
          </w:tcPr>
          <w:p w:rsidR="006A3AE6" w:rsidRPr="003534AB" w:rsidP="006A3AE6">
            <w:pPr>
              <w:pStyle w:val="NormalWeb"/>
              <w:bidi w:val="0"/>
              <w:spacing w:before="0" w:beforeAutospacing="0" w:after="0" w:afterAutospacing="0" w:line="240" w:lineRule="auto"/>
              <w:jc w:val="center"/>
              <w:rPr>
                <w:rFonts w:ascii="Times New Roman" w:hAnsi="Times New Roman"/>
                <w:b/>
              </w:rPr>
            </w:pPr>
            <w:r>
              <w:rPr>
                <w:rFonts w:ascii="Times New Roman" w:hAnsi="Times New Roman"/>
                <w:b/>
              </w:rPr>
              <w:t xml:space="preserve">         </w:t>
            </w:r>
            <w:r w:rsidR="00C11310">
              <w:rPr>
                <w:rFonts w:ascii="Times New Roman" w:hAnsi="Times New Roman"/>
                <w:b/>
              </w:rPr>
              <w:t xml:space="preserve">       </w:t>
            </w:r>
            <w:r>
              <w:rPr>
                <w:rFonts w:ascii="Times New Roman" w:hAnsi="Times New Roman"/>
                <w:b/>
              </w:rPr>
              <w:t xml:space="preserve">   0</w:t>
            </w:r>
          </w:p>
        </w:tc>
        <w:tc>
          <w:tcPr>
            <w:tcW w:w="1207" w:type="dxa"/>
            <w:tcBorders>
              <w:top w:val="nil"/>
              <w:left w:val="nil"/>
              <w:bottom w:val="single" w:sz="4" w:space="0" w:color="auto"/>
              <w:right w:val="single" w:sz="4" w:space="0" w:color="auto"/>
            </w:tcBorders>
            <w:noWrap/>
            <w:textDirection w:val="lrTb"/>
            <w:vAlign w:val="bottom"/>
          </w:tcPr>
          <w:p w:rsidR="006A3AE6" w:rsidRPr="007D5748" w:rsidP="006A3AE6">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888" w:type="dxa"/>
          <w:tblInd w:w="-784" w:type="dxa"/>
          <w:tblCellMar>
            <w:left w:w="70" w:type="dxa"/>
            <w:right w:w="70" w:type="dxa"/>
          </w:tblCellMar>
        </w:tblPrEx>
        <w:trPr>
          <w:trHeight w:val="255"/>
        </w:trPr>
        <w:tc>
          <w:tcPr>
            <w:tcW w:w="6126" w:type="dxa"/>
            <w:tcBorders>
              <w:top w:val="nil"/>
              <w:left w:val="single" w:sz="4" w:space="0" w:color="auto"/>
              <w:bottom w:val="single" w:sz="4" w:space="0" w:color="auto"/>
              <w:right w:val="single" w:sz="4" w:space="0" w:color="auto"/>
            </w:tcBorders>
            <w:shd w:val="clear" w:color="auto" w:fill="BFBFBF"/>
            <w:textDirection w:val="lrTb"/>
            <w:vAlign w:val="top"/>
          </w:tcPr>
          <w:p w:rsidR="006A3AE6" w:rsidRPr="007D5748" w:rsidP="006A3AE6">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Osobné výdavky celkom (v eurách)</w:t>
            </w:r>
          </w:p>
        </w:tc>
        <w:tc>
          <w:tcPr>
            <w:tcW w:w="1683" w:type="dxa"/>
            <w:tcBorders>
              <w:top w:val="nil"/>
              <w:left w:val="nil"/>
              <w:bottom w:val="single" w:sz="4" w:space="0" w:color="auto"/>
              <w:right w:val="single" w:sz="4" w:space="0" w:color="auto"/>
            </w:tcBorders>
            <w:shd w:val="clear" w:color="auto" w:fill="BFBFBF"/>
            <w:textDirection w:val="lrTb"/>
            <w:vAlign w:val="top"/>
          </w:tcPr>
          <w:p w:rsidR="006A3AE6" w:rsidRPr="003534AB"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xml:space="preserve">                      </w:t>
            </w:r>
            <w:r w:rsidRPr="003534AB">
              <w:rPr>
                <w:rFonts w:ascii="Times New Roman" w:hAnsi="Times New Roman"/>
                <w:b/>
                <w:bCs/>
              </w:rPr>
              <w:t>0</w:t>
            </w:r>
          </w:p>
        </w:tc>
        <w:tc>
          <w:tcPr>
            <w:tcW w:w="1772" w:type="dxa"/>
            <w:tcBorders>
              <w:top w:val="nil"/>
              <w:left w:val="nil"/>
              <w:bottom w:val="single" w:sz="4" w:space="0" w:color="auto"/>
              <w:right w:val="single" w:sz="4" w:space="0" w:color="auto"/>
            </w:tcBorders>
            <w:shd w:val="clear" w:color="auto" w:fill="BFBFBF"/>
            <w:textDirection w:val="lrTb"/>
            <w:vAlign w:val="top"/>
          </w:tcPr>
          <w:p w:rsidR="006A3AE6" w:rsidRPr="003534AB" w:rsidP="006A3AE6">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55 870,00</w:t>
            </w:r>
            <w:r w:rsidRPr="003534AB">
              <w:rPr>
                <w:rFonts w:ascii="Times New Roman" w:hAnsi="Times New Roman"/>
                <w:b/>
                <w:bCs/>
              </w:rPr>
              <w:t> </w:t>
            </w:r>
          </w:p>
        </w:tc>
        <w:tc>
          <w:tcPr>
            <w:tcW w:w="1971" w:type="dxa"/>
            <w:tcBorders>
              <w:top w:val="nil"/>
              <w:left w:val="nil"/>
              <w:bottom w:val="single" w:sz="4" w:space="0" w:color="auto"/>
              <w:right w:val="single" w:sz="4" w:space="0" w:color="auto"/>
            </w:tcBorders>
            <w:shd w:val="clear" w:color="auto" w:fill="BFBFBF"/>
            <w:textDirection w:val="lrTb"/>
            <w:vAlign w:val="top"/>
          </w:tcPr>
          <w:p w:rsidR="006A3AE6" w:rsidRPr="003534AB" w:rsidP="006A3AE6">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55 870,00</w:t>
            </w:r>
            <w:r w:rsidRPr="003534AB">
              <w:rPr>
                <w:rFonts w:ascii="Times New Roman" w:hAnsi="Times New Roman"/>
                <w:b/>
                <w:bCs/>
              </w:rPr>
              <w:t> </w:t>
            </w:r>
          </w:p>
        </w:tc>
        <w:tc>
          <w:tcPr>
            <w:tcW w:w="2129" w:type="dxa"/>
            <w:tcBorders>
              <w:top w:val="nil"/>
              <w:left w:val="nil"/>
              <w:bottom w:val="single" w:sz="4" w:space="0" w:color="auto"/>
              <w:right w:val="single" w:sz="4" w:space="0" w:color="auto"/>
            </w:tcBorders>
            <w:shd w:val="clear" w:color="auto" w:fill="BFBFBF"/>
            <w:textDirection w:val="lrTb"/>
            <w:vAlign w:val="top"/>
          </w:tcPr>
          <w:p w:rsidR="006A3AE6" w:rsidRPr="003534AB" w:rsidP="006A3AE6">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 xml:space="preserve">  55 870,00</w:t>
            </w:r>
            <w:r w:rsidRPr="003534AB">
              <w:rPr>
                <w:rFonts w:ascii="Times New Roman" w:hAnsi="Times New Roman"/>
                <w:b/>
                <w:bCs/>
              </w:rPr>
              <w:t> </w:t>
            </w:r>
          </w:p>
        </w:tc>
        <w:tc>
          <w:tcPr>
            <w:tcW w:w="1207" w:type="dxa"/>
            <w:tcBorders>
              <w:top w:val="nil"/>
              <w:left w:val="nil"/>
              <w:bottom w:val="single" w:sz="4" w:space="0" w:color="auto"/>
              <w:right w:val="single" w:sz="4" w:space="0" w:color="auto"/>
            </w:tcBorders>
            <w:shd w:val="clear" w:color="auto" w:fill="BFBFBF"/>
            <w:noWrap/>
            <w:textDirection w:val="lrTb"/>
            <w:vAlign w:val="bottom"/>
          </w:tcPr>
          <w:p w:rsidR="006A3AE6" w:rsidRPr="007D5748" w:rsidP="006A3AE6">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tblPrEx>
          <w:tblW w:w="14888" w:type="dxa"/>
          <w:tblInd w:w="-784" w:type="dxa"/>
          <w:tblCellMar>
            <w:left w:w="70" w:type="dxa"/>
            <w:right w:w="70" w:type="dxa"/>
          </w:tblCellMar>
        </w:tblPrEx>
        <w:trPr>
          <w:trHeight w:val="255"/>
        </w:trPr>
        <w:tc>
          <w:tcPr>
            <w:tcW w:w="6126" w:type="dxa"/>
            <w:tcBorders>
              <w:top w:val="nil"/>
              <w:left w:val="single" w:sz="4" w:space="0" w:color="auto"/>
              <w:bottom w:val="single" w:sz="4" w:space="0" w:color="auto"/>
              <w:right w:val="single" w:sz="4" w:space="0" w:color="auto"/>
            </w:tcBorders>
            <w:textDirection w:val="lrTb"/>
            <w:vAlign w:val="top"/>
          </w:tcPr>
          <w:p w:rsidR="006A3AE6" w:rsidRPr="007D5748" w:rsidP="006A3AE6">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Mzdy, platy, služobné príjmy a ostatné osobné vyrovnania (610)</w:t>
            </w:r>
          </w:p>
        </w:tc>
        <w:tc>
          <w:tcPr>
            <w:tcW w:w="1683" w:type="dxa"/>
            <w:tcBorders>
              <w:top w:val="nil"/>
              <w:left w:val="nil"/>
              <w:bottom w:val="single" w:sz="4" w:space="0" w:color="auto"/>
              <w:right w:val="single" w:sz="4" w:space="0" w:color="auto"/>
            </w:tcBorders>
            <w:textDirection w:val="lrTb"/>
            <w:vAlign w:val="center"/>
          </w:tcPr>
          <w:p w:rsidR="006A3AE6" w:rsidP="006A3AE6">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 xml:space="preserve"> 0 </w:t>
            </w:r>
          </w:p>
        </w:tc>
        <w:tc>
          <w:tcPr>
            <w:tcW w:w="1772" w:type="dxa"/>
            <w:tcBorders>
              <w:top w:val="nil"/>
              <w:left w:val="nil"/>
              <w:bottom w:val="single" w:sz="4" w:space="0" w:color="auto"/>
              <w:right w:val="single" w:sz="4" w:space="0" w:color="auto"/>
            </w:tcBorders>
            <w:textDirection w:val="lrTb"/>
            <w:vAlign w:val="center"/>
          </w:tcPr>
          <w:p w:rsidR="006A3AE6" w:rsidP="006A3AE6">
            <w:pPr>
              <w:pStyle w:val="NormalWeb"/>
              <w:bidi w:val="0"/>
              <w:spacing w:before="0" w:beforeAutospacing="0" w:after="0" w:afterAutospacing="0" w:line="240" w:lineRule="auto"/>
              <w:rPr>
                <w:rFonts w:ascii="Times New Roman" w:hAnsi="Times New Roman"/>
              </w:rPr>
            </w:pPr>
            <w:r>
              <w:rPr>
                <w:rFonts w:ascii="Times New Roman" w:hAnsi="Times New Roman"/>
                <w:b/>
                <w:bCs/>
              </w:rPr>
              <w:t xml:space="preserve">          41 400,00 </w:t>
            </w:r>
          </w:p>
        </w:tc>
        <w:tc>
          <w:tcPr>
            <w:tcW w:w="1971" w:type="dxa"/>
            <w:tcBorders>
              <w:top w:val="nil"/>
              <w:left w:val="nil"/>
              <w:bottom w:val="single" w:sz="4" w:space="0" w:color="auto"/>
              <w:right w:val="single" w:sz="4" w:space="0" w:color="auto"/>
            </w:tcBorders>
            <w:textDirection w:val="lrTb"/>
            <w:vAlign w:val="center"/>
          </w:tcPr>
          <w:p w:rsidR="006A3AE6" w:rsidP="006A3AE6">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41 400,00 </w:t>
            </w:r>
          </w:p>
        </w:tc>
        <w:tc>
          <w:tcPr>
            <w:tcW w:w="2129" w:type="dxa"/>
            <w:tcBorders>
              <w:top w:val="nil"/>
              <w:left w:val="nil"/>
              <w:bottom w:val="single" w:sz="4" w:space="0" w:color="auto"/>
              <w:right w:val="single" w:sz="4" w:space="0" w:color="auto"/>
            </w:tcBorders>
            <w:textDirection w:val="lrTb"/>
            <w:vAlign w:val="center"/>
          </w:tcPr>
          <w:p w:rsidR="006A3AE6" w:rsidP="006A3AE6">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41 400,00 </w:t>
            </w:r>
          </w:p>
        </w:tc>
        <w:tc>
          <w:tcPr>
            <w:tcW w:w="1207" w:type="dxa"/>
            <w:tcBorders>
              <w:top w:val="nil"/>
              <w:left w:val="nil"/>
              <w:bottom w:val="single" w:sz="4" w:space="0" w:color="auto"/>
              <w:right w:val="single" w:sz="4" w:space="0" w:color="auto"/>
            </w:tcBorders>
            <w:noWrap/>
            <w:textDirection w:val="lrTb"/>
            <w:vAlign w:val="center"/>
          </w:tcPr>
          <w:p w:rsidR="006A3AE6" w:rsidRPr="007D5748" w:rsidP="006A3AE6">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tblPrEx>
          <w:tblW w:w="14888" w:type="dxa"/>
          <w:tblInd w:w="-784" w:type="dxa"/>
          <w:tblCellMar>
            <w:left w:w="70" w:type="dxa"/>
            <w:right w:w="70" w:type="dxa"/>
          </w:tblCellMar>
        </w:tblPrEx>
        <w:trPr>
          <w:trHeight w:val="255"/>
        </w:trPr>
        <w:tc>
          <w:tcPr>
            <w:tcW w:w="6126" w:type="dxa"/>
            <w:tcBorders>
              <w:top w:val="nil"/>
              <w:left w:val="single" w:sz="4" w:space="0" w:color="auto"/>
              <w:bottom w:val="single" w:sz="4" w:space="0" w:color="auto"/>
              <w:right w:val="single" w:sz="4" w:space="0" w:color="auto"/>
            </w:tcBorders>
            <w:textDirection w:val="lrTb"/>
            <w:vAlign w:val="top"/>
          </w:tcPr>
          <w:p w:rsidR="006A3AE6" w:rsidRPr="007D5748" w:rsidP="006A3AE6">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83" w:type="dxa"/>
            <w:tcBorders>
              <w:top w:val="nil"/>
              <w:left w:val="nil"/>
              <w:bottom w:val="single" w:sz="4" w:space="0" w:color="auto"/>
              <w:right w:val="single" w:sz="4" w:space="0" w:color="auto"/>
            </w:tcBorders>
            <w:textDirection w:val="lrTb"/>
            <w:vAlign w:val="top"/>
          </w:tcPr>
          <w:p w:rsidR="006A3AE6" w:rsidP="006A3AE6">
            <w:pPr>
              <w:pStyle w:val="NormalWeb"/>
              <w:bidi w:val="0"/>
              <w:spacing w:before="0" w:beforeAutospacing="0" w:after="0" w:afterAutospacing="0" w:line="240" w:lineRule="auto"/>
              <w:jc w:val="right"/>
              <w:rPr>
                <w:rFonts w:ascii="Times New Roman" w:hAnsi="Times New Roman"/>
              </w:rPr>
            </w:pPr>
            <w:r>
              <w:rPr>
                <w:rFonts w:ascii="Times New Roman" w:hAnsi="Times New Roman"/>
              </w:rPr>
              <w:t>0 </w:t>
            </w:r>
          </w:p>
        </w:tc>
        <w:tc>
          <w:tcPr>
            <w:tcW w:w="1772" w:type="dxa"/>
            <w:tcBorders>
              <w:top w:val="nil"/>
              <w:left w:val="nil"/>
              <w:bottom w:val="single" w:sz="4" w:space="0" w:color="auto"/>
              <w:right w:val="single" w:sz="4" w:space="0" w:color="auto"/>
            </w:tcBorders>
            <w:textDirection w:val="lrTb"/>
            <w:vAlign w:val="top"/>
          </w:tcPr>
          <w:p w:rsidR="006A3AE6" w:rsidP="006A3AE6">
            <w:pPr>
              <w:pStyle w:val="NormalWeb"/>
              <w:bidi w:val="0"/>
              <w:spacing w:before="0" w:beforeAutospacing="0" w:after="0" w:afterAutospacing="0" w:line="240" w:lineRule="auto"/>
              <w:rPr>
                <w:rFonts w:ascii="Times New Roman" w:hAnsi="Times New Roman"/>
              </w:rPr>
            </w:pPr>
            <w:r>
              <w:rPr>
                <w:rFonts w:ascii="Times New Roman" w:hAnsi="Times New Roman"/>
              </w:rPr>
              <w:t xml:space="preserve">                   0 </w:t>
            </w:r>
          </w:p>
        </w:tc>
        <w:tc>
          <w:tcPr>
            <w:tcW w:w="1971" w:type="dxa"/>
            <w:tcBorders>
              <w:top w:val="nil"/>
              <w:left w:val="nil"/>
              <w:bottom w:val="single" w:sz="4" w:space="0" w:color="auto"/>
              <w:right w:val="single" w:sz="4" w:space="0" w:color="auto"/>
            </w:tcBorders>
            <w:textDirection w:val="lrTb"/>
            <w:vAlign w:val="top"/>
          </w:tcPr>
          <w:p w:rsidR="006A3AE6" w:rsidP="006A3AE6">
            <w:pPr>
              <w:pStyle w:val="NormalWeb"/>
              <w:bidi w:val="0"/>
              <w:spacing w:before="0" w:beforeAutospacing="0" w:after="0" w:afterAutospacing="0" w:line="240" w:lineRule="auto"/>
              <w:jc w:val="center"/>
              <w:rPr>
                <w:rFonts w:ascii="Times New Roman" w:hAnsi="Times New Roman"/>
              </w:rPr>
            </w:pPr>
            <w:r w:rsidR="00C11310">
              <w:rPr>
                <w:rFonts w:ascii="Times New Roman" w:hAnsi="Times New Roman"/>
              </w:rPr>
              <w:t xml:space="preserve">                  </w:t>
            </w:r>
            <w:r>
              <w:rPr>
                <w:rFonts w:ascii="Times New Roman" w:hAnsi="Times New Roman"/>
              </w:rPr>
              <w:t>0 </w:t>
            </w:r>
          </w:p>
        </w:tc>
        <w:tc>
          <w:tcPr>
            <w:tcW w:w="2129" w:type="dxa"/>
            <w:tcBorders>
              <w:top w:val="nil"/>
              <w:left w:val="nil"/>
              <w:bottom w:val="single" w:sz="4" w:space="0" w:color="auto"/>
              <w:right w:val="single" w:sz="4" w:space="0" w:color="auto"/>
            </w:tcBorders>
            <w:textDirection w:val="lrTb"/>
            <w:vAlign w:val="top"/>
          </w:tcPr>
          <w:p w:rsidR="006A3AE6"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rPr>
              <w:t xml:space="preserve">           </w:t>
            </w:r>
            <w:r w:rsidR="00C11310">
              <w:rPr>
                <w:rFonts w:ascii="Times New Roman" w:hAnsi="Times New Roman"/>
              </w:rPr>
              <w:t xml:space="preserve">       </w:t>
            </w:r>
            <w:r>
              <w:rPr>
                <w:rFonts w:ascii="Times New Roman" w:hAnsi="Times New Roman"/>
              </w:rPr>
              <w:t xml:space="preserve">  0 </w:t>
            </w:r>
          </w:p>
        </w:tc>
        <w:tc>
          <w:tcPr>
            <w:tcW w:w="1207" w:type="dxa"/>
            <w:tcBorders>
              <w:top w:val="nil"/>
              <w:left w:val="nil"/>
              <w:bottom w:val="single" w:sz="4" w:space="0" w:color="auto"/>
              <w:right w:val="single" w:sz="4" w:space="0" w:color="auto"/>
            </w:tcBorders>
            <w:noWrap/>
            <w:textDirection w:val="lrTb"/>
            <w:vAlign w:val="bottom"/>
          </w:tcPr>
          <w:p w:rsidR="006A3AE6" w:rsidRPr="007D5748" w:rsidP="006A3AE6">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888" w:type="dxa"/>
          <w:tblInd w:w="-784" w:type="dxa"/>
          <w:tblCellMar>
            <w:left w:w="70" w:type="dxa"/>
            <w:right w:w="70" w:type="dxa"/>
          </w:tblCellMar>
        </w:tblPrEx>
        <w:trPr>
          <w:trHeight w:val="255"/>
        </w:trPr>
        <w:tc>
          <w:tcPr>
            <w:tcW w:w="6126" w:type="dxa"/>
            <w:tcBorders>
              <w:top w:val="nil"/>
              <w:left w:val="single" w:sz="4" w:space="0" w:color="auto"/>
              <w:bottom w:val="single" w:sz="4" w:space="0" w:color="auto"/>
              <w:right w:val="single" w:sz="4" w:space="0" w:color="auto"/>
            </w:tcBorders>
            <w:textDirection w:val="lrTb"/>
            <w:vAlign w:val="top"/>
          </w:tcPr>
          <w:p w:rsidR="006A3AE6" w:rsidRPr="007D5748" w:rsidP="006A3AE6">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Poistné a príspevok do poisťovní (620)</w:t>
            </w:r>
          </w:p>
        </w:tc>
        <w:tc>
          <w:tcPr>
            <w:tcW w:w="1683" w:type="dxa"/>
            <w:tcBorders>
              <w:top w:val="nil"/>
              <w:left w:val="nil"/>
              <w:bottom w:val="single" w:sz="4" w:space="0" w:color="auto"/>
              <w:right w:val="single" w:sz="4" w:space="0" w:color="auto"/>
            </w:tcBorders>
            <w:textDirection w:val="lrTb"/>
            <w:vAlign w:val="top"/>
          </w:tcPr>
          <w:p w:rsidR="006A3AE6" w:rsidP="006A3AE6">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0 </w:t>
            </w:r>
          </w:p>
        </w:tc>
        <w:tc>
          <w:tcPr>
            <w:tcW w:w="1772" w:type="dxa"/>
            <w:tcBorders>
              <w:top w:val="nil"/>
              <w:left w:val="nil"/>
              <w:bottom w:val="single" w:sz="4" w:space="0" w:color="auto"/>
              <w:right w:val="single" w:sz="4" w:space="0" w:color="auto"/>
            </w:tcBorders>
            <w:textDirection w:val="lrTb"/>
            <w:vAlign w:val="top"/>
          </w:tcPr>
          <w:p w:rsidR="006A3AE6" w:rsidP="006A3AE6">
            <w:pPr>
              <w:pStyle w:val="NormalWeb"/>
              <w:bidi w:val="0"/>
              <w:spacing w:before="0" w:beforeAutospacing="0" w:after="0" w:afterAutospacing="0" w:line="240" w:lineRule="auto"/>
              <w:rPr>
                <w:rFonts w:ascii="Times New Roman" w:hAnsi="Times New Roman"/>
              </w:rPr>
            </w:pPr>
            <w:r>
              <w:rPr>
                <w:rFonts w:ascii="Times New Roman" w:hAnsi="Times New Roman"/>
                <w:b/>
                <w:bCs/>
              </w:rPr>
              <w:t xml:space="preserve">          14 470,00 </w:t>
            </w:r>
          </w:p>
        </w:tc>
        <w:tc>
          <w:tcPr>
            <w:tcW w:w="1971" w:type="dxa"/>
            <w:tcBorders>
              <w:top w:val="nil"/>
              <w:left w:val="nil"/>
              <w:bottom w:val="single" w:sz="4" w:space="0" w:color="auto"/>
              <w:right w:val="single" w:sz="4" w:space="0" w:color="auto"/>
            </w:tcBorders>
            <w:textDirection w:val="lrTb"/>
            <w:vAlign w:val="top"/>
          </w:tcPr>
          <w:p w:rsidR="006A3AE6" w:rsidP="006A3AE6">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14 470,00 </w:t>
            </w:r>
          </w:p>
        </w:tc>
        <w:tc>
          <w:tcPr>
            <w:tcW w:w="2129" w:type="dxa"/>
            <w:tcBorders>
              <w:top w:val="nil"/>
              <w:left w:val="nil"/>
              <w:bottom w:val="single" w:sz="4" w:space="0" w:color="auto"/>
              <w:right w:val="single" w:sz="4" w:space="0" w:color="auto"/>
            </w:tcBorders>
            <w:textDirection w:val="lrTb"/>
            <w:vAlign w:val="top"/>
          </w:tcPr>
          <w:p w:rsidR="006A3AE6" w:rsidP="006A3AE6">
            <w:pPr>
              <w:pStyle w:val="NormalWeb"/>
              <w:bidi w:val="0"/>
              <w:spacing w:before="0" w:beforeAutospacing="0" w:after="0" w:afterAutospacing="0" w:line="240" w:lineRule="auto"/>
              <w:jc w:val="right"/>
              <w:rPr>
                <w:rFonts w:ascii="Times New Roman" w:hAnsi="Times New Roman"/>
              </w:rPr>
            </w:pPr>
            <w:r>
              <w:rPr>
                <w:rFonts w:ascii="Times New Roman" w:hAnsi="Times New Roman"/>
                <w:b/>
                <w:bCs/>
              </w:rPr>
              <w:t>14 470,00 </w:t>
            </w:r>
          </w:p>
        </w:tc>
        <w:tc>
          <w:tcPr>
            <w:tcW w:w="1207" w:type="dxa"/>
            <w:tcBorders>
              <w:top w:val="nil"/>
              <w:left w:val="nil"/>
              <w:bottom w:val="single" w:sz="4" w:space="0" w:color="auto"/>
              <w:right w:val="single" w:sz="4" w:space="0" w:color="auto"/>
            </w:tcBorders>
            <w:noWrap/>
            <w:textDirection w:val="lrTb"/>
            <w:vAlign w:val="bottom"/>
          </w:tcPr>
          <w:p w:rsidR="006A3AE6" w:rsidRPr="007D5748" w:rsidP="006A3AE6">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tblPrEx>
          <w:tblW w:w="14888" w:type="dxa"/>
          <w:tblInd w:w="-784" w:type="dxa"/>
          <w:tblCellMar>
            <w:left w:w="70" w:type="dxa"/>
            <w:right w:w="70" w:type="dxa"/>
          </w:tblCellMar>
        </w:tblPrEx>
        <w:trPr>
          <w:trHeight w:val="255"/>
        </w:trPr>
        <w:tc>
          <w:tcPr>
            <w:tcW w:w="6126" w:type="dxa"/>
            <w:tcBorders>
              <w:top w:val="nil"/>
              <w:left w:val="single" w:sz="4" w:space="0" w:color="auto"/>
              <w:bottom w:val="single" w:sz="4" w:space="0" w:color="auto"/>
              <w:right w:val="single" w:sz="4" w:space="0" w:color="auto"/>
            </w:tcBorders>
            <w:textDirection w:val="lrTb"/>
            <w:vAlign w:val="top"/>
          </w:tcPr>
          <w:p w:rsidR="006A3AE6" w:rsidRPr="007D5748" w:rsidP="006A3AE6">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83" w:type="dxa"/>
            <w:tcBorders>
              <w:top w:val="nil"/>
              <w:left w:val="nil"/>
              <w:bottom w:val="single" w:sz="4" w:space="0" w:color="auto"/>
              <w:right w:val="single" w:sz="4" w:space="0" w:color="auto"/>
            </w:tcBorders>
            <w:textDirection w:val="lrTb"/>
            <w:vAlign w:val="top"/>
          </w:tcPr>
          <w:p w:rsidR="006A3AE6" w:rsidP="006A3AE6">
            <w:pPr>
              <w:pStyle w:val="NormalWeb"/>
              <w:bidi w:val="0"/>
              <w:spacing w:before="0" w:beforeAutospacing="0" w:after="0" w:afterAutospacing="0" w:line="240" w:lineRule="auto"/>
              <w:jc w:val="right"/>
              <w:rPr>
                <w:rFonts w:ascii="Times New Roman" w:hAnsi="Times New Roman"/>
              </w:rPr>
            </w:pPr>
            <w:r>
              <w:rPr>
                <w:rFonts w:ascii="Times New Roman" w:hAnsi="Times New Roman"/>
              </w:rPr>
              <w:t>0 </w:t>
            </w:r>
          </w:p>
        </w:tc>
        <w:tc>
          <w:tcPr>
            <w:tcW w:w="1772" w:type="dxa"/>
            <w:tcBorders>
              <w:top w:val="nil"/>
              <w:left w:val="nil"/>
              <w:bottom w:val="single" w:sz="4" w:space="0" w:color="auto"/>
              <w:right w:val="single" w:sz="4" w:space="0" w:color="auto"/>
            </w:tcBorders>
            <w:textDirection w:val="lrTb"/>
            <w:vAlign w:val="top"/>
          </w:tcPr>
          <w:p w:rsidR="006A3AE6" w:rsidP="006A3AE6">
            <w:pPr>
              <w:pStyle w:val="NormalWeb"/>
              <w:bidi w:val="0"/>
              <w:spacing w:before="0" w:beforeAutospacing="0" w:after="0" w:afterAutospacing="0" w:line="240" w:lineRule="auto"/>
              <w:rPr>
                <w:rFonts w:ascii="Times New Roman" w:hAnsi="Times New Roman"/>
              </w:rPr>
            </w:pPr>
            <w:r>
              <w:rPr>
                <w:rFonts w:ascii="Times New Roman" w:hAnsi="Times New Roman"/>
              </w:rPr>
              <w:t xml:space="preserve">                   0 </w:t>
            </w:r>
          </w:p>
        </w:tc>
        <w:tc>
          <w:tcPr>
            <w:tcW w:w="1971" w:type="dxa"/>
            <w:tcBorders>
              <w:top w:val="nil"/>
              <w:left w:val="nil"/>
              <w:bottom w:val="single" w:sz="4" w:space="0" w:color="auto"/>
              <w:right w:val="single" w:sz="4" w:space="0" w:color="auto"/>
            </w:tcBorders>
            <w:textDirection w:val="lrTb"/>
            <w:vAlign w:val="top"/>
          </w:tcPr>
          <w:p w:rsidR="006A3AE6" w:rsidP="006A3AE6">
            <w:pPr>
              <w:pStyle w:val="NormalWeb"/>
              <w:bidi w:val="0"/>
              <w:spacing w:before="0" w:beforeAutospacing="0" w:after="0" w:afterAutospacing="0" w:line="240" w:lineRule="auto"/>
              <w:jc w:val="center"/>
              <w:rPr>
                <w:rFonts w:ascii="Times New Roman" w:hAnsi="Times New Roman"/>
              </w:rPr>
            </w:pPr>
            <w:r w:rsidR="00C11310">
              <w:rPr>
                <w:rFonts w:ascii="Times New Roman" w:hAnsi="Times New Roman"/>
              </w:rPr>
              <w:t xml:space="preserve">                 </w:t>
            </w:r>
            <w:r>
              <w:rPr>
                <w:rFonts w:ascii="Times New Roman" w:hAnsi="Times New Roman"/>
              </w:rPr>
              <w:t xml:space="preserve">  0 </w:t>
            </w:r>
          </w:p>
        </w:tc>
        <w:tc>
          <w:tcPr>
            <w:tcW w:w="2129" w:type="dxa"/>
            <w:tcBorders>
              <w:top w:val="nil"/>
              <w:left w:val="nil"/>
              <w:bottom w:val="single" w:sz="4" w:space="0" w:color="auto"/>
              <w:right w:val="single" w:sz="4" w:space="0" w:color="auto"/>
            </w:tcBorders>
            <w:textDirection w:val="lrTb"/>
            <w:vAlign w:val="top"/>
          </w:tcPr>
          <w:p w:rsidR="006A3AE6" w:rsidP="006A3AE6">
            <w:pPr>
              <w:pStyle w:val="NormalWeb"/>
              <w:bidi w:val="0"/>
              <w:spacing w:before="0" w:beforeAutospacing="0" w:after="0" w:afterAutospacing="0" w:line="240" w:lineRule="auto"/>
              <w:jc w:val="center"/>
              <w:rPr>
                <w:rFonts w:ascii="Times New Roman" w:hAnsi="Times New Roman"/>
              </w:rPr>
            </w:pPr>
            <w:r>
              <w:rPr>
                <w:rFonts w:ascii="Times New Roman" w:hAnsi="Times New Roman"/>
              </w:rPr>
              <w:t xml:space="preserve">            </w:t>
            </w:r>
            <w:r w:rsidR="00C11310">
              <w:rPr>
                <w:rFonts w:ascii="Times New Roman" w:hAnsi="Times New Roman"/>
              </w:rPr>
              <w:t xml:space="preserve">       </w:t>
            </w:r>
            <w:r>
              <w:rPr>
                <w:rFonts w:ascii="Times New Roman" w:hAnsi="Times New Roman"/>
              </w:rPr>
              <w:t xml:space="preserve"> 0 </w:t>
            </w:r>
          </w:p>
        </w:tc>
        <w:tc>
          <w:tcPr>
            <w:tcW w:w="1207" w:type="dxa"/>
            <w:tcBorders>
              <w:top w:val="nil"/>
              <w:left w:val="nil"/>
              <w:bottom w:val="single" w:sz="4" w:space="0" w:color="auto"/>
              <w:right w:val="single" w:sz="4" w:space="0" w:color="auto"/>
            </w:tcBorders>
            <w:noWrap/>
            <w:textDirection w:val="lrTb"/>
            <w:vAlign w:val="bottom"/>
          </w:tcPr>
          <w:p w:rsidR="006A3AE6" w:rsidRPr="007D5748" w:rsidP="006A3AE6">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bl>
    <w:p w:rsidR="00602E43" w:rsidP="00602E43">
      <w:pPr>
        <w:bidi w:val="0"/>
        <w:spacing w:after="0" w:line="240" w:lineRule="auto"/>
        <w:rPr>
          <w:rFonts w:ascii="Times New Roman" w:hAnsi="Times New Roman"/>
          <w:bCs/>
          <w:sz w:val="24"/>
          <w:szCs w:val="20"/>
          <w:lang w:eastAsia="sk-SK"/>
        </w:rPr>
      </w:pPr>
      <w:r w:rsidRPr="007D5748">
        <w:rPr>
          <w:rFonts w:ascii="Times New Roman" w:hAnsi="Times New Roman"/>
          <w:b/>
          <w:bCs/>
          <w:sz w:val="24"/>
          <w:szCs w:val="24"/>
          <w:lang w:eastAsia="sk-SK"/>
        </w:rPr>
        <w:t>Poznámky:</w:t>
      </w:r>
    </w:p>
    <w:p w:rsidR="00602E43" w:rsidP="00602E43">
      <w:pPr>
        <w:bidi w:val="0"/>
        <w:spacing w:after="0" w:line="240" w:lineRule="auto"/>
        <w:rPr>
          <w:rFonts w:ascii="Times New Roman" w:hAnsi="Times New Roman"/>
          <w:bCs/>
          <w:sz w:val="24"/>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602E43" w:rsidP="00602E43">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Priemerný mzdový výdavok je tvorený podielom mzdových výdavkov na jedného zamestnanca na jeden kalendárny mesiac bežného roka.</w:t>
      </w:r>
    </w:p>
    <w:p w:rsidR="00602E43" w:rsidP="00602E43">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Kategórie 610 a 620 sú z tejto prílohy prenášané do príslušných kategórií prílohy „výdavky“.</w:t>
      </w:r>
    </w:p>
    <w:p w:rsidR="00602E43" w:rsidP="00602E43">
      <w:pPr>
        <w:bidi w:val="0"/>
        <w:spacing w:after="0" w:line="240" w:lineRule="auto"/>
        <w:rPr>
          <w:rFonts w:ascii="Times New Roman" w:hAnsi="Times New Roman"/>
          <w:sz w:val="24"/>
          <w:szCs w:val="24"/>
          <w:lang w:eastAsia="sk-SK"/>
        </w:rPr>
      </w:pPr>
    </w:p>
    <w:p w:rsidR="00925BD2" w:rsidRPr="00925BD2" w:rsidP="00925BD2">
      <w:pPr>
        <w:bidi w:val="0"/>
        <w:spacing w:after="0" w:line="240" w:lineRule="auto"/>
        <w:jc w:val="both"/>
        <w:rPr>
          <w:rFonts w:ascii="Times New Roman" w:hAnsi="Times New Roman"/>
          <w:bCs/>
          <w:sz w:val="24"/>
          <w:szCs w:val="24"/>
          <w:lang w:eastAsia="sk-SK"/>
        </w:rPr>
      </w:pPr>
      <w:r w:rsidRPr="00925BD2">
        <w:rPr>
          <w:rFonts w:ascii="Times New Roman" w:hAnsi="Times New Roman"/>
          <w:bCs/>
          <w:sz w:val="24"/>
          <w:szCs w:val="24"/>
          <w:u w:val="single"/>
          <w:lang w:eastAsia="sk-SK"/>
        </w:rPr>
        <w:t>Pre aparát ústredného orgánu M</w:t>
      </w:r>
      <w:r>
        <w:rPr>
          <w:rFonts w:ascii="Times New Roman" w:hAnsi="Times New Roman"/>
          <w:bCs/>
          <w:sz w:val="24"/>
          <w:szCs w:val="24"/>
          <w:u w:val="single"/>
          <w:lang w:eastAsia="sk-SK"/>
        </w:rPr>
        <w:t>inisterstva zdravotníctva</w:t>
      </w:r>
      <w:r w:rsidRPr="00925BD2">
        <w:rPr>
          <w:rFonts w:ascii="Times New Roman" w:hAnsi="Times New Roman"/>
          <w:bCs/>
          <w:sz w:val="24"/>
          <w:szCs w:val="24"/>
          <w:u w:val="single"/>
          <w:lang w:eastAsia="sk-SK"/>
        </w:rPr>
        <w:t xml:space="preserve"> SR</w:t>
      </w:r>
      <w:r w:rsidRPr="00925BD2">
        <w:rPr>
          <w:rFonts w:ascii="Times New Roman" w:hAnsi="Times New Roman"/>
          <w:bCs/>
          <w:sz w:val="24"/>
          <w:szCs w:val="24"/>
          <w:lang w:eastAsia="sk-SK"/>
        </w:rPr>
        <w:t xml:space="preserve"> je potrebné zvýšiť počet zamestnancov o 3 osoby v súvislosti so zriadením etickej komisie MZ SR pre klinické skúšanie liekov. Noví zamestnanci budú organizačne zabezpečovať činnosť etickej komisie MZ SR pre klinické skúšanie liekov a prevádzku národného elektronického portálu. Od 1.1.2019 predpokladáme nástup 2 štátnych radcov zaradených do triedy 7 a nástup asistentky zaradenej vo verejnej službe, triede 6. </w:t>
      </w:r>
    </w:p>
    <w:p w:rsidR="00925BD2" w:rsidRPr="00925BD2" w:rsidP="00925BD2">
      <w:pPr>
        <w:bidi w:val="0"/>
        <w:spacing w:after="0" w:line="240" w:lineRule="auto"/>
        <w:jc w:val="both"/>
        <w:rPr>
          <w:rFonts w:ascii="Times New Roman" w:hAnsi="Times New Roman"/>
          <w:bCs/>
          <w:sz w:val="24"/>
          <w:szCs w:val="24"/>
          <w:lang w:eastAsia="sk-SK"/>
        </w:rPr>
      </w:pPr>
      <w:r w:rsidRPr="00925BD2">
        <w:rPr>
          <w:rFonts w:ascii="Times New Roman" w:hAnsi="Times New Roman"/>
          <w:bCs/>
          <w:sz w:val="24"/>
          <w:szCs w:val="24"/>
          <w:lang w:eastAsia="sk-SK"/>
        </w:rPr>
        <w:t>Pre štátneho radcu bude predstavovať plat 1 325 eur + odvody 463 eur (34,95%) = osobné výdavky 1 788 eur. Pre asistentku bude predstavovať plat 800 eur + odvody 280 eur = osobné výdavky 1 080 eur.</w:t>
      </w:r>
    </w:p>
    <w:p w:rsidR="00602E43" w:rsidRPr="00925BD2" w:rsidP="00925BD2">
      <w:pPr>
        <w:bidi w:val="0"/>
        <w:spacing w:after="0" w:line="240" w:lineRule="auto"/>
        <w:jc w:val="both"/>
        <w:rPr>
          <w:rFonts w:ascii="Times New Roman" w:hAnsi="Times New Roman"/>
          <w:bCs/>
          <w:sz w:val="24"/>
          <w:szCs w:val="24"/>
          <w:lang w:eastAsia="sk-SK"/>
        </w:rPr>
      </w:pPr>
      <w:r w:rsidRPr="00925BD2" w:rsidR="00925BD2">
        <w:rPr>
          <w:rFonts w:ascii="Times New Roman" w:hAnsi="Times New Roman"/>
          <w:bCs/>
          <w:sz w:val="24"/>
          <w:szCs w:val="24"/>
          <w:lang w:eastAsia="sk-SK"/>
        </w:rPr>
        <w:t>V rok</w:t>
      </w:r>
      <w:r w:rsidR="00046025">
        <w:rPr>
          <w:rFonts w:ascii="Times New Roman" w:hAnsi="Times New Roman"/>
          <w:bCs/>
          <w:sz w:val="24"/>
          <w:szCs w:val="24"/>
          <w:lang w:eastAsia="sk-SK"/>
        </w:rPr>
        <w:t>och</w:t>
      </w:r>
      <w:r w:rsidRPr="00925BD2" w:rsidR="00925BD2">
        <w:rPr>
          <w:rFonts w:ascii="Times New Roman" w:hAnsi="Times New Roman"/>
          <w:bCs/>
          <w:sz w:val="24"/>
          <w:szCs w:val="24"/>
          <w:lang w:eastAsia="sk-SK"/>
        </w:rPr>
        <w:t xml:space="preserve"> 2019</w:t>
      </w:r>
      <w:r w:rsidR="00046025">
        <w:rPr>
          <w:rFonts w:ascii="Times New Roman" w:hAnsi="Times New Roman"/>
          <w:bCs/>
          <w:sz w:val="24"/>
          <w:szCs w:val="24"/>
          <w:lang w:eastAsia="sk-SK"/>
        </w:rPr>
        <w:t>, 2020 a 2021</w:t>
      </w:r>
      <w:r w:rsidRPr="00925BD2" w:rsidR="00925BD2">
        <w:rPr>
          <w:rFonts w:ascii="Times New Roman" w:hAnsi="Times New Roman"/>
          <w:bCs/>
          <w:sz w:val="24"/>
          <w:szCs w:val="24"/>
          <w:lang w:eastAsia="sk-SK"/>
        </w:rPr>
        <w:t xml:space="preserve"> </w:t>
      </w:r>
      <w:r w:rsidR="006A3AE6">
        <w:rPr>
          <w:rFonts w:ascii="Times New Roman" w:hAnsi="Times New Roman"/>
          <w:bCs/>
          <w:sz w:val="24"/>
          <w:szCs w:val="24"/>
          <w:lang w:eastAsia="sk-SK"/>
        </w:rPr>
        <w:t>by mali predstavovať</w:t>
      </w:r>
      <w:r w:rsidRPr="004A4AFC" w:rsidR="006A3AE6">
        <w:rPr>
          <w:rFonts w:ascii="Times New Roman" w:hAnsi="Times New Roman"/>
          <w:bCs/>
          <w:sz w:val="24"/>
          <w:szCs w:val="24"/>
          <w:lang w:eastAsia="sk-SK"/>
        </w:rPr>
        <w:t xml:space="preserve"> </w:t>
      </w:r>
      <w:r w:rsidRPr="00925BD2" w:rsidR="00925BD2">
        <w:rPr>
          <w:rFonts w:ascii="Times New Roman" w:hAnsi="Times New Roman"/>
          <w:bCs/>
          <w:sz w:val="24"/>
          <w:szCs w:val="24"/>
          <w:lang w:eastAsia="sk-SK"/>
        </w:rPr>
        <w:t>dopady: mzdy 41 400 eur + odvody 14 470 eur = osobné výdavky 55 870 eur.</w:t>
      </w:r>
    </w:p>
    <w:sectPr w:rsidSect="00E72448">
      <w:type w:val="continuous"/>
      <w:pgSz w:w="16838" w:h="11906" w:orient="landscape"/>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Cambria">
    <w:panose1 w:val="00000000000000000000"/>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2B" w:rsidRPr="0096086A" w:rsidP="0096086A">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2B" w:rsidRPr="0096086A" w:rsidP="0096086A">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2B" w:rsidRPr="0096086A" w:rsidP="0096086A">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2B" w:rsidRPr="0096086A" w:rsidP="0096086A">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86A">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2B" w:rsidRPr="0096086A" w:rsidP="0096086A">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741B6"/>
    <w:multiLevelType w:val="hybridMultilevel"/>
    <w:tmpl w:val="060409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2EC70E7"/>
    <w:multiLevelType w:val="hybridMultilevel"/>
    <w:tmpl w:val="2FD8FA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09E60D6"/>
    <w:multiLevelType w:val="hybridMultilevel"/>
    <w:tmpl w:val="7004BA5E"/>
    <w:lvl w:ilvl="0">
      <w:start w:val="0"/>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6D12712"/>
    <w:multiLevelType w:val="hybridMultilevel"/>
    <w:tmpl w:val="936613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708"/>
  <w:hyphenationZone w:val="425"/>
  <w:characterSpacingControl w:val="doNotCompress"/>
  <w:compat/>
  <w:rsids>
    <w:rsidRoot w:val="005005EC"/>
    <w:rsid w:val="00035EB6"/>
    <w:rsid w:val="0004075F"/>
    <w:rsid w:val="00046025"/>
    <w:rsid w:val="00050FE8"/>
    <w:rsid w:val="00057135"/>
    <w:rsid w:val="000738ED"/>
    <w:rsid w:val="000C0ECA"/>
    <w:rsid w:val="000D1DD5"/>
    <w:rsid w:val="000D3E91"/>
    <w:rsid w:val="000F5534"/>
    <w:rsid w:val="000F7BF6"/>
    <w:rsid w:val="001127A8"/>
    <w:rsid w:val="00132EB4"/>
    <w:rsid w:val="0015296D"/>
    <w:rsid w:val="00161D5C"/>
    <w:rsid w:val="00170D2B"/>
    <w:rsid w:val="001B39BE"/>
    <w:rsid w:val="001E1570"/>
    <w:rsid w:val="001E188D"/>
    <w:rsid w:val="00200898"/>
    <w:rsid w:val="002015A6"/>
    <w:rsid w:val="00212894"/>
    <w:rsid w:val="00213A29"/>
    <w:rsid w:val="0024722B"/>
    <w:rsid w:val="00252275"/>
    <w:rsid w:val="0028042D"/>
    <w:rsid w:val="0028211F"/>
    <w:rsid w:val="002901F8"/>
    <w:rsid w:val="002D350E"/>
    <w:rsid w:val="00300FDD"/>
    <w:rsid w:val="003010D0"/>
    <w:rsid w:val="00317B90"/>
    <w:rsid w:val="003454DF"/>
    <w:rsid w:val="003534AB"/>
    <w:rsid w:val="00357D67"/>
    <w:rsid w:val="003D50E4"/>
    <w:rsid w:val="00433334"/>
    <w:rsid w:val="0048159A"/>
    <w:rsid w:val="00487203"/>
    <w:rsid w:val="004A1E43"/>
    <w:rsid w:val="004A4AFC"/>
    <w:rsid w:val="004A593E"/>
    <w:rsid w:val="004C1D70"/>
    <w:rsid w:val="004C5A43"/>
    <w:rsid w:val="004E073D"/>
    <w:rsid w:val="004F04F5"/>
    <w:rsid w:val="004F4896"/>
    <w:rsid w:val="005005EC"/>
    <w:rsid w:val="00503D03"/>
    <w:rsid w:val="00581BDA"/>
    <w:rsid w:val="00595C6B"/>
    <w:rsid w:val="005C0451"/>
    <w:rsid w:val="005C04A0"/>
    <w:rsid w:val="005C2F1B"/>
    <w:rsid w:val="006002A0"/>
    <w:rsid w:val="00602E43"/>
    <w:rsid w:val="00606761"/>
    <w:rsid w:val="006548DD"/>
    <w:rsid w:val="00671102"/>
    <w:rsid w:val="006A3AE6"/>
    <w:rsid w:val="006A7A63"/>
    <w:rsid w:val="006D2977"/>
    <w:rsid w:val="006E4269"/>
    <w:rsid w:val="007246BD"/>
    <w:rsid w:val="007343F7"/>
    <w:rsid w:val="007D5748"/>
    <w:rsid w:val="007E7B42"/>
    <w:rsid w:val="008051EE"/>
    <w:rsid w:val="00824A49"/>
    <w:rsid w:val="00873396"/>
    <w:rsid w:val="00880277"/>
    <w:rsid w:val="008A5C43"/>
    <w:rsid w:val="008B3DE7"/>
    <w:rsid w:val="008C2668"/>
    <w:rsid w:val="008D339D"/>
    <w:rsid w:val="008E1F73"/>
    <w:rsid w:val="008E2736"/>
    <w:rsid w:val="00925BD2"/>
    <w:rsid w:val="00955343"/>
    <w:rsid w:val="0096086A"/>
    <w:rsid w:val="009706B7"/>
    <w:rsid w:val="00975686"/>
    <w:rsid w:val="009933A2"/>
    <w:rsid w:val="00995177"/>
    <w:rsid w:val="009B4479"/>
    <w:rsid w:val="00A34025"/>
    <w:rsid w:val="00A55585"/>
    <w:rsid w:val="00B135F5"/>
    <w:rsid w:val="00B5535C"/>
    <w:rsid w:val="00BC3F65"/>
    <w:rsid w:val="00C11310"/>
    <w:rsid w:val="00C15212"/>
    <w:rsid w:val="00C336EB"/>
    <w:rsid w:val="00C51FD4"/>
    <w:rsid w:val="00C5282E"/>
    <w:rsid w:val="00C7743E"/>
    <w:rsid w:val="00C92271"/>
    <w:rsid w:val="00CA6532"/>
    <w:rsid w:val="00CB3623"/>
    <w:rsid w:val="00CE299A"/>
    <w:rsid w:val="00D05DE3"/>
    <w:rsid w:val="00D200FD"/>
    <w:rsid w:val="00D41862"/>
    <w:rsid w:val="00D6335D"/>
    <w:rsid w:val="00D927EC"/>
    <w:rsid w:val="00DA058D"/>
    <w:rsid w:val="00DD50AE"/>
    <w:rsid w:val="00DE0F82"/>
    <w:rsid w:val="00DE5BF1"/>
    <w:rsid w:val="00E07CE9"/>
    <w:rsid w:val="00E32C60"/>
    <w:rsid w:val="00E33C3C"/>
    <w:rsid w:val="00E45DF6"/>
    <w:rsid w:val="00E72448"/>
    <w:rsid w:val="00E963A3"/>
    <w:rsid w:val="00EA1E90"/>
    <w:rsid w:val="00F04F03"/>
    <w:rsid w:val="00F21AC7"/>
    <w:rsid w:val="00F23F33"/>
    <w:rsid w:val="00F27C24"/>
    <w:rsid w:val="00F40136"/>
    <w:rsid w:val="00FA7D3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HlavikaChar"/>
    <w:uiPriority w:val="99"/>
    <w:unhideWhenUsed/>
    <w:rsid w:val="007D5748"/>
    <w:pPr>
      <w:tabs>
        <w:tab w:val="center" w:pos="4536"/>
        <w:tab w:val="right" w:pos="9072"/>
      </w:tabs>
      <w:spacing w:after="0" w:line="240" w:lineRule="auto"/>
      <w:jc w:val="left"/>
    </w:pPr>
    <w:rPr>
      <w:rFonts w:ascii="Times New Roman" w:hAnsi="Times New Roman"/>
      <w:sz w:val="20"/>
      <w:szCs w:val="20"/>
      <w:lang w:eastAsia="sk-SK"/>
    </w:rPr>
  </w:style>
  <w:style w:type="character" w:customStyle="1" w:styleId="HlavikaChar">
    <w:name w:val="Hlavička Char"/>
    <w:basedOn w:val="DefaultParagraphFont"/>
    <w:link w:val="Header"/>
    <w:uiPriority w:val="99"/>
    <w:locked/>
    <w:rsid w:val="007D5748"/>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7D5748"/>
    <w:pPr>
      <w:tabs>
        <w:tab w:val="center" w:pos="4536"/>
        <w:tab w:val="right" w:pos="9072"/>
      </w:tabs>
      <w:spacing w:after="0" w:line="240" w:lineRule="auto"/>
      <w:jc w:val="left"/>
    </w:pPr>
    <w:rPr>
      <w:rFonts w:ascii="Times New Roman" w:hAnsi="Times New Roman"/>
      <w:sz w:val="20"/>
      <w:szCs w:val="20"/>
      <w:lang w:eastAsia="sk-SK"/>
    </w:rPr>
  </w:style>
  <w:style w:type="character" w:customStyle="1" w:styleId="PtaChar">
    <w:name w:val="Päta Char"/>
    <w:basedOn w:val="DefaultParagraphFont"/>
    <w:link w:val="Footer"/>
    <w:uiPriority w:val="99"/>
    <w:locked/>
    <w:rsid w:val="007D5748"/>
    <w:rPr>
      <w:rFonts w:ascii="Times New Roman" w:hAnsi="Times New Roman" w:cs="Times New Roman"/>
      <w:sz w:val="20"/>
      <w:szCs w:val="20"/>
      <w:rtl w:val="0"/>
      <w:cs w:val="0"/>
      <w:lang w:val="x-none" w:eastAsia="sk-SK"/>
    </w:rPr>
  </w:style>
  <w:style w:type="character" w:styleId="PageNumber">
    <w:name w:val="page number"/>
    <w:basedOn w:val="DefaultParagraphFont"/>
    <w:uiPriority w:val="99"/>
    <w:rsid w:val="007D5748"/>
    <w:rPr>
      <w:rFonts w:cs="Times New Roman"/>
      <w:rtl w:val="0"/>
      <w:cs w:val="0"/>
    </w:rPr>
  </w:style>
  <w:style w:type="paragraph" w:styleId="BalloonText">
    <w:name w:val="Balloon Text"/>
    <w:basedOn w:val="Normal"/>
    <w:link w:val="TextbublinyChar"/>
    <w:uiPriority w:val="99"/>
    <w:semiHidden/>
    <w:unhideWhenUsed/>
    <w:rsid w:val="00317B90"/>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17B90"/>
    <w:rPr>
      <w:rFonts w:ascii="Tahoma" w:hAnsi="Tahoma" w:cs="Tahoma"/>
      <w:sz w:val="16"/>
      <w:szCs w:val="16"/>
      <w:rtl w:val="0"/>
      <w:cs w:val="0"/>
    </w:rPr>
  </w:style>
  <w:style w:type="paragraph" w:styleId="NormalWeb">
    <w:name w:val="Normal (Web)"/>
    <w:basedOn w:val="Normal"/>
    <w:uiPriority w:val="99"/>
    <w:rsid w:val="002015A6"/>
    <w:pPr>
      <w:spacing w:before="100" w:beforeAutospacing="1" w:after="100" w:afterAutospacing="1" w:line="240" w:lineRule="auto"/>
      <w:jc w:val="left"/>
    </w:pPr>
    <w:rPr>
      <w:rFonts w:ascii="Times New Roman" w:hAnsi="Times New Roman"/>
      <w:sz w:val="24"/>
      <w:szCs w:val="24"/>
      <w:lang w:eastAsia="sk-SK"/>
    </w:rPr>
  </w:style>
  <w:style w:type="paragraph" w:styleId="ListParagraph">
    <w:name w:val="List Paragraph"/>
    <w:basedOn w:val="Normal"/>
    <w:uiPriority w:val="34"/>
    <w:qFormat/>
    <w:rsid w:val="000F7BF6"/>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10</Pages>
  <Words>3035</Words>
  <Characters>17303</Characters>
  <Application>Microsoft Office Word</Application>
  <DocSecurity>0</DocSecurity>
  <Lines>0</Lines>
  <Paragraphs>0</Paragraphs>
  <ScaleCrop>false</ScaleCrop>
  <Company/>
  <LinksUpToDate>false</LinksUpToDate>
  <CharactersWithSpaces>20298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2018-01-31T10:02:00Z</dcterms:created>
  <dcterms:modified xsi:type="dcterms:W3CDTF">2018-01-31T10:02:00Z</dcterms:modified>
</cp:coreProperties>
</file>