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4B99" w:rsidRPr="00117A7E">
      <w:pPr>
        <w:bidi w:val="0"/>
        <w:jc w:val="center"/>
        <w:rPr>
          <w:rFonts w:ascii="Times New Roman" w:hAnsi="Times New Roman"/>
          <w:b/>
          <w:caps/>
          <w:spacing w:val="30"/>
          <w:sz w:val="25"/>
          <w:szCs w:val="25"/>
        </w:rPr>
      </w:pPr>
      <w:r w:rsidRPr="00117A7E" w:rsidR="00B326AA">
        <w:rPr>
          <w:rFonts w:ascii="Times New Roman" w:hAnsi="Times New Roman"/>
          <w:b/>
          <w:caps/>
          <w:spacing w:val="30"/>
          <w:sz w:val="25"/>
          <w:szCs w:val="25"/>
        </w:rPr>
        <w:t>Doložka zlučiteľnosti</w:t>
      </w:r>
    </w:p>
    <w:p w:rsidR="001F0AA3" w:rsidRPr="00117A7E" w:rsidP="00DC377E">
      <w:pPr>
        <w:bidi w:val="0"/>
        <w:jc w:val="center"/>
        <w:rPr>
          <w:rFonts w:ascii="Times New Roman" w:hAnsi="Times New Roman"/>
          <w:b/>
          <w:sz w:val="25"/>
          <w:szCs w:val="25"/>
        </w:rPr>
      </w:pPr>
      <w:r w:rsidR="00C12975">
        <w:rPr>
          <w:rFonts w:ascii="Times New Roman" w:hAnsi="Times New Roman"/>
          <w:b/>
          <w:sz w:val="25"/>
          <w:szCs w:val="25"/>
        </w:rPr>
        <w:t xml:space="preserve">návrhu </w:t>
      </w:r>
      <w:r w:rsidRPr="00117A7E" w:rsidR="00B326AA">
        <w:rPr>
          <w:rFonts w:ascii="Times New Roman" w:hAnsi="Times New Roman"/>
          <w:b/>
          <w:sz w:val="25"/>
          <w:szCs w:val="25"/>
        </w:rPr>
        <w:t>právneho p</w:t>
      </w:r>
      <w:r w:rsidRPr="00117A7E" w:rsidR="00DC377E">
        <w:rPr>
          <w:rFonts w:ascii="Times New Roman" w:hAnsi="Times New Roman"/>
          <w:b/>
          <w:sz w:val="25"/>
          <w:szCs w:val="25"/>
        </w:rPr>
        <w:t>redpisu s právom Európskej únie</w:t>
      </w:r>
    </w:p>
    <w:p w:rsidR="00DC377E" w:rsidRPr="00117A7E" w:rsidP="00DC377E">
      <w:pPr>
        <w:bidi w:val="0"/>
        <w:jc w:val="center"/>
        <w:rPr>
          <w:rFonts w:ascii="Times New Roman" w:hAnsi="Times New Roman"/>
          <w:b/>
          <w:sz w:val="25"/>
          <w:szCs w:val="25"/>
        </w:rPr>
      </w:pPr>
    </w:p>
    <w:p w:rsidR="00DC377E" w:rsidRPr="00117A7E" w:rsidP="00DC377E">
      <w:pPr>
        <w:bidi w:val="0"/>
        <w:jc w:val="center"/>
        <w:rPr>
          <w:rFonts w:ascii="Times New Roman" w:hAnsi="Times New Roman"/>
          <w:b/>
          <w:sz w:val="25"/>
          <w:szCs w:val="25"/>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C64366" w:rsidP="001F0AA3">
            <w:pPr>
              <w:tabs>
                <w:tab w:val="left" w:pos="360"/>
              </w:tabs>
              <w:bidi w:val="0"/>
              <w:rPr>
                <w:rFonts w:ascii="Times New Roman" w:hAnsi="Times New Roman"/>
                <w:sz w:val="25"/>
                <w:szCs w:val="25"/>
              </w:rPr>
            </w:pPr>
            <w:r w:rsidRPr="00117A7E" w:rsidR="001F0AA3">
              <w:rPr>
                <w:rFonts w:ascii="Times New Roman" w:hAnsi="Times New Roman"/>
                <w:b/>
                <w:sz w:val="25"/>
                <w:szCs w:val="25"/>
              </w:rPr>
              <w:t xml:space="preserve">Predkladateľ </w:t>
            </w:r>
            <w:r w:rsidR="00C12975">
              <w:rPr>
                <w:rFonts w:ascii="Times New Roman" w:hAnsi="Times New Roman"/>
                <w:b/>
                <w:sz w:val="25"/>
                <w:szCs w:val="25"/>
              </w:rPr>
              <w:t xml:space="preserve">návrhu </w:t>
            </w:r>
            <w:r w:rsidRPr="00117A7E" w:rsidR="001F0AA3">
              <w:rPr>
                <w:rFonts w:ascii="Times New Roman" w:hAnsi="Times New Roman"/>
                <w:b/>
                <w:sz w:val="25"/>
                <w:szCs w:val="25"/>
              </w:rPr>
              <w:t>právneho predpisu:</w:t>
            </w:r>
            <w:r w:rsidRPr="00117A7E" w:rsidR="00632C56">
              <w:rPr>
                <w:rFonts w:ascii="Times New Roman" w:hAnsi="Times New Roman"/>
                <w:sz w:val="25"/>
                <w:szCs w:val="25"/>
              </w:rPr>
              <w:t xml:space="preserve"> </w:t>
            </w:r>
          </w:p>
          <w:p w:rsidR="001F0AA3" w:rsidRPr="00117A7E" w:rsidP="001F0AA3">
            <w:pPr>
              <w:tabs>
                <w:tab w:val="left" w:pos="360"/>
              </w:tabs>
              <w:bidi w:val="0"/>
              <w:rPr>
                <w:rFonts w:ascii="Times New Roman" w:hAnsi="Times New Roman"/>
                <w:sz w:val="25"/>
                <w:szCs w:val="25"/>
              </w:rPr>
            </w:pPr>
            <w:r w:rsidR="00C64366">
              <w:rPr>
                <w:rFonts w:ascii="Times New Roman" w:hAnsi="Times New Roman"/>
                <w:sz w:val="25"/>
                <w:szCs w:val="25"/>
              </w:rPr>
              <w:t>Ministerstvo zdravotníctva Slovenskej republiky</w:t>
            </w:r>
            <w:r w:rsidRPr="00117A7E" w:rsidR="00D7275F">
              <w:rPr>
                <w:rFonts w:ascii="Times New Roman" w:hAnsi="Times New Roman"/>
                <w:sz w:val="25"/>
                <w:szCs w:val="25"/>
              </w:rPr>
              <w:fldChar w:fldCharType="begin"/>
            </w:r>
            <w:r w:rsidRPr="00117A7E" w:rsidR="00D7275F">
              <w:rPr>
                <w:rFonts w:ascii="Times New Roman" w:hAnsi="Times New Roman"/>
                <w:sz w:val="25"/>
                <w:szCs w:val="25"/>
              </w:rPr>
              <w:instrText xml:space="preserve"> DOCPROPERTY  FSC#SKEDITIONSLOVLEX@103.510:zodpinstitucia  \* MERGEFORMAT </w:instrText>
            </w:r>
            <w:r w:rsidRPr="00117A7E" w:rsidR="00D7275F">
              <w:rPr>
                <w:rFonts w:ascii="Times New Roman" w:hAnsi="Times New Roman"/>
                <w:sz w:val="25"/>
                <w:szCs w:val="25"/>
              </w:rPr>
              <w:fldChar w:fldCharType="separate"/>
            </w:r>
            <w:r w:rsidRPr="00117A7E" w:rsidR="00D7275F">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632C56">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C64366" w:rsidP="001F0AA3">
            <w:pPr>
              <w:tabs>
                <w:tab w:val="left" w:pos="360"/>
              </w:tabs>
              <w:bidi w:val="0"/>
              <w:rPr>
                <w:rFonts w:ascii="Times New Roman" w:hAnsi="Times New Roman"/>
                <w:sz w:val="25"/>
                <w:szCs w:val="25"/>
              </w:rPr>
            </w:pPr>
            <w:r w:rsidRPr="00117A7E" w:rsidR="001F0AA3">
              <w:rPr>
                <w:rFonts w:ascii="Times New Roman" w:hAnsi="Times New Roman"/>
                <w:b/>
                <w:sz w:val="25"/>
                <w:szCs w:val="25"/>
              </w:rPr>
              <w:t>Názov návrhu právneho predpisu:</w:t>
            </w:r>
            <w:r w:rsidRPr="00117A7E" w:rsidR="00632C56">
              <w:rPr>
                <w:rFonts w:ascii="Times New Roman" w:hAnsi="Times New Roman"/>
                <w:sz w:val="25"/>
                <w:szCs w:val="25"/>
              </w:rPr>
              <w:t xml:space="preserve"> </w:t>
            </w:r>
          </w:p>
          <w:p w:rsidR="001F0AA3" w:rsidRPr="00117A7E" w:rsidP="00E00499">
            <w:pPr>
              <w:pStyle w:val="BodyTextIndent1"/>
              <w:pBdr>
                <w:top w:val="none" w:sz="0" w:space="0" w:color="auto"/>
                <w:left w:val="none" w:sz="0" w:space="0" w:color="auto"/>
                <w:bottom w:val="none" w:sz="0" w:space="0" w:color="auto"/>
                <w:right w:val="none" w:sz="0" w:space="0" w:color="auto"/>
              </w:pBdr>
              <w:bidi w:val="0"/>
              <w:ind w:left="0"/>
              <w:jc w:val="both"/>
              <w:rPr>
                <w:rFonts w:ascii="Times New Roman" w:hAnsi="Times New Roman"/>
                <w:sz w:val="25"/>
                <w:szCs w:val="25"/>
              </w:rPr>
            </w:pPr>
            <w:r w:rsidRPr="00C64366" w:rsidR="00C64366">
              <w:rPr>
                <w:rFonts w:ascii="Times New Roman" w:hAnsi="Times New Roman"/>
              </w:rPr>
              <w:t>Návrh</w:t>
            </w:r>
            <w:r w:rsidR="00C64366">
              <w:rPr>
                <w:rFonts w:ascii="Times New Roman" w:hAnsi="Times New Roman"/>
              </w:rPr>
              <w:t xml:space="preserve"> zákona </w:t>
            </w:r>
            <w:r w:rsidR="00E00499">
              <w:rPr>
                <w:rFonts w:ascii="Times New Roman" w:hAnsi="Times New Roman"/>
                <w:bCs/>
              </w:rPr>
              <w:t>z ...........</w:t>
            </w:r>
            <w:r w:rsidR="00114DA9">
              <w:rPr>
                <w:rFonts w:ascii="Times New Roman" w:hAnsi="Times New Roman"/>
                <w:bCs/>
              </w:rPr>
              <w:t xml:space="preserve"> 2018</w:t>
            </w:r>
            <w:r w:rsidRPr="00C64366" w:rsidR="00C64366">
              <w:rPr>
                <w:rFonts w:ascii="Times New Roman" w:hAnsi="Times New Roman"/>
                <w:bCs/>
              </w:rPr>
              <w:t>,</w:t>
            </w:r>
            <w:r w:rsidR="00C64366">
              <w:rPr>
                <w:rFonts w:ascii="Times New Roman" w:hAnsi="Times New Roman"/>
                <w:bCs/>
              </w:rPr>
              <w:t xml:space="preserve"> </w:t>
            </w:r>
            <w:r w:rsidRPr="00C64366" w:rsidR="00C64366">
              <w:rPr>
                <w:rFonts w:ascii="Times New Roman" w:hAnsi="Times New Roman"/>
                <w:bCs/>
              </w:rPr>
              <w:t xml:space="preserve">ktorým sa mení a  dopĺňa zákon č. 362/2011 Z. z. o liekoch  a zdravotníckych pomôckach a o zmene a doplnení niektorých zákonov v znení neskorších predpisov </w:t>
            </w:r>
            <w:r w:rsidRPr="00CD52D5" w:rsidR="00CD52D5">
              <w:rPr>
                <w:rFonts w:ascii="Times New Roman" w:hAnsi="Times New Roman"/>
                <w:bCs/>
              </w:rPr>
              <w:t>a ktorým sa menia a dopĺňajú niektoré zákony</w:t>
            </w:r>
            <w:r w:rsidRPr="00117A7E" w:rsidR="00632C56">
              <w:rPr>
                <w:rFonts w:ascii="Times New Roman" w:hAnsi="Times New Roman"/>
                <w:sz w:val="25"/>
                <w:szCs w:val="25"/>
              </w:rPr>
              <w:fldChar w:fldCharType="begin"/>
            </w:r>
            <w:r w:rsidRPr="00117A7E" w:rsidR="00632C56">
              <w:rPr>
                <w:rFonts w:ascii="Times New Roman" w:hAnsi="Times New Roman"/>
                <w:sz w:val="25"/>
                <w:szCs w:val="25"/>
              </w:rPr>
              <w:instrText xml:space="preserve"> DOCPROPERTY  FSC#SKEDITIONSLOVLEX@103.510:plnynazovpredpis  \* MERGEFORMAT </w:instrText>
            </w:r>
            <w:r w:rsidRPr="00117A7E" w:rsidR="00632C56">
              <w:rPr>
                <w:rFonts w:ascii="Times New Roman" w:hAnsi="Times New Roman"/>
                <w:sz w:val="25"/>
                <w:szCs w:val="25"/>
              </w:rPr>
              <w:fldChar w:fldCharType="separate"/>
            </w:r>
            <w:r w:rsidRPr="00117A7E" w:rsidR="00632C56">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FSC#SKEDITIONSLOVLEX@103.510:plnynazovpredpis1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FSC#SKEDITIONSLOVLEX@103.510:plnynazovpredpis2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r w:rsidRPr="00117A7E" w:rsidR="00DB3DB1">
              <w:rPr>
                <w:rFonts w:ascii="Times New Roman" w:hAnsi="Times New Roman"/>
                <w:sz w:val="25"/>
                <w:szCs w:val="25"/>
              </w:rPr>
              <w:fldChar w:fldCharType="begin"/>
            </w:r>
            <w:r w:rsidRPr="00117A7E" w:rsidR="00DB3DB1">
              <w:rPr>
                <w:rFonts w:ascii="Times New Roman" w:hAnsi="Times New Roman"/>
                <w:sz w:val="25"/>
                <w:szCs w:val="25"/>
              </w:rPr>
              <w:instrText xml:space="preserve"> DOCPROPERTY  FSC#SKEDITIONSLOVLEX@103.510:plnynazovpredpis3  \* MERGEFORMAT </w:instrText>
            </w:r>
            <w:r w:rsidRPr="00117A7E" w:rsidR="00DB3DB1">
              <w:rPr>
                <w:rFonts w:ascii="Times New Roman" w:hAnsi="Times New Roman"/>
                <w:sz w:val="25"/>
                <w:szCs w:val="25"/>
              </w:rPr>
              <w:fldChar w:fldCharType="separate"/>
            </w:r>
            <w:r w:rsidRPr="00117A7E" w:rsidR="00DB3DB1">
              <w:rPr>
                <w:rFonts w:ascii="Times New Roman" w:hAnsi="Times New Roman"/>
                <w:sz w:val="25"/>
                <w:szCs w:val="25"/>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5"/>
                <w:szCs w:val="25"/>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5"/>
                <w:szCs w:val="25"/>
              </w:rPr>
            </w:pPr>
            <w:r w:rsidRPr="00117A7E">
              <w:rPr>
                <w:rFonts w:ascii="Times New Roman" w:hAnsi="Times New Roman"/>
                <w:b/>
                <w:sz w:val="25"/>
                <w:szCs w:val="25"/>
              </w:rPr>
              <w:t>Problematika návrhu právneho predpisu:</w:t>
            </w:r>
          </w:p>
          <w:p w:rsidR="003841E0" w:rsidRPr="00117A7E" w:rsidP="001F0AA3">
            <w:pPr>
              <w:tabs>
                <w:tab w:val="left" w:pos="360"/>
              </w:tabs>
              <w:bidi w:val="0"/>
              <w:rPr>
                <w:rFonts w:ascii="Times New Roman" w:hAnsi="Times New Roman"/>
                <w:sz w:val="25"/>
                <w:szCs w:val="25"/>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8570D4" w:rsidRPr="00117A7E" w:rsidP="002B14DD">
            <w:pPr>
              <w:pStyle w:val="ListParagraph"/>
              <w:numPr>
                <w:numId w:val="7"/>
              </w:numPr>
              <w:tabs>
                <w:tab w:val="left" w:pos="360"/>
              </w:tabs>
              <w:bidi w:val="0"/>
              <w:rPr>
                <w:rFonts w:ascii="Times New Roman" w:hAnsi="Times New Roman"/>
                <w:sz w:val="22"/>
                <w:szCs w:val="22"/>
              </w:rPr>
            </w:pPr>
            <w:r w:rsidR="00B10DDF">
              <w:rPr>
                <w:rFonts w:ascii="Times" w:hAnsi="Times" w:cs="Times"/>
                <w:sz w:val="25"/>
                <w:szCs w:val="25"/>
              </w:rPr>
              <w:t>je upravená v práve Európskej únie</w:t>
            </w:r>
          </w:p>
          <w:p w:rsidR="00B10DDF" w:rsidP="00C64366">
            <w:pPr>
              <w:divId w:val="9"/>
              <w:bidi w:val="0"/>
              <w:jc w:val="both"/>
              <w:rPr>
                <w:rFonts w:ascii="Times" w:hAnsi="Times" w:cs="Times"/>
                <w:sz w:val="25"/>
                <w:szCs w:val="25"/>
              </w:rPr>
            </w:pPr>
            <w:r>
              <w:rPr>
                <w:rFonts w:ascii="Times" w:hAnsi="Times" w:cs="Times"/>
                <w:sz w:val="25"/>
                <w:szCs w:val="25"/>
              </w:rPr>
              <w:br/>
            </w:r>
            <w:r>
              <w:rPr>
                <w:rFonts w:ascii="Times" w:hAnsi="Times" w:cs="Times"/>
                <w:i/>
                <w:iCs/>
                <w:sz w:val="25"/>
                <w:szCs w:val="25"/>
              </w:rPr>
              <w:t xml:space="preserve">- primárnom </w:t>
            </w:r>
            <w:r>
              <w:rPr>
                <w:rFonts w:ascii="Times" w:hAnsi="Times" w:cs="Times"/>
                <w:sz w:val="25"/>
                <w:szCs w:val="25"/>
              </w:rPr>
              <w:br/>
              <w:br/>
            </w:r>
            <w:r w:rsidRPr="00064E28" w:rsidR="00064E28">
              <w:rPr>
                <w:rFonts w:ascii="Times" w:hAnsi="Times" w:cs="Times"/>
                <w:sz w:val="25"/>
                <w:szCs w:val="25"/>
              </w:rPr>
              <w:t>Zmluva o fungovaní Európskej únie (Tretia časť Vnútorné politiky a činnosti Únie Hlava XIV - Verejné zdravie) článok 168</w:t>
            </w:r>
            <w:r w:rsidR="00064E28">
              <w:rPr>
                <w:rFonts w:ascii="Times" w:hAnsi="Times" w:cs="Times"/>
                <w:sz w:val="25"/>
                <w:szCs w:val="25"/>
              </w:rPr>
              <w:t>.</w:t>
            </w:r>
          </w:p>
          <w:p w:rsidR="00054456" w:rsidRPr="00117A7E" w:rsidP="00054456">
            <w:pPr>
              <w:pStyle w:val="ListParagraph"/>
              <w:tabs>
                <w:tab w:val="left" w:pos="360"/>
              </w:tabs>
              <w:bidi w:val="0"/>
              <w:ind w:left="360"/>
              <w:rPr>
                <w:rFonts w:ascii="Times New Roman" w:hAnsi="Times New Roman"/>
                <w:sz w:val="22"/>
                <w:szCs w:val="22"/>
              </w:rPr>
            </w:pPr>
          </w:p>
          <w:p w:rsidR="00C64366" w:rsidRPr="001C49D9" w:rsidP="00831E27">
            <w:pPr>
              <w:pStyle w:val="ListParagraph"/>
              <w:divId w:val="1"/>
              <w:numPr>
                <w:numId w:val="9"/>
              </w:numPr>
              <w:bidi w:val="0"/>
              <w:ind w:left="57"/>
              <w:jc w:val="both"/>
              <w:rPr>
                <w:rFonts w:ascii="Times New Roman" w:hAnsi="Times New Roman"/>
                <w:sz w:val="22"/>
                <w:szCs w:val="22"/>
              </w:rPr>
            </w:pPr>
            <w:r w:rsidRPr="00831E27" w:rsidR="00B10DDF">
              <w:rPr>
                <w:rFonts w:ascii="Times" w:hAnsi="Times" w:cs="Times"/>
                <w:i/>
                <w:iCs/>
                <w:sz w:val="25"/>
                <w:szCs w:val="25"/>
              </w:rPr>
              <w:t xml:space="preserve"> sekundárnom (prijatom po nadobudnutím platnosti Lisabonskej zmluvy, ktorou sa mení a dopĺňa Zmluva o Európskom spoločenstve a Zmluva o Európskej únii – po 30. novembri 2009)</w:t>
            </w:r>
            <w:r w:rsidRPr="00831E27">
              <w:rPr>
                <w:rFonts w:ascii="Times" w:hAnsi="Times" w:cs="Times"/>
                <w:sz w:val="25"/>
                <w:szCs w:val="25"/>
              </w:rPr>
              <w:br/>
              <w:br/>
              <w:t xml:space="preserve">1. legislatívne akty: </w:t>
              <w:br/>
              <w:br/>
            </w:r>
            <w:r w:rsidR="00831E27">
              <w:rPr>
                <w:rFonts w:ascii="Times New Roman" w:hAnsi="Times New Roman"/>
                <w:sz w:val="22"/>
                <w:szCs w:val="22"/>
              </w:rPr>
              <w:t xml:space="preserve">- </w:t>
            </w:r>
            <w:r w:rsidRPr="001C49D9">
              <w:rPr>
                <w:rFonts w:ascii="Times New Roman" w:hAnsi="Times New Roman"/>
                <w:sz w:val="22"/>
                <w:szCs w:val="22"/>
              </w:rPr>
              <w:t>Nariadenie Európskeho parlamentu a Rady (E</w:t>
            </w:r>
            <w:r w:rsidR="00E314C5">
              <w:rPr>
                <w:rFonts w:ascii="Times New Roman" w:hAnsi="Times New Roman"/>
                <w:sz w:val="22"/>
                <w:szCs w:val="22"/>
              </w:rPr>
              <w:t>Ú</w:t>
            </w:r>
            <w:r w:rsidRPr="001C49D9">
              <w:rPr>
                <w:rFonts w:ascii="Times New Roman" w:hAnsi="Times New Roman"/>
                <w:sz w:val="22"/>
                <w:szCs w:val="22"/>
              </w:rPr>
              <w:t>) č. 536/2014 zo 16. apríla 2014 o klinickom skúšaní liekov na humánne použitie, ktorým sa zrušuje smernica 2001/20/ES</w:t>
            </w:r>
            <w:r>
              <w:rPr>
                <w:rFonts w:ascii="Times New Roman" w:hAnsi="Times New Roman"/>
                <w:sz w:val="22"/>
                <w:szCs w:val="22"/>
              </w:rPr>
              <w:t xml:space="preserve"> (Ú. v. EÚ L 158/1,  27. 5. 2014)</w:t>
            </w:r>
          </w:p>
          <w:p w:rsidR="00B10DDF">
            <w:pPr>
              <w:divId w:val="1"/>
              <w:bidi w:val="0"/>
              <w:rPr>
                <w:rFonts w:ascii="Times" w:hAnsi="Times" w:cs="Times"/>
                <w:sz w:val="25"/>
                <w:szCs w:val="25"/>
              </w:rPr>
            </w:pPr>
          </w:p>
          <w:p w:rsidR="006F3E6F" w:rsidRPr="00117A7E" w:rsidP="006F3E6F">
            <w:pPr>
              <w:pStyle w:val="ListParagraph"/>
              <w:tabs>
                <w:tab w:val="left" w:pos="360"/>
              </w:tabs>
              <w:bidi w:val="0"/>
              <w:ind w:left="360"/>
              <w:rPr>
                <w:rFonts w:ascii="Times New Roman" w:hAnsi="Times New Roman"/>
                <w:sz w:val="22"/>
                <w:szCs w:val="22"/>
              </w:rPr>
            </w:pPr>
          </w:p>
          <w:p w:rsidR="0023485C" w:rsidRPr="00064E28" w:rsidP="00064E28">
            <w:pPr>
              <w:divId w:val="6"/>
              <w:bidi w:val="0"/>
              <w:rPr>
                <w:rFonts w:ascii="Times" w:hAnsi="Times" w:cs="Times"/>
                <w:sz w:val="25"/>
                <w:szCs w:val="25"/>
              </w:rPr>
            </w:pPr>
            <w:r w:rsidR="00064E28">
              <w:rPr>
                <w:rFonts w:ascii="Times" w:hAnsi="Times" w:cs="Times"/>
                <w:sz w:val="25"/>
                <w:szCs w:val="25"/>
              </w:rPr>
              <w:t xml:space="preserve">2. nelegislatívne akty: </w:t>
              <w:br/>
            </w:r>
          </w:p>
          <w:p w:rsidR="00831E27" w:rsidP="00831E27">
            <w:pPr>
              <w:divId w:val="12"/>
              <w:bidi w:val="0"/>
              <w:ind w:left="341"/>
              <w:rPr>
                <w:rFonts w:ascii="Times New Roman" w:hAnsi="Times New Roman"/>
                <w:sz w:val="22"/>
                <w:szCs w:val="22"/>
              </w:rPr>
            </w:pPr>
            <w:r w:rsidR="00B10DDF">
              <w:rPr>
                <w:rFonts w:ascii="Times" w:hAnsi="Times" w:cs="Times"/>
                <w:i/>
                <w:iCs/>
                <w:sz w:val="25"/>
                <w:szCs w:val="25"/>
              </w:rPr>
              <w:t xml:space="preserve">- sekundárnom (prijatom pred nadobudnutím </w:t>
            </w:r>
            <w:r w:rsidR="00064E28">
              <w:rPr>
                <w:rFonts w:ascii="Times" w:hAnsi="Times" w:cs="Times"/>
                <w:i/>
                <w:iCs/>
                <w:sz w:val="25"/>
                <w:szCs w:val="25"/>
              </w:rPr>
              <w:t>platnosti Lisabonskej zmluvy)</w:t>
              <w:br/>
            </w:r>
            <w:r>
              <w:rPr>
                <w:rFonts w:ascii="Times New Roman" w:hAnsi="Times New Roman"/>
                <w:sz w:val="22"/>
                <w:szCs w:val="22"/>
              </w:rPr>
              <w:t>- Smernica 2001/83/ES Európskeho parlamentu a Rady zo 6. novembra 2001, ktorým sa ustanovuje zákonník spoločenstva o humánnych liekoch (Ú. v. ES L 311, 28.11.2001)</w:t>
            </w:r>
          </w:p>
          <w:p w:rsidR="0023485C" w:rsidRPr="00064E28" w:rsidP="00831E27">
            <w:pPr>
              <w:divId w:val="12"/>
              <w:bidi w:val="0"/>
              <w:ind w:left="341"/>
              <w:rPr>
                <w:rFonts w:ascii="Times" w:hAnsi="Times" w:cs="Times"/>
                <w:sz w:val="25"/>
                <w:szCs w:val="25"/>
              </w:rPr>
            </w:pPr>
            <w:r w:rsidR="00831E27">
              <w:rPr>
                <w:rFonts w:ascii="Times New Roman" w:hAnsi="Times New Roman"/>
                <w:sz w:val="22"/>
                <w:szCs w:val="22"/>
              </w:rPr>
              <w:t>- Smernica Rady č. 93/42/EHS zo 14. júna 1993 o zdravotníckych pomôckach (Ú. v. ES L 169, 12.7.1993).</w:t>
            </w:r>
          </w:p>
          <w:p w:rsidR="0023485C" w:rsidRPr="00117A7E" w:rsidP="006F3E6F">
            <w:pPr>
              <w:pStyle w:val="ListParagraph"/>
              <w:tabs>
                <w:tab w:val="left" w:pos="360"/>
              </w:tabs>
              <w:bidi w:val="0"/>
              <w:ind w:left="36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23485C" w:rsidRPr="00BF4B87" w:rsidP="00BF4B87">
            <w:pPr>
              <w:pStyle w:val="ListParagraph"/>
              <w:divId w:val="8"/>
              <w:numPr>
                <w:numId w:val="7"/>
              </w:numPr>
              <w:tabs>
                <w:tab w:val="left" w:pos="360"/>
              </w:tabs>
              <w:bidi w:val="0"/>
              <w:spacing w:after="250"/>
              <w:ind w:hanging="303"/>
              <w:rPr>
                <w:rFonts w:ascii="Times New Roman" w:hAnsi="Times New Roman"/>
                <w:sz w:val="22"/>
                <w:szCs w:val="22"/>
              </w:rPr>
            </w:pPr>
            <w:r w:rsidR="00BF4B87">
              <w:rPr>
                <w:rFonts w:ascii="Times" w:hAnsi="Times" w:cs="Times"/>
                <w:sz w:val="25"/>
                <w:szCs w:val="25"/>
              </w:rPr>
              <w:t>judikatúra</w:t>
            </w:r>
            <w:r w:rsidRPr="005968BC" w:rsidR="00B10DDF">
              <w:rPr>
                <w:rFonts w:ascii="Times" w:hAnsi="Times" w:cs="Times"/>
                <w:sz w:val="25"/>
                <w:szCs w:val="25"/>
              </w:rPr>
              <w:t xml:space="preserve"> Súdneho dvora Európskej únie</w:t>
            </w:r>
            <w:r w:rsidRPr="005968BC" w:rsidR="005968BC">
              <w:rPr>
                <w:rFonts w:ascii="Times" w:hAnsi="Times" w:cs="Times"/>
                <w:sz w:val="25"/>
                <w:szCs w:val="25"/>
              </w:rPr>
              <w:t xml:space="preserve"> </w:t>
            </w:r>
          </w:p>
          <w:p w:rsidR="00BF4B87" w:rsidRPr="00117A7E" w:rsidP="00BF4B87">
            <w:pPr>
              <w:pStyle w:val="ListParagraph"/>
              <w:divId w:val="8"/>
              <w:numPr>
                <w:numId w:val="9"/>
              </w:numPr>
              <w:tabs>
                <w:tab w:val="left" w:pos="360"/>
              </w:tabs>
              <w:bidi w:val="0"/>
              <w:spacing w:after="250"/>
              <w:ind w:hanging="303"/>
              <w:rPr>
                <w:rFonts w:ascii="Times New Roman" w:hAnsi="Times New Roman"/>
                <w:sz w:val="22"/>
                <w:szCs w:val="22"/>
              </w:rPr>
            </w:pPr>
            <w:r>
              <w:rPr>
                <w:rFonts w:ascii="Times New Roman" w:hAnsi="Times New Roman"/>
                <w:sz w:val="22"/>
                <w:szCs w:val="22"/>
              </w:rPr>
              <w:t>Rozsudok Súdneho dvora z 19. mája 2009, C-171/07 a C-172/07, Apothekerkammer des Saarlandes a i. a Rozsudok Súdneho dvora z 19. mája 2009, C-531/06- Komisia/Taliansko.</w:t>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1F0AA3" w:rsidRPr="00117A7E" w:rsidP="001F0AA3">
            <w:pPr>
              <w:tabs>
                <w:tab w:val="left" w:pos="360"/>
              </w:tabs>
              <w:bidi w:val="0"/>
              <w:rPr>
                <w:rFonts w:ascii="Times New Roman" w:hAnsi="Times New Roman"/>
                <w:b/>
                <w:sz w:val="22"/>
                <w:szCs w:val="22"/>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6E1D9C" w:rsidRPr="00117A7E" w:rsidP="0023485C">
            <w:pPr>
              <w:tabs>
                <w:tab w:val="left" w:pos="360"/>
              </w:tabs>
              <w:bidi w:val="0"/>
              <w:rPr>
                <w:rFonts w:ascii="Times New Roman" w:hAnsi="Times New Roman"/>
                <w:sz w:val="22"/>
                <w:szCs w:val="22"/>
              </w:rPr>
            </w:pPr>
          </w:p>
        </w:tc>
      </w:tr>
    </w:tbl>
    <w:p w:rsidR="001F0AA3" w:rsidRPr="00117A7E" w:rsidP="001F0AA3">
      <w:pPr>
        <w:tabs>
          <w:tab w:val="left" w:pos="360"/>
        </w:tabs>
        <w:bidi w:val="0"/>
        <w:rPr>
          <w:rFonts w:ascii="Times New Roman" w:hAnsi="Times New Roman"/>
        </w:rPr>
      </w:pPr>
    </w:p>
    <w:p w:rsidR="00B10DDF" w:rsidP="00814DF5">
      <w:pPr>
        <w:tabs>
          <w:tab w:val="left" w:pos="360"/>
        </w:tabs>
        <w:bidi w:val="0"/>
        <w:jc w:val="both"/>
        <w:rPr>
          <w:rFonts w:ascii="Times New Roman" w:hAnsi="Times New Roman"/>
        </w:rPr>
      </w:pPr>
    </w:p>
    <w:tbl>
      <w:tblPr>
        <w:tblStyle w:val="TableNormal"/>
        <w:tblW w:w="5000" w:type="pct"/>
        <w:jc w:val="center"/>
        <w:tblCellMar>
          <w:left w:w="0" w:type="dxa"/>
          <w:right w:w="0" w:type="dxa"/>
        </w:tblCellMar>
        <w:tblLook w:val="04A0"/>
      </w:tblPr>
      <w:tblGrid>
        <w:gridCol w:w="470"/>
        <w:gridCol w:w="282"/>
        <w:gridCol w:w="8654"/>
      </w:tblGrid>
      <w:tr>
        <w:tblPrEx>
          <w:tblW w:w="5000" w:type="pct"/>
          <w:jc w:val="center"/>
          <w:tblCellMar>
            <w:left w:w="0" w:type="dxa"/>
            <w:right w:w="0" w:type="dxa"/>
          </w:tblCellMar>
          <w:tblLook w:val="04A0"/>
        </w:tblPrEx>
        <w:trPr>
          <w:divId w:val="7"/>
          <w:jc w:val="center"/>
        </w:trPr>
        <w:tc>
          <w:tcPr>
            <w:tcW w:w="250" w:type="pct"/>
            <w:tcBorders>
              <w:top w:val="nil"/>
              <w:left w:val="nil"/>
              <w:bottom w:val="nil"/>
              <w:right w:val="nil"/>
            </w:tcBorders>
            <w:textDirection w:val="lrTb"/>
            <w:vAlign w:val="top"/>
            <w:hideMark/>
          </w:tcPr>
          <w:p w:rsidR="00B10DDF">
            <w:pPr>
              <w:bidi w:val="0"/>
              <w:spacing w:after="0" w:line="240" w:lineRule="auto"/>
              <w:rPr>
                <w:rFonts w:ascii="Times" w:hAnsi="Times" w:cs="Times"/>
                <w:b/>
                <w:bCs/>
                <w:sz w:val="25"/>
                <w:szCs w:val="25"/>
              </w:rPr>
            </w:pPr>
            <w:r>
              <w:rPr>
                <w:rFonts w:ascii="Times" w:hAnsi="Times" w:cs="Times"/>
                <w:b/>
                <w:bCs/>
                <w:sz w:val="25"/>
                <w:szCs w:val="25"/>
              </w:rPr>
              <w:t>4.</w:t>
            </w:r>
          </w:p>
        </w:tc>
        <w:tc>
          <w:tcPr>
            <w:tcW w:w="4750" w:type="pct"/>
            <w:gridSpan w:val="2"/>
            <w:tcBorders>
              <w:top w:val="nil"/>
              <w:left w:val="nil"/>
              <w:bottom w:val="nil"/>
              <w:right w:val="nil"/>
            </w:tcBorders>
            <w:textDirection w:val="lrTb"/>
            <w:vAlign w:val="center"/>
            <w:hideMark/>
          </w:tcPr>
          <w:p w:rsidR="00B10DDF">
            <w:pPr>
              <w:bidi w:val="0"/>
              <w:spacing w:after="250" w:line="240" w:lineRule="auto"/>
              <w:rPr>
                <w:rFonts w:ascii="Times" w:hAnsi="Times" w:cs="Times"/>
                <w:b/>
                <w:bCs/>
                <w:sz w:val="25"/>
                <w:szCs w:val="25"/>
              </w:rPr>
            </w:pPr>
            <w:r>
              <w:rPr>
                <w:rFonts w:ascii="Times" w:hAnsi="Times" w:cs="Times"/>
                <w:b/>
                <w:bCs/>
                <w:sz w:val="25"/>
                <w:szCs w:val="25"/>
              </w:rPr>
              <w:t>Záväzky Slovenskej republiky vo vzťahu k Európskej únii:</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b/>
                <w:bCs/>
                <w:sz w:val="25"/>
                <w:szCs w:val="25"/>
              </w:rPr>
            </w:pPr>
          </w:p>
        </w:tc>
        <w:tc>
          <w:tcPr>
            <w:tcW w:w="150" w:type="pct"/>
            <w:tcBorders>
              <w:top w:val="nil"/>
              <w:left w:val="nil"/>
              <w:bottom w:val="nil"/>
              <w:right w:val="nil"/>
            </w:tcBorders>
            <w:textDirection w:val="lrTb"/>
            <w:vAlign w:val="top"/>
            <w:hideMark/>
          </w:tcPr>
          <w:p w:rsidR="00B10DDF">
            <w:pPr>
              <w:bidi w:val="0"/>
              <w:spacing w:after="0" w:line="240" w:lineRule="auto"/>
              <w:rPr>
                <w:rFonts w:ascii="Times" w:hAnsi="Times" w:cs="Times"/>
                <w:sz w:val="25"/>
                <w:szCs w:val="25"/>
              </w:rPr>
            </w:pPr>
            <w:r>
              <w:rPr>
                <w:rFonts w:ascii="Times" w:hAnsi="Times" w:cs="Times"/>
                <w:sz w:val="25"/>
                <w:szCs w:val="25"/>
              </w:rPr>
              <w:t>a)</w:t>
            </w:r>
          </w:p>
        </w:tc>
        <w:tc>
          <w:tcPr>
            <w:tcW w:w="0" w:type="auto"/>
            <w:tcBorders>
              <w:top w:val="nil"/>
              <w:left w:val="nil"/>
              <w:bottom w:val="nil"/>
              <w:right w:val="nil"/>
            </w:tcBorders>
            <w:textDirection w:val="lrTb"/>
            <w:vAlign w:val="center"/>
            <w:hideMark/>
          </w:tcPr>
          <w:p w:rsidR="00B10DDF">
            <w:pPr>
              <w:bidi w:val="0"/>
              <w:spacing w:after="250" w:line="240" w:lineRule="auto"/>
              <w:rPr>
                <w:rFonts w:ascii="Times" w:hAnsi="Times" w:cs="Times"/>
                <w:sz w:val="25"/>
                <w:szCs w:val="25"/>
              </w:rPr>
            </w:pPr>
            <w:r>
              <w:rPr>
                <w:rFonts w:ascii="Times" w:hAnsi="Times" w:cs="Times"/>
                <w:sz w:val="25"/>
                <w:szCs w:val="25"/>
              </w:rPr>
              <w:t>lehota na prebratie smernice alebo lehota na implementáciu nariadenia alebo rozhodnutia</w:t>
            </w:r>
          </w:p>
          <w:p w:rsidR="005968BC" w:rsidRPr="00C13717" w:rsidP="00C13717">
            <w:pPr>
              <w:pStyle w:val="ListParagraph"/>
              <w:numPr>
                <w:numId w:val="8"/>
              </w:numPr>
              <w:bidi w:val="0"/>
              <w:spacing w:before="120" w:after="0" w:line="240" w:lineRule="auto"/>
              <w:jc w:val="both"/>
              <w:rPr>
                <w:rFonts w:ascii="Times New Roman" w:hAnsi="Times New Roman"/>
                <w:color w:val="000000"/>
              </w:rPr>
            </w:pPr>
            <w:r w:rsidR="00C13717">
              <w:rPr>
                <w:rFonts w:ascii="Times New Roman" w:hAnsi="Times New Roman"/>
                <w:color w:val="000000"/>
              </w:rPr>
              <w:t>u</w:t>
            </w:r>
            <w:r w:rsidRPr="00C13717">
              <w:rPr>
                <w:rFonts w:ascii="Times New Roman" w:hAnsi="Times New Roman"/>
                <w:color w:val="000000"/>
              </w:rPr>
              <w:t>platňuje sa od šiestich mesiacov po uverejnení oznámenia v </w:t>
            </w:r>
            <w:r w:rsidRPr="00C13717">
              <w:rPr>
                <w:rFonts w:ascii="Times New Roman" w:hAnsi="Times New Roman"/>
                <w:iCs/>
                <w:color w:val="000000"/>
              </w:rPr>
              <w:t>Úradnom vestníku Európskej únie</w:t>
            </w:r>
            <w:r w:rsidRPr="00C13717">
              <w:rPr>
                <w:rFonts w:ascii="Times New Roman" w:hAnsi="Times New Roman"/>
                <w:color w:val="000000"/>
              </w:rPr>
              <w:t>, že portál EÚ a databáza EÚ dosiahli plnú funkčnosť a systémy spĺňajú funkčné špecifikácie</w:t>
            </w:r>
          </w:p>
          <w:p w:rsidR="005968BC">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10DDF">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w:hAnsi="Times" w:cs="Times"/>
                <w:sz w:val="25"/>
                <w:szCs w:val="25"/>
              </w:rPr>
            </w:pPr>
            <w:r>
              <w:rPr>
                <w:rFonts w:ascii="Times" w:hAnsi="Times" w:cs="Times"/>
                <w:sz w:val="25"/>
                <w:szCs w:val="25"/>
              </w:rPr>
              <w:t>b)</w:t>
            </w:r>
          </w:p>
        </w:tc>
        <w:tc>
          <w:tcPr>
            <w:tcW w:w="0" w:type="auto"/>
            <w:tcBorders>
              <w:top w:val="nil"/>
              <w:left w:val="nil"/>
              <w:bottom w:val="nil"/>
              <w:right w:val="nil"/>
            </w:tcBorders>
            <w:textDirection w:val="lrTb"/>
            <w:vAlign w:val="center"/>
            <w:hideMark/>
          </w:tcPr>
          <w:p w:rsidR="00B10DDF">
            <w:pPr>
              <w:bidi w:val="0"/>
              <w:spacing w:after="250" w:line="240" w:lineRule="auto"/>
              <w:rPr>
                <w:rFonts w:ascii="Times" w:hAnsi="Times" w:cs="Times"/>
                <w:sz w:val="25"/>
                <w:szCs w:val="25"/>
              </w:rPr>
            </w:pPr>
            <w:r>
              <w:rPr>
                <w:rFonts w:ascii="Times" w:hAnsi="Times" w:cs="Times"/>
                <w:sz w:val="25"/>
                <w:szCs w:val="25"/>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13717" w:rsidRPr="00C13717" w:rsidP="00C13717">
            <w:pPr>
              <w:pStyle w:val="ListParagraph"/>
              <w:numPr>
                <w:numId w:val="8"/>
              </w:numPr>
              <w:bidi w:val="0"/>
              <w:spacing w:after="250" w:line="240" w:lineRule="auto"/>
              <w:rPr>
                <w:rFonts w:ascii="Times" w:hAnsi="Times" w:cs="Times"/>
                <w:sz w:val="25"/>
                <w:szCs w:val="25"/>
              </w:rPr>
            </w:pPr>
            <w:r w:rsidRPr="00C13717">
              <w:rPr>
                <w:rFonts w:ascii="Times" w:hAnsi="Times" w:cs="Times"/>
                <w:sz w:val="25"/>
                <w:szCs w:val="25"/>
              </w:rPr>
              <w:t>ide o implementáciu nariadenia a nie o transpozíciu smernice</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10DDF">
            <w:pPr>
              <w:bidi w:val="0"/>
              <w:spacing w:after="250" w:line="240" w:lineRule="auto"/>
              <w:rPr>
                <w:rFonts w:ascii="Times" w:hAnsi="Times" w:cs="Times"/>
                <w:sz w:val="25"/>
                <w:szCs w:val="25"/>
              </w:rPr>
            </w:pP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w:hAnsi="Times" w:cs="Times"/>
                <w:sz w:val="25"/>
                <w:szCs w:val="25"/>
              </w:rPr>
            </w:pPr>
            <w:r>
              <w:rPr>
                <w:rFonts w:ascii="Times" w:hAnsi="Times" w:cs="Times"/>
                <w:sz w:val="25"/>
                <w:szCs w:val="25"/>
              </w:rPr>
              <w:t>c)</w:t>
            </w:r>
          </w:p>
        </w:tc>
        <w:tc>
          <w:tcPr>
            <w:tcW w:w="0" w:type="auto"/>
            <w:tcBorders>
              <w:top w:val="nil"/>
              <w:left w:val="nil"/>
              <w:bottom w:val="nil"/>
              <w:right w:val="nil"/>
            </w:tcBorders>
            <w:textDirection w:val="lrTb"/>
            <w:vAlign w:val="center"/>
            <w:hideMark/>
          </w:tcPr>
          <w:p w:rsidR="00B10DDF">
            <w:pPr>
              <w:bidi w:val="0"/>
              <w:spacing w:after="250" w:line="240" w:lineRule="auto"/>
              <w:rPr>
                <w:rFonts w:ascii="Times" w:hAnsi="Times" w:cs="Times"/>
                <w:sz w:val="25"/>
                <w:szCs w:val="25"/>
              </w:rPr>
            </w:pPr>
            <w:r>
              <w:rPr>
                <w:rFonts w:ascii="Times" w:hAnsi="Times" w:cs="Times"/>
                <w:sz w:val="25"/>
                <w:szCs w:val="25"/>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10DDF" w:rsidRPr="00C13717" w:rsidP="00C13717">
            <w:pPr>
              <w:pStyle w:val="ListParagraph"/>
              <w:numPr>
                <w:numId w:val="8"/>
              </w:numPr>
              <w:bidi w:val="0"/>
              <w:spacing w:after="250" w:line="240" w:lineRule="auto"/>
              <w:rPr>
                <w:rFonts w:ascii="Times" w:hAnsi="Times" w:cs="Times"/>
                <w:sz w:val="25"/>
                <w:szCs w:val="25"/>
              </w:rPr>
            </w:pPr>
            <w:r w:rsidRPr="00C13717">
              <w:rPr>
                <w:rFonts w:ascii="Times" w:hAnsi="Times" w:cs="Times"/>
                <w:sz w:val="25"/>
                <w:szCs w:val="25"/>
              </w:rPr>
              <w:t>proti Slovenskej republike je začaté konanie podľa čl. 258 až 260 o porušení Zmluvy o fungovaní Európskej únie - Odôvodnené stanovisko – Porušenie č.2014/4141 C(2016) 3065 final zo dňa 26. 05. 2016</w:t>
              <w:br/>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w:hAnsi="Times" w:cs="Times"/>
                <w:sz w:val="25"/>
                <w:szCs w:val="25"/>
              </w:rPr>
            </w:pPr>
            <w:r>
              <w:rPr>
                <w:rFonts w:ascii="Times" w:hAnsi="Times" w:cs="Times"/>
                <w:sz w:val="25"/>
                <w:szCs w:val="25"/>
              </w:rPr>
              <w:t>d)</w:t>
            </w:r>
          </w:p>
        </w:tc>
        <w:tc>
          <w:tcPr>
            <w:tcW w:w="0" w:type="auto"/>
            <w:tcBorders>
              <w:top w:val="nil"/>
              <w:left w:val="nil"/>
              <w:bottom w:val="nil"/>
              <w:right w:val="nil"/>
            </w:tcBorders>
            <w:textDirection w:val="lrTb"/>
            <w:vAlign w:val="center"/>
            <w:hideMark/>
          </w:tcPr>
          <w:p w:rsidR="00B10DDF">
            <w:pPr>
              <w:bidi w:val="0"/>
              <w:spacing w:after="250" w:line="240" w:lineRule="auto"/>
              <w:rPr>
                <w:rFonts w:ascii="Times" w:hAnsi="Times" w:cs="Times"/>
                <w:sz w:val="25"/>
                <w:szCs w:val="25"/>
              </w:rPr>
            </w:pPr>
            <w:r>
              <w:rPr>
                <w:rFonts w:ascii="Times" w:hAnsi="Times" w:cs="Times"/>
                <w:sz w:val="25"/>
                <w:szCs w:val="25"/>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10DDF" w:rsidRPr="00C13717" w:rsidP="00C13717">
            <w:pPr>
              <w:pStyle w:val="ListParagraph"/>
              <w:numPr>
                <w:numId w:val="8"/>
              </w:numPr>
              <w:bidi w:val="0"/>
              <w:spacing w:after="250" w:line="240" w:lineRule="auto"/>
              <w:rPr>
                <w:rFonts w:ascii="Times" w:hAnsi="Times" w:cs="Times"/>
                <w:sz w:val="25"/>
                <w:szCs w:val="25"/>
              </w:rPr>
            </w:pPr>
            <w:r w:rsidRPr="00C13717">
              <w:rPr>
                <w:rFonts w:ascii="Times" w:hAnsi="Times" w:cs="Times"/>
                <w:sz w:val="25"/>
                <w:szCs w:val="25"/>
              </w:rPr>
              <w:t>bezpredmetné</w:t>
              <w:br/>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0" w:line="240" w:lineRule="auto"/>
              <w:rPr>
                <w:rFonts w:ascii="Times" w:hAnsi="Times" w:cs="Times"/>
                <w:b/>
                <w:bCs/>
                <w:sz w:val="25"/>
                <w:szCs w:val="25"/>
              </w:rPr>
            </w:pPr>
            <w:r>
              <w:rPr>
                <w:rFonts w:ascii="Times" w:hAnsi="Times" w:cs="Times"/>
                <w:b/>
                <w:bCs/>
                <w:sz w:val="25"/>
                <w:szCs w:val="25"/>
              </w:rPr>
              <w:t>5.</w:t>
            </w:r>
          </w:p>
        </w:tc>
        <w:tc>
          <w:tcPr>
            <w:tcW w:w="0" w:type="auto"/>
            <w:gridSpan w:val="2"/>
            <w:tcBorders>
              <w:top w:val="nil"/>
              <w:left w:val="nil"/>
              <w:bottom w:val="nil"/>
              <w:right w:val="nil"/>
            </w:tcBorders>
            <w:textDirection w:val="lrTb"/>
            <w:vAlign w:val="top"/>
            <w:hideMark/>
          </w:tcPr>
          <w:p w:rsidR="00B10DDF">
            <w:pPr>
              <w:bidi w:val="0"/>
              <w:spacing w:after="250" w:line="240" w:lineRule="auto"/>
              <w:rPr>
                <w:rFonts w:ascii="Times" w:hAnsi="Times" w:cs="Times"/>
                <w:b/>
                <w:bCs/>
                <w:sz w:val="25"/>
                <w:szCs w:val="25"/>
              </w:rPr>
            </w:pPr>
            <w:r>
              <w:rPr>
                <w:rFonts w:ascii="Times" w:hAnsi="Times" w:cs="Times"/>
                <w:b/>
                <w:bCs/>
                <w:sz w:val="25"/>
                <w:szCs w:val="25"/>
              </w:rPr>
              <w:t>Stupeň zlučiteľnosti návrhu právneho predpisu s právom Európskej únie:</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10DDF" w:rsidRPr="00C13717" w:rsidP="00C13717">
            <w:pPr>
              <w:pStyle w:val="ListParagraph"/>
              <w:numPr>
                <w:numId w:val="8"/>
              </w:numPr>
              <w:bidi w:val="0"/>
              <w:spacing w:after="250" w:line="240" w:lineRule="auto"/>
              <w:rPr>
                <w:rFonts w:ascii="Times" w:hAnsi="Times" w:cs="Times"/>
                <w:sz w:val="25"/>
                <w:szCs w:val="25"/>
              </w:rPr>
            </w:pPr>
            <w:r w:rsidRPr="00C13717">
              <w:rPr>
                <w:rFonts w:ascii="Times" w:hAnsi="Times" w:cs="Times"/>
                <w:sz w:val="25"/>
                <w:szCs w:val="25"/>
              </w:rPr>
              <w:t>úplný</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0" w:line="240" w:lineRule="auto"/>
              <w:rPr>
                <w:rFonts w:ascii="Times" w:hAnsi="Times" w:cs="Times"/>
                <w:b/>
                <w:bCs/>
                <w:sz w:val="25"/>
                <w:szCs w:val="25"/>
              </w:rPr>
            </w:pPr>
            <w:r>
              <w:rPr>
                <w:rFonts w:ascii="Times" w:hAnsi="Times" w:cs="Times"/>
                <w:b/>
                <w:bCs/>
                <w:sz w:val="25"/>
                <w:szCs w:val="25"/>
              </w:rPr>
              <w:t>6.</w:t>
            </w:r>
          </w:p>
        </w:tc>
        <w:tc>
          <w:tcPr>
            <w:tcW w:w="0" w:type="auto"/>
            <w:gridSpan w:val="2"/>
            <w:tcBorders>
              <w:top w:val="nil"/>
              <w:left w:val="nil"/>
              <w:bottom w:val="nil"/>
              <w:right w:val="nil"/>
            </w:tcBorders>
            <w:textDirection w:val="lrTb"/>
            <w:vAlign w:val="top"/>
            <w:hideMark/>
          </w:tcPr>
          <w:p w:rsidR="00B10DDF">
            <w:pPr>
              <w:bidi w:val="0"/>
              <w:spacing w:after="250" w:line="240" w:lineRule="auto"/>
              <w:rPr>
                <w:rFonts w:ascii="Times" w:hAnsi="Times" w:cs="Times"/>
                <w:b/>
                <w:bCs/>
                <w:sz w:val="25"/>
                <w:szCs w:val="25"/>
              </w:rPr>
            </w:pPr>
            <w:r>
              <w:rPr>
                <w:rFonts w:ascii="Times" w:hAnsi="Times" w:cs="Times"/>
                <w:b/>
                <w:bCs/>
                <w:sz w:val="25"/>
                <w:szCs w:val="25"/>
              </w:rPr>
              <w:t>Gestor a spolupracujúce rezorty:</w:t>
            </w:r>
          </w:p>
        </w:tc>
      </w:tr>
      <w:tr>
        <w:tblPrEx>
          <w:tblW w:w="5000" w:type="pct"/>
          <w:jc w:val="center"/>
          <w:tblCellMar>
            <w:left w:w="0" w:type="dxa"/>
            <w:right w:w="0" w:type="dxa"/>
          </w:tblCellMar>
          <w:tblLook w:val="04A0"/>
        </w:tblPrEx>
        <w:trPr>
          <w:divId w:val="7"/>
          <w:jc w:val="center"/>
        </w:trPr>
        <w:tc>
          <w:tcPr>
            <w:tcW w:w="0" w:type="auto"/>
            <w:tcBorders>
              <w:top w:val="nil"/>
              <w:left w:val="nil"/>
              <w:bottom w:val="nil"/>
              <w:right w:val="nil"/>
            </w:tcBorders>
            <w:textDirection w:val="lrTb"/>
            <w:vAlign w:val="top"/>
            <w:hideMark/>
          </w:tcPr>
          <w:p w:rsidR="00B10DDF">
            <w:pPr>
              <w:bidi w:val="0"/>
              <w:spacing w:after="250" w:line="240" w:lineRule="auto"/>
              <w:rPr>
                <w:rFonts w:ascii="Times" w:hAnsi="Times" w:cs="Times"/>
                <w:b/>
                <w:bCs/>
                <w:sz w:val="25"/>
                <w:szCs w:val="25"/>
              </w:rPr>
            </w:pPr>
          </w:p>
        </w:tc>
        <w:tc>
          <w:tcPr>
            <w:tcW w:w="0" w:type="auto"/>
            <w:tcBorders>
              <w:top w:val="nil"/>
              <w:left w:val="nil"/>
              <w:bottom w:val="nil"/>
              <w:right w:val="nil"/>
            </w:tcBorders>
            <w:textDirection w:val="lrTb"/>
            <w:vAlign w:val="top"/>
            <w:hideMark/>
          </w:tcPr>
          <w:p w:rsidR="00B10DDF">
            <w:pPr>
              <w:bidi w:val="0"/>
              <w:spacing w:after="0" w:line="240" w:lineRule="auto"/>
              <w:rPr>
                <w:rFonts w:ascii="Times New Roman" w:hAnsi="Times New Roman"/>
                <w:sz w:val="20"/>
                <w:szCs w:val="20"/>
              </w:rPr>
            </w:pPr>
          </w:p>
        </w:tc>
        <w:tc>
          <w:tcPr>
            <w:tcW w:w="0" w:type="auto"/>
            <w:tcBorders>
              <w:top w:val="nil"/>
              <w:left w:val="nil"/>
              <w:bottom w:val="nil"/>
              <w:right w:val="nil"/>
            </w:tcBorders>
            <w:textDirection w:val="lrTb"/>
            <w:vAlign w:val="center"/>
            <w:hideMark/>
          </w:tcPr>
          <w:p w:rsidR="00B10DDF" w:rsidRPr="00C13717" w:rsidP="00C13717">
            <w:pPr>
              <w:pStyle w:val="ListParagraph"/>
              <w:numPr>
                <w:numId w:val="8"/>
              </w:numPr>
              <w:bidi w:val="0"/>
              <w:spacing w:after="250" w:line="240" w:lineRule="auto"/>
              <w:rPr>
                <w:rFonts w:ascii="Times" w:hAnsi="Times" w:cs="Times"/>
                <w:sz w:val="25"/>
                <w:szCs w:val="25"/>
              </w:rPr>
            </w:pPr>
            <w:r w:rsidRPr="00C13717">
              <w:rPr>
                <w:rFonts w:ascii="Times" w:hAnsi="Times" w:cs="Times"/>
                <w:sz w:val="25"/>
                <w:szCs w:val="25"/>
              </w:rPr>
              <w:t>Ministerstvo zdravotníctva Slovenskej republiky</w:t>
              <w:br/>
            </w:r>
          </w:p>
        </w:tc>
      </w:tr>
    </w:tbl>
    <w:p w:rsidR="003D0DA4" w:rsidRPr="00117A7E" w:rsidP="00814DF5">
      <w:pPr>
        <w:tabs>
          <w:tab w:val="left" w:pos="360"/>
        </w:tabs>
        <w:bidi w:val="0"/>
        <w:jc w:val="both"/>
        <w:rPr>
          <w:rFonts w:ascii="Times New Roman" w:hAnsi="Times New Roman"/>
        </w:rPr>
      </w:pP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484D"/>
    <w:multiLevelType w:val="hybridMultilevel"/>
    <w:tmpl w:val="81A87962"/>
    <w:lvl w:ilvl="0">
      <w:start w:val="3"/>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E01323C"/>
    <w:multiLevelType w:val="hybridMultilevel"/>
    <w:tmpl w:val="F5C89F76"/>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34613B58"/>
    <w:multiLevelType w:val="hybridMultilevel"/>
    <w:tmpl w:val="1EF280DA"/>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25B21DE"/>
    <w:multiLevelType w:val="hybridMultilevel"/>
    <w:tmpl w:val="2078F9F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40D364A"/>
    <w:multiLevelType w:val="hybridMultilevel"/>
    <w:tmpl w:val="81F8AA50"/>
    <w:lvl w:ilvl="0">
      <w:start w:val="2"/>
      <w:numFmt w:val="bullet"/>
      <w:lvlText w:val="-"/>
      <w:lvlJc w:val="left"/>
      <w:pPr>
        <w:ind w:left="76" w:hanging="360"/>
      </w:pPr>
      <w:rPr>
        <w:rFonts w:ascii="Times" w:eastAsia="Times New Roman" w:hAnsi="Times" w:hint="default"/>
        <w:i/>
        <w:sz w:val="25"/>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5">
    <w:nsid w:val="5E5642E0"/>
    <w:multiLevelType w:val="hybridMultilevel"/>
    <w:tmpl w:val="0E729AC6"/>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E8B16FD"/>
    <w:multiLevelType w:val="hybridMultilevel"/>
    <w:tmpl w:val="A0F68696"/>
    <w:lvl w:ilvl="0">
      <w:start w:val="2"/>
      <w:numFmt w:val="bullet"/>
      <w:lvlText w:val="-"/>
      <w:lvlJc w:val="left"/>
      <w:pPr>
        <w:ind w:left="1080" w:hanging="360"/>
      </w:pPr>
      <w:rPr>
        <w:rFonts w:ascii="Times New Roman" w:eastAsia="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6EA86961"/>
    <w:multiLevelType w:val="hybridMultilevel"/>
    <w:tmpl w:val="BA54A460"/>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
  <w:rsids>
    <w:rsidRoot w:val="00824CCF"/>
    <w:rsid w:val="00010D7F"/>
    <w:rsid w:val="00054456"/>
    <w:rsid w:val="00064E28"/>
    <w:rsid w:val="000C03E4"/>
    <w:rsid w:val="000C5887"/>
    <w:rsid w:val="00114DA9"/>
    <w:rsid w:val="00117A7E"/>
    <w:rsid w:val="001C49D9"/>
    <w:rsid w:val="001D60ED"/>
    <w:rsid w:val="001F0AA3"/>
    <w:rsid w:val="0020025E"/>
    <w:rsid w:val="0023485C"/>
    <w:rsid w:val="002B14DD"/>
    <w:rsid w:val="002E6AC0"/>
    <w:rsid w:val="002F1893"/>
    <w:rsid w:val="003841E0"/>
    <w:rsid w:val="003D0DA4"/>
    <w:rsid w:val="003E6A7A"/>
    <w:rsid w:val="00482868"/>
    <w:rsid w:val="004A3CCB"/>
    <w:rsid w:val="004B1E6E"/>
    <w:rsid w:val="004C1D4E"/>
    <w:rsid w:val="004E7F23"/>
    <w:rsid w:val="00596545"/>
    <w:rsid w:val="005968BC"/>
    <w:rsid w:val="005E7138"/>
    <w:rsid w:val="00632C56"/>
    <w:rsid w:val="006629CE"/>
    <w:rsid w:val="006C0FA0"/>
    <w:rsid w:val="006E1D9C"/>
    <w:rsid w:val="006F3E6F"/>
    <w:rsid w:val="0075648A"/>
    <w:rsid w:val="00785F65"/>
    <w:rsid w:val="007F5B72"/>
    <w:rsid w:val="00806932"/>
    <w:rsid w:val="00814DF5"/>
    <w:rsid w:val="00824CCF"/>
    <w:rsid w:val="00831E27"/>
    <w:rsid w:val="00847169"/>
    <w:rsid w:val="008570D4"/>
    <w:rsid w:val="008655C8"/>
    <w:rsid w:val="008D1257"/>
    <w:rsid w:val="008E2891"/>
    <w:rsid w:val="00970F68"/>
    <w:rsid w:val="009C63EB"/>
    <w:rsid w:val="009D7707"/>
    <w:rsid w:val="00A7320A"/>
    <w:rsid w:val="00B10DDF"/>
    <w:rsid w:val="00B128CD"/>
    <w:rsid w:val="00B326AA"/>
    <w:rsid w:val="00BF4B87"/>
    <w:rsid w:val="00C12975"/>
    <w:rsid w:val="00C13717"/>
    <w:rsid w:val="00C64366"/>
    <w:rsid w:val="00C90146"/>
    <w:rsid w:val="00CA5D08"/>
    <w:rsid w:val="00CD52D5"/>
    <w:rsid w:val="00D14B99"/>
    <w:rsid w:val="00D465F6"/>
    <w:rsid w:val="00D5344B"/>
    <w:rsid w:val="00D7275F"/>
    <w:rsid w:val="00D75FDD"/>
    <w:rsid w:val="00DB3DB1"/>
    <w:rsid w:val="00DC377E"/>
    <w:rsid w:val="00DC3BFE"/>
    <w:rsid w:val="00E00499"/>
    <w:rsid w:val="00E314C5"/>
    <w:rsid w:val="00E85F6B"/>
    <w:rsid w:val="00EC5BF8"/>
    <w:rsid w:val="00FA32F7"/>
    <w:rsid w:val="00FD64B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nhideWhenUsed="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
    <w:qFormat/>
    <w:rsid w:val="009C63EB"/>
    <w:pPr>
      <w:widowControl/>
      <w:autoSpaceDE/>
      <w:autoSpaceDN/>
      <w:adjustRightInd/>
      <w:spacing w:before="100" w:beforeAutospacing="1" w:after="100" w:afterAutospacing="1"/>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locked/>
    <w:rsid w:val="009C63EB"/>
    <w:rPr>
      <w:rFonts w:cs="Times New Roman"/>
      <w:b/>
      <w:bCs/>
      <w:sz w:val="20"/>
      <w:szCs w:val="20"/>
      <w:rtl w:val="0"/>
      <w:cs w:val="0"/>
    </w:rPr>
  </w:style>
  <w:style w:type="character" w:styleId="CommentReference">
    <w:name w:val="annotation reference"/>
    <w:basedOn w:val="DefaultParagraphFont"/>
    <w:uiPriority w:val="99"/>
    <w:semiHidden/>
    <w:unhideWhenUsed/>
    <w:rsid w:val="00EC5BF8"/>
    <w:rPr>
      <w:rFonts w:cs="Times New Roman"/>
      <w:sz w:val="16"/>
      <w:szCs w:val="16"/>
      <w:rtl w:val="0"/>
      <w:cs w:val="0"/>
    </w:rPr>
  </w:style>
  <w:style w:type="paragraph" w:styleId="CommentText">
    <w:name w:val="annotation text"/>
    <w:basedOn w:val="Normal"/>
    <w:link w:val="TextkomentraChar"/>
    <w:uiPriority w:val="99"/>
    <w:semiHidden/>
    <w:unhideWhenUsed/>
    <w:rsid w:val="00EC5BF8"/>
    <w:pPr>
      <w:jc w:val="left"/>
    </w:pPr>
    <w:rPr>
      <w:sz w:val="20"/>
      <w:szCs w:val="20"/>
    </w:rPr>
  </w:style>
  <w:style w:type="character" w:customStyle="1" w:styleId="TextkomentraChar">
    <w:name w:val="Text komentára Char"/>
    <w:basedOn w:val="DefaultParagraphFont"/>
    <w:link w:val="CommentText"/>
    <w:uiPriority w:val="99"/>
    <w:semiHidden/>
    <w:locked/>
    <w:rsid w:val="00EC5BF8"/>
    <w:rPr>
      <w:rFonts w:cs="Times New Roman"/>
      <w:sz w:val="20"/>
      <w:szCs w:val="20"/>
      <w:rtl w:val="0"/>
      <w:cs w:val="0"/>
      <w:lang w:val="ru-RU" w:eastAsia="x-none"/>
    </w:rPr>
  </w:style>
  <w:style w:type="paragraph" w:styleId="CommentSubject">
    <w:name w:val="annotation subject"/>
    <w:basedOn w:val="CommentText"/>
    <w:next w:val="CommentText"/>
    <w:link w:val="PredmetkomentraChar"/>
    <w:uiPriority w:val="99"/>
    <w:semiHidden/>
    <w:unhideWhenUsed/>
    <w:rsid w:val="00EC5BF8"/>
    <w:pPr>
      <w:jc w:val="left"/>
    </w:pPr>
    <w:rPr>
      <w:b/>
      <w:bCs/>
    </w:rPr>
  </w:style>
  <w:style w:type="character" w:customStyle="1" w:styleId="PredmetkomentraChar">
    <w:name w:val="Predmet komentára Char"/>
    <w:basedOn w:val="TextkomentraChar"/>
    <w:link w:val="CommentSubject"/>
    <w:uiPriority w:val="99"/>
    <w:semiHidden/>
    <w:locked/>
    <w:rsid w:val="00EC5BF8"/>
    <w:rPr>
      <w:b/>
      <w:bCs/>
    </w:rPr>
  </w:style>
  <w:style w:type="paragraph" w:styleId="BalloonText">
    <w:name w:val="Balloon Text"/>
    <w:basedOn w:val="Normal"/>
    <w:link w:val="TextbublinyChar"/>
    <w:uiPriority w:val="99"/>
    <w:semiHidden/>
    <w:unhideWhenUsed/>
    <w:rsid w:val="00EC5BF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C5BF8"/>
    <w:rPr>
      <w:rFonts w:ascii="Tahoma" w:hAnsi="Tahoma" w:cs="Tahoma"/>
      <w:sz w:val="16"/>
      <w:szCs w:val="16"/>
      <w:rtl w:val="0"/>
      <w:cs w:val="0"/>
      <w:lang w:val="ru-RU" w:eastAsia="x-none"/>
    </w:rPr>
  </w:style>
  <w:style w:type="paragraph" w:styleId="ListParagraph">
    <w:name w:val="List Paragraph"/>
    <w:basedOn w:val="Normal"/>
    <w:uiPriority w:val="99"/>
    <w:qFormat/>
    <w:rsid w:val="00E85F6B"/>
    <w:pPr>
      <w:ind w:left="720"/>
      <w:contextualSpacing/>
      <w:jc w:val="left"/>
    </w:pPr>
  </w:style>
  <w:style w:type="table" w:styleId="TableGrid">
    <w:name w:val="Table Grid"/>
    <w:basedOn w:val="TableNormal"/>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rsid w:val="00C64366"/>
    <w:pPr>
      <w:framePr w:wrap="auto"/>
      <w:widowControl/>
      <w:pBdr>
        <w:top w:val="nil"/>
        <w:left w:val="nil"/>
        <w:bottom w:val="nil"/>
        <w:right w:val="nil"/>
      </w:pBdr>
      <w:autoSpaceDE/>
      <w:autoSpaceDN/>
      <w:adjustRightInd/>
      <w:ind w:left="360" w:right="0"/>
      <w:jc w:val="center"/>
      <w:textAlignment w:val="auto"/>
    </w:pPr>
    <w:rPr>
      <w:rFonts w:cs="Arial Unicode MS"/>
      <w:color w:val="000000"/>
      <w:sz w:val="24"/>
      <w:szCs w:val="24"/>
      <w:u w:color="000000"/>
      <w:rtl w:val="0"/>
      <w:cs w:val="0"/>
      <w:lang w:val="sk-SK" w:eastAsia="sk-SK" w:bidi="ar-SA"/>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23.6.2016 15:02:02"/>
    <f:field ref="objchangedby" par="" text="Administrator, System"/>
    <f:field ref="objmodifiedat" par="" text="23.6.2016 15:02:07"/>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820498-5356-4D2D-8F6D-299B2932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497</Words>
  <Characters>2839</Characters>
  <Application>Microsoft Office Word</Application>
  <DocSecurity>0</DocSecurity>
  <Lines>0</Lines>
  <Paragraphs>0</Paragraphs>
  <ScaleCrop>false</ScaleCrop>
  <Company>Hewlett-Packard Company</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Vincová Veronika</cp:lastModifiedBy>
  <cp:revision>2</cp:revision>
  <cp:lastPrinted>2017-09-19T16:34:00Z</cp:lastPrinted>
  <dcterms:created xsi:type="dcterms:W3CDTF">2018-01-31T10:05:00Z</dcterms:created>
  <dcterms:modified xsi:type="dcterms:W3CDTF">2018-01-31T10:05:00Z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COO.2145.1000.3.1472801</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bezpredmetné</vt:lpwstr>
  </property>
  <property fmtid="{D5CDD505-2E9C-101B-9397-08002B2CF9AE}" pid="16" name="FSC#SKEDITIONSLOVLEX@103.510:AttrStrListDocPropInfoZaciatokKonania">
    <vt:lpwstr>proti Slovenskej republike je začaté konanie podľa čl. 258 až 260 o porušení Zmluvy o fungovaní Európskej únie - Odôvodnené stanovisko – Porušenie č.2014/4141 C(2016) 3065 final zo dňa 26. 05. 2016</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Predložený návrh nemá vplyv na rozpočet verejnej správy. Predložený návrh nezakladá zvýšené nároky na štátny rozpočet vo výdavkovej časti. Predkladaný návrh zákona nezaťaží podnikateľský sektor správnymi poplatkami, na druhej strane prispeje k sprehľadnen</vt:lpwstr>
  </property>
  <property fmtid="{D5CDD505-2E9C-101B-9397-08002B2CF9AE}" pid="23" name="FSC#SKEDITIONSLOVLEX@103.510:AttrStrListDocPropPrimarnePravoEU">
    <vt:lpwstr>Zmluva o fungovaní Európskej únie (Hlava XIV – Verejné zdravie) je upravená v článku 168 prostredníctvom, ktorého Európska únia podporuje a zameriava sa na zlepšenie verejného zdravia, prevenciu ľudských chorôb a ochorení, a odstraňovanie zdrojov nebezpeč</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z ...................... 2016, ktorým sa mení a dopĺňa zákon č. 362/2011 Z. z. o liekoch a zdravotníckych pomôckach a o zmene a doplnení niektor</vt:lpwstr>
  </property>
  <property fmtid="{D5CDD505-2E9C-101B-9397-08002B2CF9AE}" pid="32" name="FSC#SKEDITIONSLOVLEX@103.510:AttrStrListDocPropTextPredklSpravy">
    <vt:lpwstr>&lt;p style="text-align: justify;"&gt;Cieľom návrhu zákona, ktorým sa mení a&amp;nbsp; dopĺňa zákon č. 362/2011 Z. z. o&amp;nbsp;liekoch&amp;nbsp; a&amp;nbsp;zdravotníckych pomôckach a o zmene a doplnení niektorých zákonov v&amp;nbsp;znení neskorších predpisov, je odstrániť výhrad</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LP/2016/650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ministera zdravotníctva Slovenskej republiky</vt:lpwstr>
  </property>
  <property fmtid="{D5CDD505-2E9C-101B-9397-08002B2CF9AE}" pid="123" name="FSC#SKEDITIONSLOVLEX@103.510:funkciaZodpPredDativ">
    <vt:lpwstr>ministerovi zdravotníctva Slovenskej republiky</vt:lpwstr>
  </property>
  <property fmtid="{D5CDD505-2E9C-101B-9397-08002B2CF9AE}" pid="124" name="FSC#SKEDITIONSLOVLEX@103.510:legoblast">
    <vt:lpwstr>Správne právo</vt:lpwstr>
  </property>
  <property fmtid="{D5CDD505-2E9C-101B-9397-08002B2CF9AE}" pid="125" name="FSC#SKEDITIONSLOVLEX@103.510:nazovpredpis">
    <vt:lpwstr> z ...................... 2016, ktorým sa mení a dopĺňa zákon č. 362/2011 Z. z. o liekoch a zdravotníckych pomôckach a o zmene a doplnení niektorých zákonov v znení neskorších predpisov a ktorým sa mení zákon č. 363/2011 Z. z. o rozsahu a podmienkach úhra</vt:lpwstr>
  </property>
  <property fmtid="{D5CDD505-2E9C-101B-9397-08002B2CF9AE}" pid="126" name="FSC#SKEDITIONSLOVLEX@103.510:nazovpredpis1">
    <vt:lpwstr>dy liekov, zdravotníckych pomôcok a dietetických potravín na základe verejného zdravotného poistenia a o zmene a doplnení niektorých zákonov v znení neskorších predpisov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z ...................... 2016, ktorým sa mení a dopĺňa zákon č. 362/2011 Z. z. o liekoch a zdravotníckych pomôckach a o zmene a doplnení niektorých zákonov v znení neskorších predpisov a ktorým sa mení zákon č. 363/2011 Z. z. o rozsahu a podmienkac</vt:lpwstr>
  </property>
  <property fmtid="{D5CDD505-2E9C-101B-9397-08002B2CF9AE}" pid="132" name="FSC#SKEDITIONSLOVLEX@103.510:plnynazovpredpis1">
    <vt:lpwstr>h úhrady liekov, zdravotníckych pomôcok a dietetických potravín na základe verejného zdravotného poistenia a o zmene a doplnení niektorých zákonov v znení neskorších predpisov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republiky_x000D__x000D_na rok 2016</vt:lpwstr>
  </property>
  <property fmtid="{D5CDD505-2E9C-101B-9397-08002B2CF9AE}" pid="136" name="FSC#SKEDITIONSLOVLEX@103.510:povodpredpis">
    <vt:lpwstr>Slovlex (eLeg)</vt:lpwstr>
  </property>
  <property fmtid="{D5CDD505-2E9C-101B-9397-08002B2CF9AE}" pid="137" name="FSC#SKEDITIONSLOVLEX@103.510:predkladatel">
    <vt:lpwstr>Mgr. Veronika Vincová</vt:lpwstr>
  </property>
  <property fmtid="{D5CDD505-2E9C-101B-9397-08002B2CF9AE}" pid="138" name="FSC#SKEDITIONSLOVLEX@103.510:predkladateliaObalSD">
    <vt:lpwstr>Tomáš Drucker_x000D__x000D_minister zdravotníctva Slovenskej republiky</vt:lpwstr>
  </property>
  <property fmtid="{D5CDD505-2E9C-101B-9397-08002B2CF9AE}" pid="139" name="FSC#SKEDITIONSLOVLEX@103.510:pripomienkovatelia">
    <vt:lpwstr/>
  </property>
  <property fmtid="{D5CDD505-2E9C-101B-9397-08002B2CF9AE}" pid="140" name="FSC#SKEDITIONSLOVLEX@103.510:rezortcislopredpis">
    <vt:lpwstr>S05211-OL-2016</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zlučiteľnosti</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