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501A1" w:rsidRPr="00A179AE" w:rsidP="003501A1">
      <w:pPr>
        <w:bidi w:val="0"/>
        <w:jc w:val="center"/>
        <w:rPr>
          <w:rFonts w:ascii="Times New Roman" w:hAnsi="Times New Roman"/>
          <w:b/>
          <w:bCs/>
          <w:sz w:val="28"/>
          <w:szCs w:val="28"/>
        </w:rPr>
      </w:pPr>
      <w:r>
        <w:rPr>
          <w:rFonts w:ascii="Times New Roman" w:hAnsi="Times New Roman"/>
          <w:b/>
          <w:bCs/>
          <w:sz w:val="28"/>
          <w:szCs w:val="28"/>
        </w:rPr>
        <w:t>Doložka vybraných vplyvov</w:t>
      </w:r>
    </w:p>
    <w:p w:rsidR="003501A1" w:rsidRPr="00BF3078" w:rsidP="003501A1">
      <w:pPr>
        <w:pStyle w:val="ListParagraph"/>
        <w:bidi w:val="0"/>
        <w:ind w:left="426"/>
        <w:rPr>
          <w:b/>
        </w:rPr>
      </w:pPr>
    </w:p>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2"/>
        <w:gridCol w:w="705"/>
        <w:gridCol w:w="717"/>
        <w:gridCol w:w="569"/>
        <w:gridCol w:w="1417"/>
        <w:gridCol w:w="1560"/>
      </w:tblGrid>
      <w:tr>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9180" w:type="dxa"/>
            <w:gridSpan w:val="6"/>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E13354" w:rsidRPr="00390FF8" w:rsidP="00390FF8">
            <w:pPr>
              <w:pStyle w:val="ListParagraph"/>
              <w:numPr>
                <w:numId w:val="1"/>
              </w:numPr>
              <w:bidi w:val="0"/>
              <w:spacing w:after="0" w:line="240" w:lineRule="auto"/>
              <w:ind w:left="426"/>
              <w:rPr>
                <w:rFonts w:ascii="Times New Roman" w:hAnsi="Times New Roman"/>
                <w:b/>
              </w:rPr>
            </w:pPr>
            <w:r w:rsidRPr="00390FF8" w:rsidR="003501A1">
              <w:rPr>
                <w:rFonts w:ascii="Times New Roman" w:hAnsi="Times New Roman"/>
                <w:b/>
              </w:rPr>
              <w:t>Základné údaje</w:t>
            </w:r>
          </w:p>
        </w:tc>
      </w:tr>
      <w:tr>
        <w:tblPrEx>
          <w:tblW w:w="9180" w:type="dxa"/>
          <w:tblLayout w:type="fixed"/>
          <w:tblLook w:val="04A0"/>
        </w:tblPrEx>
        <w:tc>
          <w:tcPr>
            <w:tcW w:w="9180" w:type="dxa"/>
            <w:gridSpan w:val="6"/>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390FF8" w:rsidP="00390FF8">
            <w:pPr>
              <w:pStyle w:val="ListParagraph"/>
              <w:bidi w:val="0"/>
              <w:ind w:left="142"/>
              <w:rPr>
                <w:rFonts w:ascii="Times New Roman" w:hAnsi="Times New Roman"/>
                <w:b/>
              </w:rPr>
            </w:pPr>
            <w:r w:rsidRPr="00390FF8">
              <w:rPr>
                <w:rFonts w:ascii="Times New Roman" w:hAnsi="Times New Roman"/>
                <w:b/>
              </w:rPr>
              <w:t>Názov materiálu</w:t>
            </w:r>
          </w:p>
        </w:tc>
      </w:tr>
      <w:tr>
        <w:tblPrEx>
          <w:tblW w:w="9180" w:type="dxa"/>
          <w:tblLayout w:type="fixed"/>
          <w:tblLook w:val="04A0"/>
        </w:tblPrEx>
        <w:tc>
          <w:tcPr>
            <w:tcW w:w="9180" w:type="dxa"/>
            <w:gridSpan w:val="6"/>
            <w:tcBorders>
              <w:top w:val="single" w:sz="4" w:space="0" w:color="FFFFFF"/>
              <w:left w:val="single" w:sz="4" w:space="0" w:color="auto"/>
              <w:bottom w:val="single" w:sz="4" w:space="0" w:color="auto"/>
              <w:right w:val="single" w:sz="4" w:space="0" w:color="auto"/>
            </w:tcBorders>
            <w:textDirection w:val="lrTb"/>
            <w:vAlign w:val="top"/>
          </w:tcPr>
          <w:tbl>
            <w:tblPr>
              <w:tblStyle w:val="TableNormal"/>
              <w:tblW w:w="0" w:type="auto"/>
              <w:tblLayout w:type="fixed"/>
            </w:tblPr>
            <w:tblGrid>
              <w:gridCol w:w="8407"/>
            </w:tblGrid>
            <w:tr>
              <w:tblPrEx>
                <w:tblW w:w="0" w:type="auto"/>
                <w:tblLayout w:type="fixed"/>
              </w:tblPrEx>
              <w:trPr>
                <w:trHeight w:val="205"/>
              </w:trPr>
              <w:tc>
                <w:tcPr>
                  <w:tcW w:w="8407" w:type="dxa"/>
                  <w:tcBorders>
                    <w:top w:val="none" w:sz="0" w:space="0" w:color="auto"/>
                    <w:left w:val="none" w:sz="0" w:space="0" w:color="auto"/>
                    <w:bottom w:val="none" w:sz="0" w:space="0" w:color="auto"/>
                    <w:right w:val="none" w:sz="0" w:space="0" w:color="auto"/>
                  </w:tcBorders>
                  <w:textDirection w:val="lrTb"/>
                  <w:vAlign w:val="top"/>
                </w:tcPr>
                <w:p w:rsidR="005E04FA" w:rsidRPr="00B164B5" w:rsidP="0080206A">
                  <w:pPr>
                    <w:bidi w:val="0"/>
                    <w:rPr>
                      <w:rFonts w:ascii="Times New Roman" w:hAnsi="Times New Roman"/>
                      <w:i/>
                    </w:rPr>
                  </w:pPr>
                  <w:r w:rsidRPr="00B164B5">
                    <w:rPr>
                      <w:rFonts w:ascii="Times New Roman" w:hAnsi="Times New Roman"/>
                      <w:i/>
                    </w:rPr>
                    <w:t>Návrh zákona</w:t>
                  </w:r>
                  <w:r w:rsidR="00267F3C">
                    <w:rPr>
                      <w:rFonts w:ascii="Times New Roman" w:hAnsi="Times New Roman"/>
                      <w:i/>
                    </w:rPr>
                    <w:t xml:space="preserve"> z ......... 2018</w:t>
                  </w:r>
                  <w:r w:rsidRPr="00B164B5">
                    <w:rPr>
                      <w:rFonts w:ascii="Times New Roman" w:hAnsi="Times New Roman"/>
                      <w:i/>
                    </w:rPr>
                    <w:t>,</w:t>
                  </w:r>
                  <w:r w:rsidRPr="00B164B5" w:rsidR="0009386D">
                    <w:rPr>
                      <w:rFonts w:ascii="Times New Roman" w:hAnsi="Times New Roman"/>
                      <w:i/>
                    </w:rPr>
                    <w:t xml:space="preserve"> </w:t>
                  </w:r>
                  <w:r w:rsidRPr="0080206A" w:rsidR="0080206A">
                    <w:rPr>
                      <w:rFonts w:ascii="Times New Roman" w:hAnsi="Times New Roman"/>
                      <w:i/>
                    </w:rPr>
                    <w:t>ktorým sa mení a  dopĺňa zákon č. 362/2011 Z. z. o liekoch  a zdravotníckych pomôckach a o zmene a doplnení niektorých zákonov v znení neskorších predpisov a ktorým sa menia a dopĺňajú niektoré zákony</w:t>
                  </w:r>
                </w:p>
              </w:tc>
            </w:tr>
          </w:tbl>
          <w:p w:rsidR="003501A1" w:rsidRPr="00A179AE" w:rsidP="005C2A8E">
            <w:pPr>
              <w:bidi w:val="0"/>
              <w:rPr>
                <w:rFonts w:ascii="Times New Roman" w:hAnsi="Times New Roman"/>
              </w:rPr>
            </w:pPr>
          </w:p>
        </w:tc>
      </w:tr>
      <w:tr>
        <w:tblPrEx>
          <w:tblW w:w="9180" w:type="dxa"/>
          <w:tblLayout w:type="fixed"/>
          <w:tblLook w:val="04A0"/>
        </w:tblPrEx>
        <w:tc>
          <w:tcPr>
            <w:tcW w:w="9180" w:type="dxa"/>
            <w:gridSpan w:val="6"/>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390FF8" w:rsidP="00390FF8">
            <w:pPr>
              <w:pStyle w:val="ListParagraph"/>
              <w:bidi w:val="0"/>
              <w:ind w:left="142"/>
              <w:rPr>
                <w:rFonts w:ascii="Times New Roman" w:hAnsi="Times New Roman"/>
                <w:b/>
              </w:rPr>
            </w:pPr>
            <w:r w:rsidRPr="00390FF8">
              <w:rPr>
                <w:rFonts w:ascii="Times New Roman" w:hAnsi="Times New Roman"/>
                <w:b/>
              </w:rPr>
              <w:t>Predkladateľ (a spolupredkladateľ)</w:t>
            </w:r>
          </w:p>
        </w:tc>
      </w:tr>
      <w:tr>
        <w:tblPrEx>
          <w:tblW w:w="9180" w:type="dxa"/>
          <w:tblLayout w:type="fixed"/>
          <w:tblLook w:val="04A0"/>
        </w:tblPrEx>
        <w:tc>
          <w:tcPr>
            <w:tcW w:w="9180" w:type="dxa"/>
            <w:gridSpan w:val="6"/>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501A1" w:rsidRPr="00B164B5" w:rsidP="005C2A8E">
            <w:pPr>
              <w:bidi w:val="0"/>
              <w:rPr>
                <w:rFonts w:ascii="Times New Roman" w:hAnsi="Times New Roman"/>
                <w:i/>
              </w:rPr>
            </w:pPr>
            <w:r w:rsidRPr="00B164B5" w:rsidR="00A8103A">
              <w:rPr>
                <w:rFonts w:ascii="Times New Roman" w:hAnsi="Times New Roman"/>
                <w:i/>
              </w:rPr>
              <w:t xml:space="preserve">  </w:t>
            </w:r>
            <w:r w:rsidRPr="00B164B5" w:rsidR="00F404CC">
              <w:rPr>
                <w:rFonts w:ascii="Times New Roman" w:hAnsi="Times New Roman"/>
                <w:i/>
              </w:rPr>
              <w:t xml:space="preserve">Ministerstvo zdravotníctva Slovenskej </w:t>
            </w:r>
            <w:r w:rsidRPr="00B164B5" w:rsidR="001C026E">
              <w:rPr>
                <w:rFonts w:ascii="Times New Roman" w:hAnsi="Times New Roman"/>
                <w:i/>
              </w:rPr>
              <w:t>r</w:t>
            </w:r>
            <w:r w:rsidRPr="00B164B5" w:rsidR="00F404CC">
              <w:rPr>
                <w:rFonts w:ascii="Times New Roman" w:hAnsi="Times New Roman"/>
                <w:i/>
              </w:rPr>
              <w:t>epubliky</w:t>
            </w:r>
            <w:r w:rsidRPr="00B164B5" w:rsidR="001C026E">
              <w:rPr>
                <w:rFonts w:ascii="Times New Roman" w:hAnsi="Times New Roman"/>
                <w:i/>
              </w:rPr>
              <w:t xml:space="preserve"> </w:t>
            </w:r>
            <w:r w:rsidRPr="00B164B5" w:rsidR="00A8103A">
              <w:rPr>
                <w:rFonts w:ascii="Times New Roman" w:hAnsi="Times New Roman"/>
                <w:i/>
              </w:rPr>
              <w:t>(</w:t>
            </w:r>
            <w:r w:rsidRPr="00B164B5" w:rsidR="001C026E">
              <w:rPr>
                <w:rFonts w:ascii="Times New Roman" w:hAnsi="Times New Roman"/>
                <w:i/>
              </w:rPr>
              <w:t>so Štátnym ústavom pre kontrolu liečiv</w:t>
            </w:r>
            <w:r w:rsidRPr="00B164B5" w:rsidR="00A8103A">
              <w:rPr>
                <w:rFonts w:ascii="Times New Roman" w:hAnsi="Times New Roman"/>
                <w:i/>
              </w:rPr>
              <w:t>)</w:t>
            </w:r>
          </w:p>
          <w:p w:rsidR="003501A1" w:rsidRPr="00B164B5" w:rsidP="005C2A8E">
            <w:pPr>
              <w:bidi w:val="0"/>
              <w:rPr>
                <w:rFonts w:ascii="Times New Roman" w:hAnsi="Times New Roman"/>
                <w:i/>
              </w:rPr>
            </w:pPr>
          </w:p>
        </w:tc>
      </w:tr>
      <w:tr>
        <w:tblPrEx>
          <w:tblW w:w="9180" w:type="dxa"/>
          <w:tblLayout w:type="fixed"/>
          <w:tblLook w:val="04A0"/>
        </w:tblPrEx>
        <w:tc>
          <w:tcPr>
            <w:tcW w:w="4212" w:type="dxa"/>
            <w:vMerge w:val="restart"/>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3501A1" w:rsidRPr="00390FF8" w:rsidP="00390FF8">
            <w:pPr>
              <w:pStyle w:val="ListParagraph"/>
              <w:bidi w:val="0"/>
              <w:ind w:left="142"/>
              <w:rPr>
                <w:rFonts w:ascii="Times New Roman" w:hAnsi="Times New Roman"/>
                <w:b/>
              </w:rPr>
            </w:pPr>
            <w:r w:rsidRPr="00390FF8">
              <w:rPr>
                <w:rFonts w:ascii="Times New Roman" w:hAnsi="Times New Roman"/>
                <w:b/>
              </w:rPr>
              <w:t>Charakter predkladaného materiálu</w:t>
            </w:r>
          </w:p>
        </w:tc>
        <w:tc>
          <w:tcPr>
            <w:tcW w:w="705" w:type="dxa"/>
            <w:tcBorders>
              <w:top w:val="single" w:sz="4" w:space="0" w:color="auto"/>
              <w:left w:val="single" w:sz="4" w:space="0" w:color="auto"/>
              <w:bottom w:val="single" w:sz="4" w:space="0" w:color="auto"/>
              <w:right w:val="nil"/>
            </w:tcBorders>
            <w:shd w:val="clear" w:color="auto" w:fill="FFFFFF"/>
            <w:textDirection w:val="lrTb"/>
            <w:vAlign w:val="top"/>
          </w:tcPr>
          <w:p w:rsidR="003501A1" w:rsidRPr="00A179AE" w:rsidP="00390FF8">
            <w:pPr>
              <w:bidi w:val="0"/>
              <w:jc w:val="center"/>
              <w:rPr>
                <w:rFonts w:ascii="Times New Roman" w:hAnsi="Times New Roman"/>
              </w:rPr>
            </w:pPr>
            <w:r w:rsidRPr="00390FF8">
              <w:rPr>
                <w:rFonts w:ascii="Segoe UI Symbol" w:eastAsia="MS Mincho" w:hAnsi="Segoe UI Symbol" w:cs="Segoe UI Symbol" w:hint="default"/>
              </w:rPr>
              <w:t>☐</w:t>
            </w:r>
          </w:p>
        </w:tc>
        <w:tc>
          <w:tcPr>
            <w:tcW w:w="4263" w:type="dxa"/>
            <w:gridSpan w:val="4"/>
            <w:tcBorders>
              <w:top w:val="single" w:sz="4" w:space="0" w:color="auto"/>
              <w:left w:val="nil"/>
              <w:bottom w:val="single" w:sz="4" w:space="0" w:color="auto"/>
              <w:right w:val="single" w:sz="4" w:space="0" w:color="auto"/>
            </w:tcBorders>
            <w:shd w:val="clear" w:color="auto" w:fill="FFFFFF"/>
            <w:textDirection w:val="lrTb"/>
            <w:vAlign w:val="top"/>
          </w:tcPr>
          <w:p w:rsidR="003501A1" w:rsidRPr="00A179AE" w:rsidP="005C2A8E">
            <w:pPr>
              <w:bidi w:val="0"/>
              <w:rPr>
                <w:rFonts w:ascii="Times New Roman" w:hAnsi="Times New Roman"/>
              </w:rPr>
            </w:pPr>
            <w:r w:rsidRPr="00A179AE">
              <w:rPr>
                <w:rFonts w:ascii="Times New Roman" w:hAnsi="Times New Roman"/>
              </w:rPr>
              <w:t>Materiál nelegislatívnej povahy</w:t>
            </w:r>
          </w:p>
        </w:tc>
      </w:tr>
      <w:tr>
        <w:tblPrEx>
          <w:tblW w:w="9180" w:type="dxa"/>
          <w:tblLayout w:type="fixed"/>
          <w:tblLook w:val="04A0"/>
        </w:tblPrEx>
        <w:tc>
          <w:tcPr>
            <w:tcW w:w="4212" w:type="dxa"/>
            <w:vMerge/>
            <w:tcBorders>
              <w:top w:val="nil"/>
              <w:left w:val="single" w:sz="4" w:space="0" w:color="auto"/>
              <w:bottom w:val="single" w:sz="4" w:space="0" w:color="FFFFFF"/>
              <w:right w:val="single" w:sz="4" w:space="0" w:color="auto"/>
            </w:tcBorders>
            <w:shd w:val="clear" w:color="auto" w:fill="E2E2E2"/>
            <w:textDirection w:val="lrTb"/>
            <w:vAlign w:val="top"/>
          </w:tcPr>
          <w:p w:rsidR="003501A1" w:rsidRPr="00A179AE" w:rsidP="005C2A8E">
            <w:pPr>
              <w:bidi w:val="0"/>
              <w:rPr>
                <w:rFonts w:ascii="Times New Roman" w:hAnsi="Times New Roman"/>
              </w:rPr>
            </w:pPr>
          </w:p>
        </w:tc>
        <w:tc>
          <w:tcPr>
            <w:tcW w:w="705" w:type="dxa"/>
            <w:tcBorders>
              <w:top w:val="single" w:sz="4" w:space="0" w:color="auto"/>
              <w:left w:val="single" w:sz="4" w:space="0" w:color="auto"/>
              <w:bottom w:val="single" w:sz="4" w:space="0" w:color="auto"/>
              <w:right w:val="nil"/>
            </w:tcBorders>
            <w:shd w:val="clear" w:color="auto" w:fill="FFFFFF"/>
            <w:textDirection w:val="lrTb"/>
            <w:vAlign w:val="top"/>
          </w:tcPr>
          <w:p w:rsidR="003501A1" w:rsidRPr="00A179AE" w:rsidP="00390FF8">
            <w:pPr>
              <w:bidi w:val="0"/>
              <w:jc w:val="center"/>
              <w:rPr>
                <w:rFonts w:ascii="Times New Roman" w:hAnsi="Times New Roman"/>
              </w:rPr>
            </w:pPr>
            <w:r w:rsidRPr="00390FF8" w:rsidR="00F404CC">
              <w:rPr>
                <w:rFonts w:ascii="Wingdings 2" w:hAnsi="Wingdings 2" w:cs="Times"/>
              </w:rPr>
              <w:t>S</w:t>
            </w:r>
          </w:p>
        </w:tc>
        <w:tc>
          <w:tcPr>
            <w:tcW w:w="4263" w:type="dxa"/>
            <w:gridSpan w:val="4"/>
            <w:tcBorders>
              <w:top w:val="single" w:sz="4" w:space="0" w:color="auto"/>
              <w:left w:val="nil"/>
              <w:bottom w:val="single" w:sz="4" w:space="0" w:color="auto"/>
              <w:right w:val="single" w:sz="4" w:space="0" w:color="auto"/>
            </w:tcBorders>
            <w:shd w:val="clear" w:color="auto" w:fill="FFFFFF"/>
            <w:textDirection w:val="lrTb"/>
            <w:vAlign w:val="top"/>
          </w:tcPr>
          <w:p w:rsidR="003501A1" w:rsidRPr="00A179AE" w:rsidP="00390FF8">
            <w:pPr>
              <w:bidi w:val="0"/>
              <w:ind w:left="175" w:hanging="175"/>
              <w:rPr>
                <w:rFonts w:ascii="Times New Roman" w:hAnsi="Times New Roman"/>
              </w:rPr>
            </w:pPr>
            <w:r w:rsidRPr="00A179AE">
              <w:rPr>
                <w:rFonts w:ascii="Times New Roman" w:hAnsi="Times New Roman"/>
              </w:rPr>
              <w:t>Materiál legislatívnej povahy</w:t>
            </w:r>
          </w:p>
        </w:tc>
      </w:tr>
      <w:tr>
        <w:tblPrEx>
          <w:tblW w:w="9180" w:type="dxa"/>
          <w:tblLayout w:type="fixed"/>
          <w:tblLook w:val="04A0"/>
        </w:tblPrEx>
        <w:tc>
          <w:tcPr>
            <w:tcW w:w="4212" w:type="dxa"/>
            <w:vMerge/>
            <w:tcBorders>
              <w:top w:val="nil"/>
              <w:left w:val="single" w:sz="4" w:space="0" w:color="auto"/>
              <w:bottom w:val="single" w:sz="4" w:space="0" w:color="auto"/>
              <w:right w:val="single" w:sz="4" w:space="0" w:color="auto"/>
            </w:tcBorders>
            <w:shd w:val="clear" w:color="auto" w:fill="E2E2E2"/>
            <w:textDirection w:val="lrTb"/>
            <w:vAlign w:val="top"/>
          </w:tcPr>
          <w:p w:rsidR="003501A1" w:rsidRPr="00A179AE" w:rsidP="005C2A8E">
            <w:pPr>
              <w:bidi w:val="0"/>
              <w:rPr>
                <w:rFonts w:ascii="Times New Roman" w:hAnsi="Times New Roman"/>
              </w:rPr>
            </w:pPr>
          </w:p>
        </w:tc>
        <w:tc>
          <w:tcPr>
            <w:tcW w:w="705" w:type="dxa"/>
            <w:tcBorders>
              <w:top w:val="single" w:sz="4" w:space="0" w:color="auto"/>
              <w:left w:val="single" w:sz="4" w:space="0" w:color="auto"/>
              <w:bottom w:val="single" w:sz="4" w:space="0" w:color="auto"/>
              <w:right w:val="nil"/>
            </w:tcBorders>
            <w:shd w:val="clear" w:color="auto" w:fill="FFFFFF"/>
            <w:textDirection w:val="lrTb"/>
            <w:vAlign w:val="top"/>
          </w:tcPr>
          <w:p w:rsidR="003501A1" w:rsidRPr="00A179AE" w:rsidP="00390FF8">
            <w:pPr>
              <w:bidi w:val="0"/>
              <w:jc w:val="center"/>
              <w:rPr>
                <w:rFonts w:ascii="Times New Roman" w:hAnsi="Times New Roman"/>
              </w:rPr>
            </w:pPr>
            <w:r w:rsidRPr="00390FF8">
              <w:rPr>
                <w:rFonts w:ascii="Segoe UI Symbol" w:eastAsia="MS Mincho" w:hAnsi="Segoe UI Symbol" w:cs="Segoe UI Symbol" w:hint="default"/>
              </w:rPr>
              <w:t>☐</w:t>
            </w:r>
          </w:p>
        </w:tc>
        <w:tc>
          <w:tcPr>
            <w:tcW w:w="4263" w:type="dxa"/>
            <w:gridSpan w:val="4"/>
            <w:tcBorders>
              <w:top w:val="single" w:sz="4" w:space="0" w:color="auto"/>
              <w:left w:val="nil"/>
              <w:bottom w:val="single" w:sz="4" w:space="0" w:color="auto"/>
              <w:right w:val="single" w:sz="4" w:space="0" w:color="auto"/>
            </w:tcBorders>
            <w:shd w:val="clear" w:color="auto" w:fill="FFFFFF"/>
            <w:textDirection w:val="lrTb"/>
            <w:vAlign w:val="top"/>
          </w:tcPr>
          <w:p w:rsidR="003501A1" w:rsidRPr="00A179AE" w:rsidP="005C2A8E">
            <w:pPr>
              <w:bidi w:val="0"/>
              <w:rPr>
                <w:rFonts w:ascii="Times New Roman" w:hAnsi="Times New Roman"/>
              </w:rPr>
            </w:pPr>
            <w:r w:rsidRPr="00A179AE">
              <w:rPr>
                <w:rFonts w:ascii="Times New Roman" w:hAnsi="Times New Roman"/>
              </w:rPr>
              <w:t>Transpozícia práva EÚ</w:t>
            </w:r>
          </w:p>
        </w:tc>
      </w:tr>
      <w:tr>
        <w:tblPrEx>
          <w:tblW w:w="9180" w:type="dxa"/>
          <w:tblLayout w:type="fixed"/>
          <w:tblLook w:val="04A0"/>
        </w:tblPrEx>
        <w:tc>
          <w:tcPr>
            <w:tcW w:w="9180" w:type="dxa"/>
            <w:gridSpan w:val="6"/>
            <w:tcBorders>
              <w:top w:val="single" w:sz="4" w:space="0" w:color="auto"/>
              <w:left w:val="single" w:sz="4" w:space="0" w:color="auto"/>
              <w:bottom w:val="single" w:sz="4" w:space="0" w:color="FFFFFF"/>
              <w:right w:val="single" w:sz="4" w:space="0" w:color="auto"/>
            </w:tcBorders>
            <w:shd w:val="clear" w:color="auto" w:fill="FFFFFF"/>
            <w:textDirection w:val="lrTb"/>
            <w:vAlign w:val="top"/>
          </w:tcPr>
          <w:p w:rsidR="003501A1" w:rsidRPr="00390FF8" w:rsidP="005C2A8E">
            <w:pPr>
              <w:bidi w:val="0"/>
              <w:rPr>
                <w:rFonts w:ascii="Times New Roman" w:hAnsi="Times New Roman"/>
                <w:i/>
              </w:rPr>
            </w:pPr>
            <w:r w:rsidRPr="00390FF8">
              <w:rPr>
                <w:rFonts w:ascii="Times New Roman" w:hAnsi="Times New Roman"/>
                <w:i/>
              </w:rPr>
              <w:t>V prípade transpozície uveďte zoznam transponovaných predpisov:</w:t>
            </w:r>
          </w:p>
          <w:p w:rsidR="003501A1" w:rsidRPr="00A179AE" w:rsidP="005C2A8E">
            <w:pPr>
              <w:bidi w:val="0"/>
              <w:rPr>
                <w:rFonts w:ascii="Times New Roman" w:hAnsi="Times New Roman"/>
              </w:rPr>
            </w:pPr>
          </w:p>
        </w:tc>
      </w:tr>
      <w:tr>
        <w:tblPrEx>
          <w:tblW w:w="9180" w:type="dxa"/>
          <w:tblLayout w:type="fixed"/>
          <w:tblLook w:val="04A0"/>
        </w:tblPrEx>
        <w:tc>
          <w:tcPr>
            <w:tcW w:w="5634" w:type="dxa"/>
            <w:gridSpan w:val="3"/>
            <w:tcBorders>
              <w:top w:val="single" w:sz="4" w:space="0" w:color="000000"/>
              <w:left w:val="single" w:sz="4" w:space="0" w:color="auto"/>
              <w:bottom w:val="single" w:sz="4" w:space="0" w:color="FFFFFF"/>
              <w:right w:val="single" w:sz="4" w:space="0" w:color="auto"/>
            </w:tcBorders>
            <w:shd w:val="clear" w:color="auto" w:fill="E2E2E2"/>
            <w:textDirection w:val="lrTb"/>
            <w:vAlign w:val="top"/>
          </w:tcPr>
          <w:p w:rsidR="003501A1" w:rsidRPr="00390FF8" w:rsidP="00390FF8">
            <w:pPr>
              <w:pStyle w:val="ListParagraph"/>
              <w:bidi w:val="0"/>
              <w:ind w:left="142"/>
              <w:rPr>
                <w:rFonts w:ascii="Times New Roman" w:hAnsi="Times New Roman"/>
                <w:b/>
              </w:rPr>
            </w:pPr>
            <w:r w:rsidRPr="00390FF8">
              <w:rPr>
                <w:rFonts w:ascii="Times New Roman" w:hAnsi="Times New Roman"/>
                <w:b/>
              </w:rPr>
              <w:t>Termín začiatku a ukončenia PPK</w:t>
            </w:r>
          </w:p>
        </w:tc>
        <w:tc>
          <w:tcPr>
            <w:tcW w:w="3546" w:type="dxa"/>
            <w:gridSpan w:val="3"/>
            <w:tcBorders>
              <w:top w:val="single" w:sz="4" w:space="0" w:color="000000"/>
              <w:left w:val="single" w:sz="4" w:space="0" w:color="auto"/>
              <w:bottom w:val="single" w:sz="4" w:space="0" w:color="auto"/>
              <w:right w:val="single" w:sz="4" w:space="0" w:color="auto"/>
            </w:tcBorders>
            <w:textDirection w:val="lrTb"/>
            <w:vAlign w:val="top"/>
          </w:tcPr>
          <w:p w:rsidR="003501A1" w:rsidRPr="00B164B5" w:rsidP="0029160D">
            <w:pPr>
              <w:bidi w:val="0"/>
              <w:rPr>
                <w:rFonts w:ascii="Times New Roman" w:hAnsi="Times New Roman"/>
                <w:i/>
              </w:rPr>
            </w:pPr>
            <w:r w:rsidRPr="00B164B5" w:rsidR="0041395D">
              <w:rPr>
                <w:rFonts w:ascii="Times" w:hAnsi="Times" w:cs="Times"/>
                <w:i/>
              </w:rPr>
              <w:t xml:space="preserve">Začiatok:   </w:t>
              <w:br/>
              <w:t>Ukončenie: </w:t>
            </w:r>
          </w:p>
        </w:tc>
      </w:tr>
      <w:tr>
        <w:tblPrEx>
          <w:tblW w:w="9180" w:type="dxa"/>
          <w:tblLayout w:type="fixed"/>
          <w:tblLook w:val="04A0"/>
        </w:tblPrEx>
        <w:tc>
          <w:tcPr>
            <w:tcW w:w="5634" w:type="dxa"/>
            <w:gridSpan w:val="3"/>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390FF8" w:rsidP="00390FF8">
            <w:pPr>
              <w:pStyle w:val="ListParagraph"/>
              <w:bidi w:val="0"/>
              <w:ind w:left="142"/>
              <w:rPr>
                <w:rFonts w:ascii="Times New Roman" w:hAnsi="Times New Roman"/>
                <w:b/>
              </w:rPr>
            </w:pPr>
            <w:r w:rsidRPr="00390FF8">
              <w:rPr>
                <w:rFonts w:ascii="Times New Roman" w:hAnsi="Times New Roman"/>
                <w:b/>
              </w:rPr>
              <w:t>Predpokladaný termín predloženia na MPK</w:t>
            </w:r>
            <w:r w:rsidRPr="00390FF8" w:rsidR="00F62771">
              <w:rPr>
                <w:rFonts w:ascii="Times New Roman" w:hAnsi="Times New Roman"/>
                <w:b/>
              </w:rPr>
              <w:t>*</w:t>
            </w:r>
          </w:p>
        </w:tc>
        <w:tc>
          <w:tcPr>
            <w:tcW w:w="3546" w:type="dxa"/>
            <w:gridSpan w:val="3"/>
            <w:tcBorders>
              <w:top w:val="single" w:sz="4" w:space="0" w:color="auto"/>
              <w:left w:val="single" w:sz="4" w:space="0" w:color="auto"/>
              <w:bottom w:val="single" w:sz="4" w:space="0" w:color="auto"/>
              <w:right w:val="single" w:sz="4" w:space="0" w:color="auto"/>
            </w:tcBorders>
            <w:textDirection w:val="lrTb"/>
            <w:vAlign w:val="top"/>
          </w:tcPr>
          <w:p w:rsidR="003501A1" w:rsidRPr="00390FF8" w:rsidP="005C2A8E">
            <w:pPr>
              <w:bidi w:val="0"/>
              <w:rPr>
                <w:rFonts w:ascii="Times New Roman" w:hAnsi="Times New Roman"/>
                <w:i/>
              </w:rPr>
            </w:pPr>
          </w:p>
        </w:tc>
      </w:tr>
      <w:tr>
        <w:tblPrEx>
          <w:tblW w:w="9180" w:type="dxa"/>
          <w:tblLayout w:type="fixed"/>
          <w:tblLook w:val="04A0"/>
        </w:tblPrEx>
        <w:tc>
          <w:tcPr>
            <w:tcW w:w="5634" w:type="dxa"/>
            <w:gridSpan w:val="3"/>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390FF8" w:rsidP="00390FF8">
            <w:pPr>
              <w:pStyle w:val="ListParagraph"/>
              <w:bidi w:val="0"/>
              <w:ind w:left="142"/>
              <w:rPr>
                <w:rFonts w:ascii="Times New Roman" w:hAnsi="Times New Roman"/>
                <w:b/>
              </w:rPr>
            </w:pPr>
            <w:r w:rsidRPr="00390FF8">
              <w:rPr>
                <w:rFonts w:ascii="Times New Roman" w:hAnsi="Times New Roman"/>
                <w:b/>
              </w:rPr>
              <w:t>Predpokladaný termín predloženia na Rokovanie vlády SR</w:t>
            </w:r>
            <w:r w:rsidRPr="00390FF8" w:rsidR="00F62771">
              <w:rPr>
                <w:rFonts w:ascii="Times New Roman" w:hAnsi="Times New Roman"/>
                <w:b/>
              </w:rPr>
              <w:t>*</w:t>
            </w:r>
          </w:p>
        </w:tc>
        <w:tc>
          <w:tcPr>
            <w:tcW w:w="3546" w:type="dxa"/>
            <w:gridSpan w:val="3"/>
            <w:tcBorders>
              <w:top w:val="single" w:sz="4" w:space="0" w:color="auto"/>
              <w:left w:val="single" w:sz="4" w:space="0" w:color="auto"/>
              <w:bottom w:val="single" w:sz="4" w:space="0" w:color="auto"/>
              <w:right w:val="single" w:sz="4" w:space="0" w:color="auto"/>
            </w:tcBorders>
            <w:textDirection w:val="lrTb"/>
            <w:vAlign w:val="top"/>
          </w:tcPr>
          <w:p w:rsidR="003501A1" w:rsidRPr="00390FF8" w:rsidP="005C2A8E">
            <w:pPr>
              <w:bidi w:val="0"/>
              <w:rPr>
                <w:rFonts w:ascii="Times New Roman" w:hAnsi="Times New Roman"/>
                <w:i/>
              </w:rPr>
            </w:pPr>
          </w:p>
        </w:tc>
      </w:tr>
      <w:tr>
        <w:tblPrEx>
          <w:tblW w:w="9180" w:type="dxa"/>
          <w:tblLayout w:type="fixed"/>
          <w:tblLook w:val="04A0"/>
        </w:tblPrEx>
        <w:tc>
          <w:tcPr>
            <w:tcW w:w="9180" w:type="dxa"/>
            <w:gridSpan w:val="6"/>
            <w:tcBorders>
              <w:top w:val="single" w:sz="4" w:space="0" w:color="auto"/>
              <w:left w:val="nil"/>
              <w:bottom w:val="single" w:sz="4" w:space="0" w:color="auto"/>
              <w:right w:val="nil"/>
            </w:tcBorders>
            <w:shd w:val="clear" w:color="auto" w:fill="FFFFFF"/>
            <w:textDirection w:val="lrTb"/>
            <w:vAlign w:val="top"/>
          </w:tcPr>
          <w:p w:rsidR="003501A1" w:rsidRPr="00A179AE" w:rsidP="005C2A8E">
            <w:pPr>
              <w:bidi w:val="0"/>
              <w:rPr>
                <w:rFonts w:ascii="Times New Roman" w:hAnsi="Times New Roman"/>
              </w:rPr>
            </w:pPr>
          </w:p>
        </w:tc>
      </w:tr>
      <w:tr>
        <w:tblPrEx>
          <w:tblW w:w="9180" w:type="dxa"/>
          <w:tblLayout w:type="fixed"/>
          <w:tblLook w:val="04A0"/>
        </w:tblPrEx>
        <w:tc>
          <w:tcPr>
            <w:tcW w:w="9180" w:type="dxa"/>
            <w:gridSpan w:val="6"/>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390FF8" w:rsidP="00390FF8">
            <w:pPr>
              <w:pStyle w:val="ListParagraph"/>
              <w:numPr>
                <w:numId w:val="1"/>
              </w:numPr>
              <w:bidi w:val="0"/>
              <w:spacing w:after="0" w:line="240" w:lineRule="auto"/>
              <w:ind w:left="426"/>
              <w:rPr>
                <w:rFonts w:ascii="Times New Roman" w:hAnsi="Times New Roman"/>
                <w:b/>
              </w:rPr>
            </w:pPr>
            <w:r w:rsidRPr="00390FF8">
              <w:rPr>
                <w:rFonts w:ascii="Times New Roman" w:hAnsi="Times New Roman"/>
                <w:b/>
              </w:rPr>
              <w:t>Definícia problému</w:t>
            </w:r>
          </w:p>
        </w:tc>
      </w:tr>
      <w:tr>
        <w:tblPrEx>
          <w:tblW w:w="9180" w:type="dxa"/>
          <w:tblLayout w:type="fixed"/>
          <w:tblLook w:val="04A0"/>
        </w:tblPrEx>
        <w:trPr>
          <w:trHeight w:val="718"/>
        </w:trPr>
        <w:tc>
          <w:tcPr>
            <w:tcW w:w="9180" w:type="dxa"/>
            <w:gridSpan w:val="6"/>
            <w:tcBorders>
              <w:top w:val="single" w:sz="4" w:space="0" w:color="FFFFFF"/>
              <w:left w:val="single" w:sz="4" w:space="0" w:color="auto"/>
              <w:bottom w:val="single" w:sz="4" w:space="0" w:color="auto"/>
              <w:right w:val="single" w:sz="4" w:space="0" w:color="auto"/>
            </w:tcBorders>
            <w:shd w:val="clear" w:color="auto" w:fill="FFFFFF"/>
            <w:textDirection w:val="lrTb"/>
            <w:vAlign w:val="top"/>
          </w:tcPr>
          <w:tbl>
            <w:tblPr>
              <w:tblStyle w:val="TableNormal"/>
              <w:tblW w:w="8975" w:type="dxa"/>
              <w:tblLayout w:type="fixed"/>
            </w:tblPr>
            <w:tblGrid>
              <w:gridCol w:w="8975"/>
            </w:tblGrid>
            <w:tr>
              <w:tblPrEx>
                <w:tblW w:w="8975" w:type="dxa"/>
                <w:tblLayout w:type="fixed"/>
              </w:tblPrEx>
              <w:trPr>
                <w:trHeight w:val="1477"/>
              </w:trPr>
              <w:tc>
                <w:tcPr>
                  <w:tcW w:w="8975" w:type="dxa"/>
                  <w:tcBorders>
                    <w:top w:val="none" w:sz="0" w:space="0" w:color="auto"/>
                    <w:left w:val="none" w:sz="0" w:space="0" w:color="auto"/>
                    <w:bottom w:val="none" w:sz="0" w:space="0" w:color="auto"/>
                    <w:right w:val="none" w:sz="0" w:space="0" w:color="auto"/>
                  </w:tcBorders>
                  <w:textDirection w:val="lrTb"/>
                  <w:vAlign w:val="top"/>
                </w:tcPr>
                <w:p w:rsidR="00025B79" w:rsidRPr="00F46317" w:rsidP="003C5F58">
                  <w:pPr>
                    <w:pStyle w:val="Default"/>
                    <w:bidi w:val="0"/>
                    <w:jc w:val="both"/>
                    <w:rPr>
                      <w:rFonts w:ascii="Times New Roman" w:hAnsi="Times New Roman"/>
                      <w:b/>
                      <w:iCs/>
                      <w:sz w:val="20"/>
                      <w:szCs w:val="20"/>
                    </w:rPr>
                  </w:pPr>
                </w:p>
                <w:p w:rsidR="00C11AB6" w:rsidRPr="00F46317" w:rsidP="0029160D">
                  <w:pPr>
                    <w:pStyle w:val="Default"/>
                    <w:bidi w:val="0"/>
                    <w:ind w:firstLine="609"/>
                    <w:jc w:val="both"/>
                    <w:rPr>
                      <w:rFonts w:ascii="Times New Roman" w:hAnsi="Times New Roman"/>
                      <w:iCs/>
                      <w:sz w:val="20"/>
                      <w:szCs w:val="20"/>
                    </w:rPr>
                  </w:pPr>
                  <w:r w:rsidRPr="00F46317">
                    <w:rPr>
                      <w:rFonts w:ascii="Times New Roman" w:hAnsi="Times New Roman"/>
                      <w:iCs/>
                      <w:sz w:val="20"/>
                      <w:szCs w:val="20"/>
                    </w:rPr>
                    <w:t>N</w:t>
                  </w:r>
                  <w:r w:rsidRPr="00F46317" w:rsidR="0029160D">
                    <w:rPr>
                      <w:rFonts w:ascii="Times New Roman" w:hAnsi="Times New Roman"/>
                      <w:iCs/>
                      <w:sz w:val="20"/>
                      <w:szCs w:val="20"/>
                    </w:rPr>
                    <w:t>ariadenie</w:t>
                  </w:r>
                  <w:r w:rsidRPr="00F46317">
                    <w:rPr>
                      <w:rFonts w:ascii="Times New Roman" w:hAnsi="Times New Roman"/>
                      <w:iCs/>
                      <w:sz w:val="20"/>
                      <w:szCs w:val="20"/>
                    </w:rPr>
                    <w:t xml:space="preserve"> E</w:t>
                  </w:r>
                  <w:r w:rsidRPr="00F46317" w:rsidR="0029160D">
                    <w:rPr>
                      <w:rFonts w:ascii="Times New Roman" w:hAnsi="Times New Roman"/>
                      <w:iCs/>
                      <w:sz w:val="20"/>
                      <w:szCs w:val="20"/>
                    </w:rPr>
                    <w:t>urópskeho parlamentu a</w:t>
                  </w:r>
                  <w:r w:rsidRPr="00F46317">
                    <w:rPr>
                      <w:rFonts w:ascii="Times New Roman" w:hAnsi="Times New Roman"/>
                      <w:iCs/>
                      <w:sz w:val="20"/>
                      <w:szCs w:val="20"/>
                    </w:rPr>
                    <w:t xml:space="preserve"> R</w:t>
                  </w:r>
                  <w:r w:rsidRPr="00F46317" w:rsidR="0029160D">
                    <w:rPr>
                      <w:rFonts w:ascii="Times New Roman" w:hAnsi="Times New Roman"/>
                      <w:iCs/>
                      <w:sz w:val="20"/>
                      <w:szCs w:val="20"/>
                    </w:rPr>
                    <w:t>ady</w:t>
                  </w:r>
                  <w:r w:rsidRPr="00F46317">
                    <w:rPr>
                      <w:rFonts w:ascii="Times New Roman" w:hAnsi="Times New Roman"/>
                      <w:iCs/>
                      <w:sz w:val="20"/>
                      <w:szCs w:val="20"/>
                    </w:rPr>
                    <w:t xml:space="preserve"> (EÚ) č. 536/2014 </w:t>
                  </w:r>
                  <w:r w:rsidRPr="00F46317" w:rsidR="0029160D">
                    <w:rPr>
                      <w:rFonts w:ascii="Times New Roman" w:hAnsi="Times New Roman"/>
                      <w:iCs/>
                      <w:sz w:val="20"/>
                      <w:szCs w:val="20"/>
                    </w:rPr>
                    <w:t xml:space="preserve"> </w:t>
                  </w:r>
                  <w:r w:rsidRPr="00F46317" w:rsidR="0029160D">
                    <w:rPr>
                      <w:rFonts w:ascii="Times New Roman" w:hAnsi="Times New Roman"/>
                      <w:sz w:val="20"/>
                      <w:szCs w:val="20"/>
                    </w:rPr>
                    <w:t xml:space="preserve">zo 16. apríla 2014 </w:t>
                  </w:r>
                  <w:r w:rsidRPr="00F46317">
                    <w:rPr>
                      <w:rFonts w:ascii="Times New Roman" w:hAnsi="Times New Roman"/>
                      <w:iCs/>
                      <w:sz w:val="20"/>
                      <w:szCs w:val="20"/>
                    </w:rPr>
                    <w:t>o klinickom skúšaní liekov na humánne použitie, ktorým sa zrušuje smernica 2001/20/ES (ďalej len „</w:t>
                  </w:r>
                  <w:r w:rsidRPr="00F46317" w:rsidR="0087060A">
                    <w:rPr>
                      <w:rFonts w:ascii="Times New Roman" w:hAnsi="Times New Roman"/>
                      <w:iCs/>
                      <w:sz w:val="20"/>
                      <w:szCs w:val="20"/>
                    </w:rPr>
                    <w:t>n</w:t>
                  </w:r>
                  <w:r w:rsidRPr="00F46317">
                    <w:rPr>
                      <w:rFonts w:ascii="Times New Roman" w:hAnsi="Times New Roman"/>
                      <w:iCs/>
                      <w:sz w:val="20"/>
                      <w:szCs w:val="20"/>
                    </w:rPr>
                    <w:t>ariadenie“) predstavuje významnú zmenu v oblasti regulácie klinického skúšania liekov v rámci E</w:t>
                  </w:r>
                  <w:r w:rsidRPr="00F46317" w:rsidR="0029160D">
                    <w:rPr>
                      <w:rFonts w:ascii="Times New Roman" w:hAnsi="Times New Roman"/>
                      <w:iCs/>
                      <w:sz w:val="20"/>
                      <w:szCs w:val="20"/>
                    </w:rPr>
                    <w:t xml:space="preserve">urópskej </w:t>
                  </w:r>
                  <w:r w:rsidR="007A2CE6">
                    <w:rPr>
                      <w:rFonts w:ascii="Times New Roman" w:hAnsi="Times New Roman"/>
                      <w:iCs/>
                      <w:sz w:val="20"/>
                      <w:szCs w:val="20"/>
                    </w:rPr>
                    <w:t>ú</w:t>
                  </w:r>
                  <w:r w:rsidRPr="00F46317" w:rsidR="0029160D">
                    <w:rPr>
                      <w:rFonts w:ascii="Times New Roman" w:hAnsi="Times New Roman"/>
                      <w:iCs/>
                      <w:sz w:val="20"/>
                      <w:szCs w:val="20"/>
                    </w:rPr>
                    <w:t>nie</w:t>
                  </w:r>
                  <w:r w:rsidRPr="00F46317" w:rsidR="006122A1">
                    <w:rPr>
                      <w:rFonts w:ascii="Times New Roman" w:hAnsi="Times New Roman"/>
                      <w:iCs/>
                      <w:sz w:val="20"/>
                      <w:szCs w:val="20"/>
                    </w:rPr>
                    <w:t xml:space="preserve"> a bude sa uplatňovať na každé klinické skúšanie vykonávané v Európskej Únii</w:t>
                  </w:r>
                  <w:r w:rsidRPr="00F46317">
                    <w:rPr>
                      <w:rFonts w:ascii="Times New Roman" w:hAnsi="Times New Roman"/>
                      <w:iCs/>
                      <w:sz w:val="20"/>
                      <w:szCs w:val="20"/>
                    </w:rPr>
                    <w:t xml:space="preserve">. Cieľom </w:t>
                  </w:r>
                  <w:r w:rsidRPr="00F46317" w:rsidR="0029160D">
                    <w:rPr>
                      <w:rFonts w:ascii="Times New Roman" w:hAnsi="Times New Roman"/>
                      <w:iCs/>
                      <w:sz w:val="20"/>
                      <w:szCs w:val="20"/>
                    </w:rPr>
                    <w:t>n</w:t>
                  </w:r>
                  <w:r w:rsidRPr="00F46317">
                    <w:rPr>
                      <w:rFonts w:ascii="Times New Roman" w:hAnsi="Times New Roman"/>
                      <w:iCs/>
                      <w:sz w:val="20"/>
                      <w:szCs w:val="20"/>
                    </w:rPr>
                    <w:t>ariadenia je harmonizovať pravidlá pre schvaľovanie a vykonávanie klinického skúšania v</w:t>
                  </w:r>
                  <w:r w:rsidRPr="00F46317" w:rsidR="0029160D">
                    <w:rPr>
                      <w:rFonts w:ascii="Times New Roman" w:hAnsi="Times New Roman"/>
                      <w:iCs/>
                      <w:sz w:val="20"/>
                      <w:szCs w:val="20"/>
                    </w:rPr>
                    <w:t> </w:t>
                  </w:r>
                  <w:r w:rsidRPr="00F46317">
                    <w:rPr>
                      <w:rFonts w:ascii="Times New Roman" w:hAnsi="Times New Roman"/>
                      <w:iCs/>
                      <w:sz w:val="20"/>
                      <w:szCs w:val="20"/>
                    </w:rPr>
                    <w:t>E</w:t>
                  </w:r>
                  <w:r w:rsidRPr="00F46317" w:rsidR="0029160D">
                    <w:rPr>
                      <w:rFonts w:ascii="Times New Roman" w:hAnsi="Times New Roman"/>
                      <w:iCs/>
                      <w:sz w:val="20"/>
                      <w:szCs w:val="20"/>
                    </w:rPr>
                    <w:t xml:space="preserve">urópskej </w:t>
                  </w:r>
                  <w:r w:rsidR="007A2CE6">
                    <w:rPr>
                      <w:rFonts w:ascii="Times New Roman" w:hAnsi="Times New Roman"/>
                      <w:iCs/>
                      <w:sz w:val="20"/>
                      <w:szCs w:val="20"/>
                    </w:rPr>
                    <w:t>ú</w:t>
                  </w:r>
                  <w:r w:rsidRPr="00F46317" w:rsidR="0029160D">
                    <w:rPr>
                      <w:rFonts w:ascii="Times New Roman" w:hAnsi="Times New Roman"/>
                      <w:iCs/>
                      <w:sz w:val="20"/>
                      <w:szCs w:val="20"/>
                    </w:rPr>
                    <w:t>nii</w:t>
                  </w:r>
                  <w:r w:rsidRPr="00F46317">
                    <w:rPr>
                      <w:rFonts w:ascii="Times New Roman" w:hAnsi="Times New Roman"/>
                      <w:iCs/>
                      <w:sz w:val="20"/>
                      <w:szCs w:val="20"/>
                    </w:rPr>
                    <w:t xml:space="preserve"> a zaistiť hodnovernosť a spoľahlivosť údajov z klinického skúšania pri súčasnom zabezpečení dodržiavania práv, bezpečnosti, dôstojnosti, a celkovej pohody účastníkov v rámci celej E</w:t>
                  </w:r>
                  <w:r w:rsidRPr="00F46317" w:rsidR="0029160D">
                    <w:rPr>
                      <w:rFonts w:ascii="Times New Roman" w:hAnsi="Times New Roman"/>
                      <w:iCs/>
                      <w:sz w:val="20"/>
                      <w:szCs w:val="20"/>
                    </w:rPr>
                    <w:t xml:space="preserve">urópskej </w:t>
                  </w:r>
                  <w:r w:rsidR="007A2CE6">
                    <w:rPr>
                      <w:rFonts w:ascii="Times New Roman" w:hAnsi="Times New Roman"/>
                      <w:iCs/>
                      <w:sz w:val="20"/>
                      <w:szCs w:val="20"/>
                    </w:rPr>
                    <w:t>ú</w:t>
                  </w:r>
                  <w:r w:rsidRPr="00F46317" w:rsidR="0029160D">
                    <w:rPr>
                      <w:rFonts w:ascii="Times New Roman" w:hAnsi="Times New Roman"/>
                      <w:iCs/>
                      <w:sz w:val="20"/>
                      <w:szCs w:val="20"/>
                    </w:rPr>
                    <w:t>nie</w:t>
                  </w:r>
                  <w:r w:rsidRPr="00F46317">
                    <w:rPr>
                      <w:rFonts w:ascii="Times New Roman" w:hAnsi="Times New Roman"/>
                      <w:iCs/>
                      <w:sz w:val="20"/>
                      <w:szCs w:val="20"/>
                    </w:rPr>
                    <w:t xml:space="preserve">.  </w:t>
                  </w:r>
                </w:p>
                <w:p w:rsidR="0029160D" w:rsidRPr="00F46317" w:rsidP="0029160D">
                  <w:pPr>
                    <w:bidi w:val="0"/>
                    <w:ind w:firstLine="567"/>
                    <w:jc w:val="both"/>
                    <w:rPr>
                      <w:rFonts w:ascii="Times New Roman" w:hAnsi="Times New Roman"/>
                      <w:i/>
                    </w:rPr>
                  </w:pPr>
                  <w:r w:rsidRPr="00F46317">
                    <w:rPr>
                      <w:rFonts w:ascii="Times New Roman" w:hAnsi="Times New Roman"/>
                      <w:bCs/>
                      <w:i/>
                    </w:rPr>
                    <w:t>Ministerstvo zdravotníctva</w:t>
                  </w:r>
                  <w:r w:rsidRPr="00F46317">
                    <w:rPr>
                      <w:rFonts w:ascii="Times New Roman" w:hAnsi="Times New Roman"/>
                      <w:i/>
                    </w:rPr>
                    <w:t xml:space="preserve"> </w:t>
                  </w:r>
                  <w:r w:rsidRPr="00F46317">
                    <w:rPr>
                      <w:rFonts w:ascii="Times New Roman" w:hAnsi="Times New Roman"/>
                      <w:bCs/>
                      <w:i/>
                    </w:rPr>
                    <w:t>Slovenskej republiky</w:t>
                  </w:r>
                  <w:r w:rsidRPr="00F46317">
                    <w:rPr>
                      <w:rFonts w:ascii="Times New Roman" w:hAnsi="Times New Roman"/>
                      <w:i/>
                    </w:rPr>
                    <w:t xml:space="preserve"> navrhuje implementovať tie ustanovenia nariadenia (EÚ) 536/2014, ktoré sú podľa implementovaného nariadenia v kompetencii členského štátu. Nariadenie (EÚ) 536/2014</w:t>
                  </w:r>
                  <w:r w:rsidRPr="00F46317" w:rsidR="00F46317">
                    <w:rPr>
                      <w:rFonts w:ascii="Times New Roman" w:hAnsi="Times New Roman"/>
                      <w:i/>
                    </w:rPr>
                    <w:t xml:space="preserve"> ukladá, aby členské štáty zabezpečili aj etické preskúmanie klinického skúšania</w:t>
                  </w:r>
                  <w:r w:rsidRPr="00F46317">
                    <w:rPr>
                      <w:rFonts w:ascii="Times New Roman" w:hAnsi="Times New Roman"/>
                      <w:i/>
                    </w:rPr>
                    <w:t xml:space="preserve"> Preto významnú časť návrhu zákona tvorí zriadenie etickej komisie Ministerstva zdravotníctva SR pre klinické skúšanie liekov, ktorá bude posudzovať </w:t>
                  </w:r>
                  <w:r w:rsidR="007A2CE6">
                    <w:rPr>
                      <w:rFonts w:ascii="Times New Roman" w:hAnsi="Times New Roman"/>
                      <w:i/>
                    </w:rPr>
                    <w:t>etické</w:t>
                  </w:r>
                  <w:r w:rsidRPr="00F46317">
                    <w:rPr>
                      <w:rFonts w:ascii="Times New Roman" w:hAnsi="Times New Roman"/>
                      <w:i/>
                    </w:rPr>
                    <w:t xml:space="preserve"> aspekty žiadostí o povolenie klinického skúšania liekov, o povolenie podstatnej zmeny klinického skúšania</w:t>
                  </w:r>
                  <w:r w:rsidRPr="00F46317" w:rsidR="00E943E4">
                    <w:rPr>
                      <w:rFonts w:ascii="Times New Roman" w:hAnsi="Times New Roman"/>
                      <w:i/>
                    </w:rPr>
                    <w:t xml:space="preserve"> liekov</w:t>
                  </w:r>
                  <w:r w:rsidRPr="00F46317">
                    <w:rPr>
                      <w:rFonts w:ascii="Times New Roman" w:hAnsi="Times New Roman"/>
                      <w:i/>
                    </w:rPr>
                    <w:t>, o pridanie Slovenskej republiky do klinického skúšania</w:t>
                  </w:r>
                  <w:r w:rsidRPr="00F46317" w:rsidR="00E943E4">
                    <w:rPr>
                      <w:rFonts w:ascii="Times New Roman" w:hAnsi="Times New Roman"/>
                      <w:i/>
                    </w:rPr>
                    <w:t xml:space="preserve"> liekov</w:t>
                  </w:r>
                  <w:r w:rsidRPr="00F46317">
                    <w:rPr>
                      <w:rFonts w:ascii="Times New Roman" w:hAnsi="Times New Roman"/>
                      <w:i/>
                    </w:rPr>
                    <w:t xml:space="preserve"> povoleného v iných členských štátoch Európskej únie predložené prostredníctvom elektronického EÚ portálu klinického skúšania. Etickej komisii sa dáva aj právomoc v spolupráci so Štátnym ústavom pre kontrolu liečiv vykonávať  dohľad nad povoleným klinickým skúšaním </w:t>
                  </w:r>
                  <w:r w:rsidRPr="00F46317" w:rsidR="00E943E4">
                    <w:rPr>
                      <w:rFonts w:ascii="Times New Roman" w:hAnsi="Times New Roman"/>
                      <w:i/>
                    </w:rPr>
                    <w:t xml:space="preserve">liekov </w:t>
                  </w:r>
                  <w:r w:rsidRPr="00F46317">
                    <w:rPr>
                      <w:rFonts w:ascii="Times New Roman" w:hAnsi="Times New Roman"/>
                      <w:i/>
                    </w:rPr>
                    <w:t xml:space="preserve">na území Slovenskej republiky </w:t>
                  </w:r>
                </w:p>
                <w:p w:rsidR="0029160D" w:rsidRPr="00F46317" w:rsidP="0029160D">
                  <w:pPr>
                    <w:pStyle w:val="Default"/>
                    <w:bidi w:val="0"/>
                    <w:ind w:firstLine="609"/>
                    <w:jc w:val="both"/>
                    <w:rPr>
                      <w:rFonts w:ascii="Times New Roman" w:hAnsi="Times New Roman"/>
                      <w:i/>
                      <w:iCs/>
                      <w:sz w:val="20"/>
                      <w:szCs w:val="20"/>
                    </w:rPr>
                  </w:pPr>
                  <w:r w:rsidRPr="00F46317">
                    <w:rPr>
                      <w:rFonts w:ascii="Times New Roman" w:hAnsi="Times New Roman"/>
                      <w:i/>
                      <w:sz w:val="20"/>
                      <w:szCs w:val="20"/>
                    </w:rPr>
                    <w:t>Návrh zákona počíta  aj so zriadením národného portálu klinického skúšania, ktorého hlavnou úlohou bude komunikácia medzi Štátnym ústavom pre kontrolu liečiv s etickou komisiou pre klinické skúšanie .</w:t>
                  </w:r>
                </w:p>
                <w:p w:rsidR="00A133FF" w:rsidRPr="00F46317" w:rsidP="0029160D">
                  <w:pPr>
                    <w:pStyle w:val="Default"/>
                    <w:bidi w:val="0"/>
                    <w:ind w:firstLine="609"/>
                    <w:jc w:val="both"/>
                    <w:rPr>
                      <w:rFonts w:ascii="Times New Roman" w:hAnsi="Times New Roman"/>
                      <w:i/>
                      <w:iCs/>
                      <w:sz w:val="20"/>
                      <w:szCs w:val="20"/>
                    </w:rPr>
                  </w:pPr>
                  <w:r w:rsidRPr="00F46317" w:rsidR="0029160D">
                    <w:rPr>
                      <w:rFonts w:ascii="Times New Roman" w:hAnsi="Times New Roman"/>
                      <w:i/>
                      <w:iCs/>
                      <w:sz w:val="20"/>
                      <w:szCs w:val="20"/>
                    </w:rPr>
                    <w:t>Návrh zákona</w:t>
                  </w:r>
                  <w:r w:rsidRPr="00F46317">
                    <w:rPr>
                      <w:rFonts w:ascii="Times New Roman" w:hAnsi="Times New Roman"/>
                      <w:i/>
                      <w:iCs/>
                      <w:sz w:val="20"/>
                      <w:szCs w:val="20"/>
                    </w:rPr>
                    <w:t xml:space="preserve"> predstavuje implementačné opatrenie týkajúce sa vyberania po</w:t>
                  </w:r>
                  <w:r w:rsidRPr="00F46317" w:rsidR="00D12AD9">
                    <w:rPr>
                      <w:rFonts w:ascii="Times New Roman" w:hAnsi="Times New Roman"/>
                      <w:i/>
                      <w:iCs/>
                      <w:sz w:val="20"/>
                      <w:szCs w:val="20"/>
                    </w:rPr>
                    <w:t>platkov na vnútroštátnej úrovni</w:t>
                  </w:r>
                  <w:r w:rsidRPr="00F46317" w:rsidR="003F4EC6">
                    <w:rPr>
                      <w:rFonts w:ascii="Times New Roman" w:hAnsi="Times New Roman"/>
                      <w:i/>
                      <w:iCs/>
                      <w:sz w:val="20"/>
                      <w:szCs w:val="20"/>
                    </w:rPr>
                    <w:t>. Stanovenie výšky poplatkov deleguje nariadenie na samotné členské štáty.</w:t>
                  </w:r>
                  <w:r w:rsidRPr="00F46317" w:rsidR="003C5F58">
                    <w:rPr>
                      <w:rFonts w:ascii="Times New Roman" w:hAnsi="Times New Roman"/>
                      <w:i/>
                      <w:iCs/>
                      <w:sz w:val="20"/>
                      <w:szCs w:val="20"/>
                    </w:rPr>
                    <w:t xml:space="preserve"> </w:t>
                  </w:r>
                  <w:r w:rsidRPr="00F46317">
                    <w:rPr>
                      <w:rFonts w:ascii="Times New Roman" w:hAnsi="Times New Roman"/>
                      <w:i/>
                      <w:iCs/>
                      <w:sz w:val="20"/>
                      <w:szCs w:val="20"/>
                    </w:rPr>
                    <w:t xml:space="preserve">V zmysle preambuly a článkov 86 a 87 nariadenia majú členské štáty možnosť vyberať poplatky za činnosti stanovené v nariadení za predpokladu, že výška poplatku je stanovená transparentným spôsobom a na základe zásad návratnosti nákladov. </w:t>
                  </w:r>
                </w:p>
                <w:p w:rsidR="000C52CC" w:rsidRPr="00F46317" w:rsidP="0029160D">
                  <w:pPr>
                    <w:bidi w:val="0"/>
                    <w:ind w:firstLine="609"/>
                    <w:jc w:val="both"/>
                    <w:rPr>
                      <w:rFonts w:ascii="Times New Roman" w:hAnsi="Times New Roman"/>
                      <w:i/>
                      <w:iCs/>
                      <w:color w:val="000000"/>
                    </w:rPr>
                  </w:pPr>
                  <w:r w:rsidRPr="00F46317" w:rsidR="00A133FF">
                    <w:rPr>
                      <w:rFonts w:ascii="Times New Roman" w:hAnsi="Times New Roman"/>
                      <w:i/>
                      <w:iCs/>
                      <w:color w:val="000000"/>
                    </w:rPr>
                    <w:t xml:space="preserve">Aj keď nariadenie predpokladá výber poplatkov členských štátov, ktorých výška je stanovená transparentným spôsobom, na základe zásad návratnosti nákladov, explicitne pojmy „transparentný“ ani „zásadu návratnosti nákladov“ v uvedenej súvislosti neupravuje a necháva pri ich stanovení určitú voľnosť členskému štátu. </w:t>
                  </w:r>
                </w:p>
                <w:p w:rsidR="00F46317" w:rsidRPr="00F46317" w:rsidP="00103B88">
                  <w:pPr>
                    <w:bidi w:val="0"/>
                    <w:ind w:firstLine="751"/>
                    <w:jc w:val="both"/>
                    <w:rPr>
                      <w:rFonts w:ascii="Times New Roman" w:hAnsi="Times New Roman"/>
                      <w:i/>
                      <w:iCs/>
                      <w:color w:val="000000"/>
                    </w:rPr>
                  </w:pPr>
                  <w:r w:rsidRPr="00F46317" w:rsidR="000C52CC">
                    <w:rPr>
                      <w:rFonts w:ascii="Times New Roman" w:hAnsi="Times New Roman"/>
                      <w:i/>
                      <w:iCs/>
                      <w:color w:val="000000"/>
                    </w:rPr>
                    <w:t xml:space="preserve">Nariadenie </w:t>
                  </w:r>
                  <w:r w:rsidRPr="00F46317" w:rsidR="003F4EC6">
                    <w:rPr>
                      <w:rFonts w:ascii="Times New Roman" w:hAnsi="Times New Roman"/>
                      <w:i/>
                      <w:iCs/>
                      <w:color w:val="000000"/>
                    </w:rPr>
                    <w:t xml:space="preserve">však expressis verbis </w:t>
                  </w:r>
                  <w:r w:rsidRPr="00F46317" w:rsidR="000C52CC">
                    <w:rPr>
                      <w:rFonts w:ascii="Times New Roman" w:hAnsi="Times New Roman"/>
                      <w:i/>
                      <w:iCs/>
                      <w:color w:val="000000"/>
                    </w:rPr>
                    <w:t xml:space="preserve">zakazuje výber paralelných platieb rozličným orgánom zapojeným do posudzovania žiadosti o povolenie klinického skúšania v danom členskom štáte. V tejto súvislosti </w:t>
                  </w:r>
                  <w:r w:rsidRPr="00F46317" w:rsidR="00103B88">
                    <w:rPr>
                      <w:rFonts w:ascii="Times New Roman" w:hAnsi="Times New Roman"/>
                      <w:i/>
                      <w:iCs/>
                      <w:color w:val="000000"/>
                    </w:rPr>
                    <w:t xml:space="preserve">je </w:t>
                  </w:r>
                  <w:r w:rsidRPr="00F46317" w:rsidR="000C52CC">
                    <w:rPr>
                      <w:rFonts w:ascii="Times New Roman" w:hAnsi="Times New Roman"/>
                      <w:i/>
                      <w:iCs/>
                      <w:color w:val="000000"/>
                    </w:rPr>
                    <w:t xml:space="preserve"> potrebné </w:t>
                  </w:r>
                  <w:r w:rsidRPr="00F46317" w:rsidR="003F4EC6">
                    <w:rPr>
                      <w:rFonts w:ascii="Times New Roman" w:hAnsi="Times New Roman"/>
                      <w:i/>
                      <w:iCs/>
                      <w:color w:val="000000"/>
                    </w:rPr>
                    <w:t>prihliadnuť na</w:t>
                  </w:r>
                  <w:r w:rsidRPr="00F46317" w:rsidR="000C52CC">
                    <w:rPr>
                      <w:rFonts w:ascii="Times New Roman" w:hAnsi="Times New Roman"/>
                      <w:i/>
                      <w:iCs/>
                      <w:color w:val="000000"/>
                    </w:rPr>
                    <w:t xml:space="preserve"> náklady </w:t>
                  </w:r>
                  <w:r w:rsidRPr="00F46317" w:rsidR="00103B88">
                    <w:rPr>
                      <w:rFonts w:ascii="Times New Roman" w:hAnsi="Times New Roman"/>
                      <w:i/>
                      <w:iCs/>
                      <w:color w:val="000000"/>
                    </w:rPr>
                    <w:t>Štátneho ústavu pre kontrolu liečiv a Ministerstva</w:t>
                  </w:r>
                  <w:r w:rsidRPr="00F46317" w:rsidR="00103B88">
                    <w:rPr>
                      <w:rFonts w:ascii="Times New Roman" w:hAnsi="Times New Roman"/>
                      <w:iCs/>
                      <w:color w:val="000000"/>
                    </w:rPr>
                    <w:t xml:space="preserve"> </w:t>
                  </w:r>
                  <w:r w:rsidRPr="00F46317" w:rsidR="00103B88">
                    <w:rPr>
                      <w:rFonts w:ascii="Times New Roman" w:hAnsi="Times New Roman"/>
                      <w:i/>
                      <w:iCs/>
                      <w:color w:val="000000"/>
                    </w:rPr>
                    <w:t xml:space="preserve">zdravotníctva SR, ktoré bude zriaďovateľom </w:t>
                  </w:r>
                  <w:r w:rsidRPr="00F46317" w:rsidR="000C52CC">
                    <w:rPr>
                      <w:rFonts w:ascii="Times New Roman" w:hAnsi="Times New Roman"/>
                      <w:i/>
                      <w:iCs/>
                      <w:color w:val="000000"/>
                    </w:rPr>
                    <w:t>etick</w:t>
                  </w:r>
                  <w:r w:rsidRPr="00F46317" w:rsidR="0029160D">
                    <w:rPr>
                      <w:rFonts w:ascii="Times New Roman" w:hAnsi="Times New Roman"/>
                      <w:i/>
                      <w:iCs/>
                      <w:color w:val="000000"/>
                    </w:rPr>
                    <w:t xml:space="preserve">ej </w:t>
                  </w:r>
                  <w:r w:rsidRPr="00F46317" w:rsidR="000C52CC">
                    <w:rPr>
                      <w:rFonts w:ascii="Times New Roman" w:hAnsi="Times New Roman"/>
                      <w:i/>
                      <w:iCs/>
                      <w:color w:val="000000"/>
                    </w:rPr>
                    <w:t>komisi</w:t>
                  </w:r>
                  <w:r w:rsidRPr="00F46317" w:rsidR="0029160D">
                    <w:rPr>
                      <w:rFonts w:ascii="Times New Roman" w:hAnsi="Times New Roman"/>
                      <w:i/>
                      <w:iCs/>
                      <w:color w:val="000000"/>
                    </w:rPr>
                    <w:t>e pre klinické skúšanie</w:t>
                  </w:r>
                  <w:r w:rsidRPr="00F46317" w:rsidR="00103B88">
                    <w:rPr>
                      <w:rFonts w:ascii="Times New Roman" w:hAnsi="Times New Roman"/>
                      <w:i/>
                      <w:iCs/>
                      <w:color w:val="000000"/>
                    </w:rPr>
                    <w:t>, ktoré sú účastníkmi povoľovacieho konania</w:t>
                  </w:r>
                  <w:r w:rsidRPr="00F46317">
                    <w:rPr>
                      <w:rFonts w:ascii="Times New Roman" w:hAnsi="Times New Roman"/>
                      <w:i/>
                      <w:iCs/>
                      <w:color w:val="000000"/>
                    </w:rPr>
                    <w:t>.</w:t>
                  </w:r>
                </w:p>
                <w:p w:rsidR="00F46317" w:rsidRPr="00F46317" w:rsidP="00F46317">
                  <w:pPr>
                    <w:pBdr>
                      <w:top w:val="single" w:sz="4" w:space="1" w:color="auto"/>
                      <w:left w:val="single" w:sz="4" w:space="4" w:color="auto"/>
                      <w:bottom w:val="single" w:sz="4" w:space="1" w:color="auto"/>
                      <w:right w:val="single" w:sz="4" w:space="4" w:color="auto"/>
                    </w:pBdr>
                    <w:bidi w:val="0"/>
                    <w:ind w:firstLine="626"/>
                    <w:rPr>
                      <w:rFonts w:ascii="Times New Roman" w:hAnsi="Times New Roman"/>
                    </w:rPr>
                  </w:pPr>
                  <w:r w:rsidRPr="00F46317">
                    <w:rPr>
                      <w:rFonts w:ascii="Times New Roman" w:hAnsi="Times New Roman"/>
                      <w:i/>
                    </w:rPr>
                    <w:t>Predmetom návrhu je aj presun kompetencií z Ministerstva zdravotníctva SR na Štátny ústav pre kontrolu liekov, ktoré sa týkajú povoľovania výroby humánnych liekov, výroby humánnych liekov na klinické skúšanie a</w:t>
                  </w:r>
                  <w:r w:rsidR="007A2CE6">
                    <w:rPr>
                      <w:rFonts w:ascii="Times New Roman" w:hAnsi="Times New Roman"/>
                      <w:i/>
                    </w:rPr>
                    <w:t> </w:t>
                  </w:r>
                  <w:r w:rsidRPr="00F46317">
                    <w:rPr>
                      <w:rFonts w:ascii="Times New Roman" w:hAnsi="Times New Roman"/>
                      <w:i/>
                    </w:rPr>
                    <w:t>veľkodistribúcie</w:t>
                  </w:r>
                  <w:r w:rsidR="007A2CE6">
                    <w:rPr>
                      <w:rFonts w:ascii="Times New Roman" w:hAnsi="Times New Roman"/>
                      <w:i/>
                    </w:rPr>
                    <w:t xml:space="preserve"> humánnych</w:t>
                  </w:r>
                  <w:r w:rsidRPr="00F46317">
                    <w:rPr>
                      <w:rFonts w:ascii="Times New Roman" w:hAnsi="Times New Roman"/>
                      <w:i/>
                    </w:rPr>
                    <w:t xml:space="preserve"> liekov. Z Ministerstva zdravotníctva SR sa presúva aj rozhodovanie o používaní liekov, ktoré majú cudzojazyčné informácie na obaloch. Štátnemu ústavu pre kontrolu liečiv vzniknú požiadavky na personálne obsadenie pre túto novú agendu.</w:t>
                  </w:r>
                  <w:r w:rsidR="007A2CE6">
                    <w:rPr>
                      <w:rFonts w:ascii="Times New Roman" w:hAnsi="Times New Roman"/>
                      <w:i/>
                    </w:rPr>
                    <w:t xml:space="preserve"> Ministerstvu zdravotníctva SR pribudne </w:t>
                  </w:r>
                  <w:r w:rsidR="00161A9A">
                    <w:rPr>
                      <w:rFonts w:ascii="Times New Roman" w:hAnsi="Times New Roman"/>
                      <w:i/>
                    </w:rPr>
                    <w:t xml:space="preserve">nová činnosť - </w:t>
                  </w:r>
                  <w:r w:rsidR="007A2CE6">
                    <w:rPr>
                      <w:rFonts w:ascii="Times New Roman" w:hAnsi="Times New Roman"/>
                      <w:i/>
                    </w:rPr>
                    <w:t>povoľovanie dovozu skúšaných liekov a sprievodných liekov používaných pri povolenom klinickom skúšaní</w:t>
                  </w:r>
                  <w:r w:rsidR="00161A9A">
                    <w:rPr>
                      <w:rFonts w:ascii="Times New Roman" w:hAnsi="Times New Roman"/>
                      <w:i/>
                    </w:rPr>
                    <w:t>, ktorú bude vykonávať so súčasnými zamestnancami</w:t>
                  </w:r>
                  <w:r w:rsidR="00874D41">
                    <w:rPr>
                      <w:rFonts w:ascii="Times New Roman" w:hAnsi="Times New Roman"/>
                      <w:i/>
                    </w:rPr>
                    <w:t>.</w:t>
                  </w:r>
                </w:p>
                <w:p w:rsidR="00025B79" w:rsidRPr="00F46317" w:rsidP="00103B88">
                  <w:pPr>
                    <w:bidi w:val="0"/>
                    <w:ind w:firstLine="751"/>
                    <w:jc w:val="both"/>
                    <w:rPr>
                      <w:rFonts w:ascii="Times New Roman" w:hAnsi="Times New Roman"/>
                    </w:rPr>
                  </w:pPr>
                  <w:r w:rsidRPr="00F46317" w:rsidR="00103B88">
                    <w:rPr>
                      <w:rFonts w:ascii="Times New Roman" w:hAnsi="Times New Roman"/>
                      <w:iCs/>
                      <w:color w:val="000000"/>
                    </w:rPr>
                    <w:t>.</w:t>
                  </w:r>
                  <w:r w:rsidRPr="00F46317" w:rsidR="000C52CC">
                    <w:rPr>
                      <w:rFonts w:ascii="Times New Roman" w:hAnsi="Times New Roman"/>
                      <w:iCs/>
                      <w:color w:val="000000"/>
                    </w:rPr>
                    <w:t xml:space="preserve"> </w:t>
                  </w:r>
                </w:p>
              </w:tc>
            </w:tr>
          </w:tbl>
          <w:p w:rsidR="003501A1" w:rsidRPr="00F46317" w:rsidP="00390FF8">
            <w:pPr>
              <w:bidi w:val="0"/>
              <w:jc w:val="both"/>
              <w:rPr>
                <w:rFonts w:ascii="Times New Roman" w:hAnsi="Times New Roman"/>
                <w:b/>
              </w:rPr>
            </w:pPr>
          </w:p>
        </w:tc>
      </w:tr>
      <w:tr>
        <w:tblPrEx>
          <w:tblW w:w="9180" w:type="dxa"/>
          <w:tblLayout w:type="fixed"/>
          <w:tblLook w:val="04A0"/>
        </w:tblPrEx>
        <w:tc>
          <w:tcPr>
            <w:tcW w:w="9180" w:type="dxa"/>
            <w:gridSpan w:val="6"/>
            <w:tcBorders>
              <w:top w:val="single" w:sz="4" w:space="0" w:color="auto"/>
              <w:left w:val="single" w:sz="4" w:space="0" w:color="auto"/>
              <w:bottom w:val="nil"/>
              <w:right w:val="single" w:sz="4" w:space="0" w:color="auto"/>
            </w:tcBorders>
            <w:shd w:val="clear" w:color="auto" w:fill="E2E2E2"/>
            <w:textDirection w:val="lrTb"/>
            <w:vAlign w:val="top"/>
          </w:tcPr>
          <w:p w:rsidR="003501A1" w:rsidRPr="00390FF8" w:rsidP="00390FF8">
            <w:pPr>
              <w:pStyle w:val="ListParagraph"/>
              <w:numPr>
                <w:numId w:val="1"/>
              </w:numPr>
              <w:bidi w:val="0"/>
              <w:spacing w:after="0" w:line="240" w:lineRule="auto"/>
              <w:ind w:left="426"/>
              <w:jc w:val="both"/>
              <w:rPr>
                <w:rFonts w:ascii="Times New Roman" w:hAnsi="Times New Roman"/>
                <w:b/>
              </w:rPr>
            </w:pPr>
            <w:r w:rsidRPr="00390FF8">
              <w:rPr>
                <w:rFonts w:ascii="Times New Roman" w:hAnsi="Times New Roman"/>
                <w:b/>
              </w:rPr>
              <w:t>Ciele a výsledný stav</w:t>
            </w:r>
          </w:p>
        </w:tc>
      </w:tr>
      <w:tr>
        <w:tblPrEx>
          <w:tblW w:w="9180" w:type="dxa"/>
          <w:tblLayout w:type="fixed"/>
          <w:tblLook w:val="04A0"/>
        </w:tblPrEx>
        <w:trPr>
          <w:trHeight w:val="741"/>
        </w:trPr>
        <w:tc>
          <w:tcPr>
            <w:tcW w:w="9180" w:type="dxa"/>
            <w:gridSpan w:val="6"/>
            <w:tcBorders>
              <w:top w:val="nil"/>
              <w:left w:val="single" w:sz="4" w:space="0" w:color="auto"/>
              <w:bottom w:val="single" w:sz="4" w:space="0" w:color="auto"/>
              <w:right w:val="single" w:sz="4" w:space="0" w:color="auto"/>
            </w:tcBorders>
            <w:shd w:val="clear" w:color="auto" w:fill="FFFFFF"/>
            <w:textDirection w:val="lrTb"/>
            <w:vAlign w:val="top"/>
          </w:tcPr>
          <w:p w:rsidR="00A16366" w:rsidP="00390FF8">
            <w:pPr>
              <w:bidi w:val="0"/>
              <w:jc w:val="both"/>
              <w:rPr>
                <w:rFonts w:ascii="Times New Roman" w:hAnsi="Times New Roman"/>
              </w:rPr>
            </w:pPr>
          </w:p>
          <w:tbl>
            <w:tblPr>
              <w:tblStyle w:val="TableNormal"/>
              <w:tblW w:w="8975" w:type="dxa"/>
              <w:tblLayout w:type="fixed"/>
            </w:tblPr>
            <w:tblGrid>
              <w:gridCol w:w="8975"/>
            </w:tblGrid>
            <w:tr>
              <w:tblPrEx>
                <w:tblW w:w="8975" w:type="dxa"/>
                <w:tblLayout w:type="fixed"/>
              </w:tblPrEx>
              <w:trPr>
                <w:trHeight w:val="1400"/>
              </w:trPr>
              <w:tc>
                <w:tcPr>
                  <w:tcW w:w="8975" w:type="dxa"/>
                  <w:tcBorders>
                    <w:top w:val="none" w:sz="0" w:space="0" w:color="auto"/>
                    <w:left w:val="none" w:sz="0" w:space="0" w:color="auto"/>
                    <w:bottom w:val="none" w:sz="0" w:space="0" w:color="auto"/>
                    <w:right w:val="none" w:sz="0" w:space="0" w:color="auto"/>
                  </w:tcBorders>
                  <w:textDirection w:val="lrTb"/>
                  <w:vAlign w:val="top"/>
                </w:tcPr>
                <w:p w:rsidR="0000498C" w:rsidRPr="00B164B5" w:rsidP="00103B88">
                  <w:pPr>
                    <w:pStyle w:val="Default"/>
                    <w:bidi w:val="0"/>
                    <w:ind w:firstLine="467"/>
                    <w:jc w:val="both"/>
                    <w:rPr>
                      <w:rFonts w:ascii="Times New Roman" w:hAnsi="Times New Roman"/>
                      <w:i/>
                      <w:iCs/>
                      <w:sz w:val="20"/>
                      <w:szCs w:val="20"/>
                    </w:rPr>
                  </w:pPr>
                  <w:r w:rsidRPr="00B164B5" w:rsidR="000C52CC">
                    <w:rPr>
                      <w:rFonts w:ascii="Times New Roman" w:hAnsi="Times New Roman"/>
                      <w:i/>
                      <w:iCs/>
                      <w:sz w:val="20"/>
                      <w:szCs w:val="20"/>
                    </w:rPr>
                    <w:t xml:space="preserve">Nové úlohy, ktoré vyplývajú z nariadenia, predstavujú </w:t>
                  </w:r>
                  <w:r w:rsidRPr="00B164B5" w:rsidR="00FB055C">
                    <w:rPr>
                      <w:rFonts w:ascii="Times New Roman" w:hAnsi="Times New Roman"/>
                      <w:i/>
                      <w:iCs/>
                      <w:sz w:val="20"/>
                      <w:szCs w:val="20"/>
                    </w:rPr>
                    <w:t xml:space="preserve">zásadné </w:t>
                  </w:r>
                  <w:r w:rsidRPr="00B164B5" w:rsidR="000C52CC">
                    <w:rPr>
                      <w:rFonts w:ascii="Times New Roman" w:hAnsi="Times New Roman"/>
                      <w:i/>
                      <w:iCs/>
                      <w:sz w:val="20"/>
                      <w:szCs w:val="20"/>
                    </w:rPr>
                    <w:t xml:space="preserve">rozšírenie pôsobnosti a doplnenie nových činností na úseku humánnej farmácie a zdravotníckych pomôcok, nielen pre Štátny ústav pre kontrolu liečiv (ďalej </w:t>
                  </w:r>
                  <w:r w:rsidRPr="00B164B5" w:rsidR="00A16366">
                    <w:rPr>
                      <w:rFonts w:ascii="Times New Roman" w:hAnsi="Times New Roman"/>
                      <w:i/>
                      <w:iCs/>
                      <w:sz w:val="20"/>
                      <w:szCs w:val="20"/>
                    </w:rPr>
                    <w:t xml:space="preserve">aj </w:t>
                  </w:r>
                  <w:r w:rsidRPr="00B164B5" w:rsidR="000C52CC">
                    <w:rPr>
                      <w:rFonts w:ascii="Times New Roman" w:hAnsi="Times New Roman"/>
                      <w:i/>
                      <w:iCs/>
                      <w:sz w:val="20"/>
                      <w:szCs w:val="20"/>
                    </w:rPr>
                    <w:t xml:space="preserve">len „ŠÚKL“), ale aj </w:t>
                  </w:r>
                  <w:r w:rsidR="00161A9A">
                    <w:rPr>
                      <w:rFonts w:ascii="Times New Roman" w:hAnsi="Times New Roman"/>
                      <w:i/>
                      <w:iCs/>
                      <w:sz w:val="20"/>
                      <w:szCs w:val="20"/>
                    </w:rPr>
                    <w:t xml:space="preserve">pre </w:t>
                  </w:r>
                  <w:r w:rsidRPr="00B164B5" w:rsidR="000C52CC">
                    <w:rPr>
                      <w:rFonts w:ascii="Times New Roman" w:hAnsi="Times New Roman"/>
                      <w:i/>
                      <w:iCs/>
                      <w:sz w:val="20"/>
                      <w:szCs w:val="20"/>
                    </w:rPr>
                    <w:t>Etickú komisiu pre klinické skúšanie</w:t>
                  </w:r>
                  <w:r w:rsidRPr="00B164B5" w:rsidR="00103B88">
                    <w:rPr>
                      <w:rFonts w:ascii="Times New Roman" w:hAnsi="Times New Roman"/>
                      <w:i/>
                      <w:iCs/>
                      <w:sz w:val="20"/>
                      <w:szCs w:val="20"/>
                    </w:rPr>
                    <w:t>.</w:t>
                  </w:r>
                  <w:r w:rsidRPr="00B164B5" w:rsidR="000C52CC">
                    <w:rPr>
                      <w:rFonts w:ascii="Times New Roman" w:hAnsi="Times New Roman"/>
                      <w:i/>
                      <w:iCs/>
                      <w:sz w:val="20"/>
                      <w:szCs w:val="20"/>
                    </w:rPr>
                    <w:t xml:space="preserve"> </w:t>
                  </w:r>
                </w:p>
                <w:p w:rsidR="000C52CC" w:rsidRPr="00B164B5" w:rsidP="00103B88">
                  <w:pPr>
                    <w:pStyle w:val="Default"/>
                    <w:bidi w:val="0"/>
                    <w:ind w:firstLine="467"/>
                    <w:jc w:val="both"/>
                    <w:rPr>
                      <w:rFonts w:ascii="Times New Roman" w:hAnsi="Times New Roman"/>
                      <w:i/>
                      <w:iCs/>
                      <w:sz w:val="20"/>
                      <w:szCs w:val="20"/>
                    </w:rPr>
                  </w:pPr>
                  <w:r w:rsidRPr="00B164B5">
                    <w:rPr>
                      <w:rFonts w:ascii="Times New Roman" w:hAnsi="Times New Roman"/>
                      <w:i/>
                      <w:iCs/>
                      <w:sz w:val="20"/>
                      <w:szCs w:val="20"/>
                    </w:rPr>
                    <w:t xml:space="preserve">Doterajšia výška jediného správneho poplatku vo vzťahu ku klinickému skúšaniu liekov nebola dlhodobo aktualizovaná. Cieľom novely je transparentné stanovenie výšky poplatkov tak, že </w:t>
                  </w:r>
                  <w:r w:rsidRPr="00B164B5" w:rsidR="00BB697B">
                    <w:rPr>
                      <w:rFonts w:ascii="Times New Roman" w:hAnsi="Times New Roman"/>
                      <w:i/>
                      <w:iCs/>
                      <w:sz w:val="20"/>
                      <w:szCs w:val="20"/>
                    </w:rPr>
                    <w:t xml:space="preserve">sa </w:t>
                  </w:r>
                  <w:r w:rsidRPr="00B164B5">
                    <w:rPr>
                      <w:rFonts w:ascii="Times New Roman" w:hAnsi="Times New Roman"/>
                      <w:i/>
                      <w:iCs/>
                      <w:sz w:val="20"/>
                      <w:szCs w:val="20"/>
                    </w:rPr>
                    <w:t>doterajšia</w:t>
                  </w:r>
                  <w:r w:rsidRPr="00B164B5" w:rsidR="00C82F8D">
                    <w:rPr>
                      <w:rFonts w:ascii="Times New Roman" w:hAnsi="Times New Roman"/>
                      <w:i/>
                      <w:iCs/>
                      <w:sz w:val="20"/>
                      <w:szCs w:val="20"/>
                    </w:rPr>
                    <w:t xml:space="preserve"> dlhodobo</w:t>
                  </w:r>
                  <w:r w:rsidRPr="00B164B5">
                    <w:rPr>
                      <w:rFonts w:ascii="Times New Roman" w:hAnsi="Times New Roman"/>
                      <w:i/>
                      <w:iCs/>
                      <w:sz w:val="20"/>
                      <w:szCs w:val="20"/>
                    </w:rPr>
                    <w:t xml:space="preserve"> </w:t>
                  </w:r>
                  <w:r w:rsidRPr="00B164B5" w:rsidR="00C82F8D">
                    <w:rPr>
                      <w:rFonts w:ascii="Times New Roman" w:hAnsi="Times New Roman"/>
                      <w:i/>
                      <w:iCs/>
                      <w:sz w:val="20"/>
                      <w:szCs w:val="20"/>
                    </w:rPr>
                    <w:t xml:space="preserve">poddimenzovaná </w:t>
                  </w:r>
                  <w:r w:rsidRPr="00B164B5" w:rsidR="00D507C7">
                    <w:rPr>
                      <w:rFonts w:ascii="Times New Roman" w:hAnsi="Times New Roman"/>
                      <w:i/>
                      <w:iCs/>
                      <w:sz w:val="20"/>
                      <w:szCs w:val="20"/>
                    </w:rPr>
                    <w:t>jediná</w:t>
                  </w:r>
                  <w:r w:rsidRPr="00B164B5">
                    <w:rPr>
                      <w:rFonts w:ascii="Times New Roman" w:hAnsi="Times New Roman"/>
                      <w:i/>
                      <w:iCs/>
                      <w:sz w:val="20"/>
                      <w:szCs w:val="20"/>
                    </w:rPr>
                    <w:t xml:space="preserve"> položka správneho poplatku </w:t>
                  </w:r>
                  <w:r w:rsidRPr="00B164B5" w:rsidR="00BB697B">
                    <w:rPr>
                      <w:rFonts w:ascii="Times New Roman" w:hAnsi="Times New Roman"/>
                      <w:i/>
                      <w:iCs/>
                      <w:sz w:val="20"/>
                      <w:szCs w:val="20"/>
                    </w:rPr>
                    <w:t>rozčlení</w:t>
                  </w:r>
                  <w:r w:rsidRPr="00B164B5">
                    <w:rPr>
                      <w:rFonts w:ascii="Times New Roman" w:hAnsi="Times New Roman"/>
                      <w:i/>
                      <w:iCs/>
                      <w:sz w:val="20"/>
                      <w:szCs w:val="20"/>
                    </w:rPr>
                    <w:t xml:space="preserve"> na viacero </w:t>
                  </w:r>
                  <w:r w:rsidRPr="00B164B5" w:rsidR="00E963CD">
                    <w:rPr>
                      <w:rFonts w:ascii="Times New Roman" w:hAnsi="Times New Roman"/>
                      <w:i/>
                      <w:iCs/>
                      <w:sz w:val="20"/>
                      <w:szCs w:val="20"/>
                    </w:rPr>
                    <w:t>kategórií, ktorých š</w:t>
                  </w:r>
                  <w:r w:rsidRPr="00B164B5">
                    <w:rPr>
                      <w:rFonts w:ascii="Times New Roman" w:hAnsi="Times New Roman"/>
                      <w:i/>
                      <w:iCs/>
                      <w:sz w:val="20"/>
                      <w:szCs w:val="20"/>
                    </w:rPr>
                    <w:t>truktúra zohľad</w:t>
                  </w:r>
                  <w:r w:rsidRPr="00B164B5" w:rsidR="00BB697B">
                    <w:rPr>
                      <w:rFonts w:ascii="Times New Roman" w:hAnsi="Times New Roman"/>
                      <w:i/>
                      <w:iCs/>
                      <w:sz w:val="20"/>
                      <w:szCs w:val="20"/>
                    </w:rPr>
                    <w:t>ní</w:t>
                  </w:r>
                  <w:r w:rsidRPr="00B164B5">
                    <w:rPr>
                      <w:rFonts w:ascii="Times New Roman" w:hAnsi="Times New Roman"/>
                      <w:i/>
                      <w:iCs/>
                      <w:sz w:val="20"/>
                      <w:szCs w:val="20"/>
                    </w:rPr>
                    <w:t xml:space="preserve"> úlohy, ktoré vyplývajú </w:t>
                  </w:r>
                  <w:r w:rsidRPr="00B164B5" w:rsidR="00BB697B">
                    <w:rPr>
                      <w:rFonts w:ascii="Times New Roman" w:hAnsi="Times New Roman"/>
                      <w:i/>
                      <w:iCs/>
                      <w:sz w:val="20"/>
                      <w:szCs w:val="20"/>
                    </w:rPr>
                    <w:t xml:space="preserve">pre </w:t>
                  </w:r>
                  <w:r w:rsidRPr="00B164B5">
                    <w:rPr>
                      <w:rFonts w:ascii="Times New Roman" w:hAnsi="Times New Roman"/>
                      <w:i/>
                      <w:iCs/>
                      <w:sz w:val="20"/>
                      <w:szCs w:val="20"/>
                    </w:rPr>
                    <w:t>S</w:t>
                  </w:r>
                  <w:r w:rsidRPr="00B164B5" w:rsidR="00103B88">
                    <w:rPr>
                      <w:rFonts w:ascii="Times New Roman" w:hAnsi="Times New Roman"/>
                      <w:i/>
                      <w:iCs/>
                      <w:sz w:val="20"/>
                      <w:szCs w:val="20"/>
                    </w:rPr>
                    <w:t>lovenskú republiku</w:t>
                  </w:r>
                  <w:r w:rsidRPr="00B164B5">
                    <w:rPr>
                      <w:rFonts w:ascii="Times New Roman" w:hAnsi="Times New Roman"/>
                      <w:i/>
                      <w:iCs/>
                      <w:sz w:val="20"/>
                      <w:szCs w:val="20"/>
                    </w:rPr>
                    <w:t xml:space="preserve"> z nariadenia. Výška poplatkov vzťahujúcich sa na jednotlivé kategórie bola </w:t>
                  </w:r>
                  <w:r w:rsidRPr="00B164B5" w:rsidR="00103B88">
                    <w:rPr>
                      <w:rFonts w:ascii="Times New Roman" w:hAnsi="Times New Roman"/>
                      <w:i/>
                      <w:iCs/>
                      <w:sz w:val="20"/>
                      <w:szCs w:val="20"/>
                    </w:rPr>
                    <w:t>vypočítaná</w:t>
                  </w:r>
                  <w:r w:rsidRPr="00B164B5">
                    <w:rPr>
                      <w:rFonts w:ascii="Times New Roman" w:hAnsi="Times New Roman"/>
                      <w:i/>
                      <w:iCs/>
                      <w:sz w:val="20"/>
                      <w:szCs w:val="20"/>
                    </w:rPr>
                    <w:t xml:space="preserve"> podľa predpokladaných nákladov na jednotlivé úkony ŠÚKL</w:t>
                  </w:r>
                  <w:r w:rsidRPr="00B164B5" w:rsidR="00C60DD8">
                    <w:rPr>
                      <w:rFonts w:ascii="Times New Roman" w:hAnsi="Times New Roman"/>
                      <w:i/>
                      <w:iCs/>
                      <w:sz w:val="20"/>
                      <w:szCs w:val="20"/>
                    </w:rPr>
                    <w:t>-</w:t>
                  </w:r>
                  <w:r w:rsidRPr="00B164B5">
                    <w:rPr>
                      <w:rFonts w:ascii="Times New Roman" w:hAnsi="Times New Roman"/>
                      <w:i/>
                      <w:iCs/>
                      <w:sz w:val="20"/>
                      <w:szCs w:val="20"/>
                    </w:rPr>
                    <w:t>u a Etickej komisie pre klinické skúšanie, ktoré sa vzťahujú na konkrétny správny úkon</w:t>
                  </w:r>
                  <w:r w:rsidRPr="00B164B5" w:rsidR="00C82F8D">
                    <w:rPr>
                      <w:rFonts w:ascii="Times New Roman" w:hAnsi="Times New Roman"/>
                      <w:i/>
                      <w:iCs/>
                      <w:sz w:val="20"/>
                      <w:szCs w:val="20"/>
                    </w:rPr>
                    <w:t>.</w:t>
                  </w:r>
                  <w:r w:rsidRPr="00B164B5">
                    <w:rPr>
                      <w:rFonts w:ascii="Times New Roman" w:hAnsi="Times New Roman"/>
                      <w:i/>
                      <w:iCs/>
                      <w:sz w:val="20"/>
                      <w:szCs w:val="20"/>
                    </w:rPr>
                    <w:t xml:space="preserve"> </w:t>
                  </w:r>
                </w:p>
                <w:p w:rsidR="000C52CC" w:rsidRPr="00B164B5" w:rsidP="00C60DD8">
                  <w:pPr>
                    <w:pStyle w:val="Default"/>
                    <w:bidi w:val="0"/>
                    <w:ind w:firstLine="467"/>
                    <w:jc w:val="both"/>
                    <w:rPr>
                      <w:rFonts w:ascii="Times New Roman" w:hAnsi="Times New Roman"/>
                      <w:i/>
                      <w:iCs/>
                      <w:sz w:val="20"/>
                      <w:szCs w:val="20"/>
                    </w:rPr>
                  </w:pPr>
                  <w:r w:rsidRPr="00B164B5">
                    <w:rPr>
                      <w:rFonts w:ascii="Times New Roman" w:hAnsi="Times New Roman"/>
                      <w:i/>
                      <w:iCs/>
                      <w:sz w:val="20"/>
                      <w:szCs w:val="20"/>
                    </w:rPr>
                    <w:t xml:space="preserve">Pri odhadovaní nákladov bola zohľadnená náročnosť posudzovania klinického skúšania, charakter klinického skúšania ako aj typ skúšaného lieku. Zároveň </w:t>
                  </w:r>
                  <w:r w:rsidRPr="00B164B5" w:rsidR="00C60DD8">
                    <w:rPr>
                      <w:rFonts w:ascii="Times New Roman" w:hAnsi="Times New Roman"/>
                      <w:i/>
                      <w:iCs/>
                      <w:sz w:val="20"/>
                      <w:szCs w:val="20"/>
                    </w:rPr>
                    <w:t>sa rozlišuje</w:t>
                  </w:r>
                  <w:r w:rsidRPr="00B164B5">
                    <w:rPr>
                      <w:rFonts w:ascii="Times New Roman" w:hAnsi="Times New Roman"/>
                      <w:i/>
                      <w:iCs/>
                      <w:sz w:val="20"/>
                      <w:szCs w:val="20"/>
                    </w:rPr>
                    <w:t>, či S</w:t>
                  </w:r>
                  <w:r w:rsidRPr="00B164B5" w:rsidR="00C60DD8">
                    <w:rPr>
                      <w:rFonts w:ascii="Times New Roman" w:hAnsi="Times New Roman"/>
                      <w:i/>
                      <w:iCs/>
                      <w:sz w:val="20"/>
                      <w:szCs w:val="20"/>
                    </w:rPr>
                    <w:t>lovenská republika je alebo nie je</w:t>
                  </w:r>
                  <w:r w:rsidRPr="00B164B5">
                    <w:rPr>
                      <w:rFonts w:ascii="Times New Roman" w:hAnsi="Times New Roman"/>
                      <w:i/>
                      <w:iCs/>
                      <w:sz w:val="20"/>
                      <w:szCs w:val="20"/>
                    </w:rPr>
                    <w:t xml:space="preserve"> spravodajsk</w:t>
                  </w:r>
                  <w:r w:rsidRPr="00B164B5" w:rsidR="00C60DD8">
                    <w:rPr>
                      <w:rFonts w:ascii="Times New Roman" w:hAnsi="Times New Roman"/>
                      <w:i/>
                      <w:iCs/>
                      <w:sz w:val="20"/>
                      <w:szCs w:val="20"/>
                    </w:rPr>
                    <w:t>ým</w:t>
                  </w:r>
                  <w:r w:rsidRPr="00B164B5">
                    <w:rPr>
                      <w:rFonts w:ascii="Times New Roman" w:hAnsi="Times New Roman"/>
                      <w:i/>
                      <w:iCs/>
                      <w:sz w:val="20"/>
                      <w:szCs w:val="20"/>
                    </w:rPr>
                    <w:t xml:space="preserve"> člensk</w:t>
                  </w:r>
                  <w:r w:rsidRPr="00B164B5" w:rsidR="00C60DD8">
                    <w:rPr>
                      <w:rFonts w:ascii="Times New Roman" w:hAnsi="Times New Roman"/>
                      <w:i/>
                      <w:iCs/>
                      <w:sz w:val="20"/>
                      <w:szCs w:val="20"/>
                    </w:rPr>
                    <w:t>ým</w:t>
                  </w:r>
                  <w:r w:rsidRPr="00B164B5">
                    <w:rPr>
                      <w:rFonts w:ascii="Times New Roman" w:hAnsi="Times New Roman"/>
                      <w:i/>
                      <w:iCs/>
                      <w:sz w:val="20"/>
                      <w:szCs w:val="20"/>
                    </w:rPr>
                    <w:t xml:space="preserve"> štát</w:t>
                  </w:r>
                  <w:r w:rsidRPr="00B164B5" w:rsidR="00C60DD8">
                    <w:rPr>
                      <w:rFonts w:ascii="Times New Roman" w:hAnsi="Times New Roman"/>
                      <w:i/>
                      <w:iCs/>
                      <w:sz w:val="20"/>
                      <w:szCs w:val="20"/>
                    </w:rPr>
                    <w:t>om</w:t>
                  </w:r>
                  <w:r w:rsidRPr="00B164B5" w:rsidR="00C82F8D">
                    <w:rPr>
                      <w:rFonts w:ascii="Times New Roman" w:hAnsi="Times New Roman"/>
                      <w:i/>
                      <w:iCs/>
                      <w:sz w:val="20"/>
                      <w:szCs w:val="20"/>
                    </w:rPr>
                    <w:t xml:space="preserve">. </w:t>
                  </w:r>
                  <w:r w:rsidRPr="00B164B5">
                    <w:rPr>
                      <w:rFonts w:ascii="Times New Roman" w:hAnsi="Times New Roman"/>
                      <w:i/>
                      <w:iCs/>
                      <w:sz w:val="20"/>
                      <w:szCs w:val="20"/>
                    </w:rPr>
                    <w:t>Tieto rozdiely v náročnosti posudzovania klinického skúšania boli náležite odstupňované prepočtom špecifických sadzieb poplatkov zodpovedajúcimi koeficientmi.</w:t>
                  </w:r>
                </w:p>
                <w:p w:rsidR="000C52CC" w:rsidRPr="00B164B5" w:rsidP="00C60DD8">
                  <w:pPr>
                    <w:pStyle w:val="Default"/>
                    <w:bidi w:val="0"/>
                    <w:ind w:firstLine="467"/>
                    <w:jc w:val="both"/>
                    <w:rPr>
                      <w:rFonts w:ascii="Times New Roman" w:hAnsi="Times New Roman"/>
                      <w:i/>
                      <w:iCs/>
                      <w:sz w:val="20"/>
                      <w:szCs w:val="20"/>
                    </w:rPr>
                  </w:pPr>
                  <w:r w:rsidRPr="00B164B5">
                    <w:rPr>
                      <w:rFonts w:ascii="Times New Roman" w:hAnsi="Times New Roman"/>
                      <w:i/>
                      <w:iCs/>
                      <w:sz w:val="20"/>
                      <w:szCs w:val="20"/>
                    </w:rPr>
                    <w:t>Výsledný stav je v rozčlenení doterajšej jednotnej položky správneho poplatku na viacero kategórií a zadefinovanie výšky jednotliv</w:t>
                  </w:r>
                  <w:r w:rsidRPr="00B164B5" w:rsidR="00C82F8D">
                    <w:rPr>
                      <w:rFonts w:ascii="Times New Roman" w:hAnsi="Times New Roman"/>
                      <w:i/>
                      <w:iCs/>
                      <w:sz w:val="20"/>
                      <w:szCs w:val="20"/>
                    </w:rPr>
                    <w:t>ých</w:t>
                  </w:r>
                  <w:r w:rsidRPr="00B164B5">
                    <w:rPr>
                      <w:rFonts w:ascii="Times New Roman" w:hAnsi="Times New Roman"/>
                      <w:i/>
                      <w:iCs/>
                      <w:sz w:val="20"/>
                      <w:szCs w:val="20"/>
                    </w:rPr>
                    <w:t xml:space="preserve"> kategóri</w:t>
                  </w:r>
                  <w:r w:rsidRPr="00B164B5" w:rsidR="00C82F8D">
                    <w:rPr>
                      <w:rFonts w:ascii="Times New Roman" w:hAnsi="Times New Roman"/>
                      <w:i/>
                      <w:iCs/>
                      <w:sz w:val="20"/>
                      <w:szCs w:val="20"/>
                    </w:rPr>
                    <w:t>í</w:t>
                  </w:r>
                  <w:r w:rsidRPr="00B164B5">
                    <w:rPr>
                      <w:rFonts w:ascii="Times New Roman" w:hAnsi="Times New Roman"/>
                      <w:i/>
                      <w:iCs/>
                      <w:sz w:val="20"/>
                      <w:szCs w:val="20"/>
                    </w:rPr>
                    <w:t xml:space="preserve"> </w:t>
                  </w:r>
                  <w:r w:rsidRPr="00B164B5" w:rsidR="00C82F8D">
                    <w:rPr>
                      <w:rFonts w:ascii="Times New Roman" w:hAnsi="Times New Roman"/>
                      <w:i/>
                      <w:iCs/>
                      <w:sz w:val="20"/>
                      <w:szCs w:val="20"/>
                    </w:rPr>
                    <w:t xml:space="preserve"> správnych </w:t>
                  </w:r>
                  <w:r w:rsidRPr="00B164B5">
                    <w:rPr>
                      <w:rFonts w:ascii="Times New Roman" w:hAnsi="Times New Roman"/>
                      <w:i/>
                      <w:iCs/>
                      <w:sz w:val="20"/>
                      <w:szCs w:val="20"/>
                    </w:rPr>
                    <w:t>poplatkov.</w:t>
                  </w:r>
                </w:p>
                <w:p w:rsidR="0000498C" w:rsidRPr="00B164B5" w:rsidP="00C60DD8">
                  <w:pPr>
                    <w:pStyle w:val="Default"/>
                    <w:bidi w:val="0"/>
                    <w:ind w:firstLine="467"/>
                    <w:jc w:val="both"/>
                    <w:rPr>
                      <w:rFonts w:ascii="Times New Roman" w:hAnsi="Times New Roman"/>
                      <w:i/>
                      <w:iCs/>
                      <w:sz w:val="20"/>
                      <w:szCs w:val="20"/>
                    </w:rPr>
                  </w:pPr>
                  <w:r w:rsidRPr="00B164B5">
                    <w:rPr>
                      <w:rFonts w:ascii="Times New Roman" w:hAnsi="Times New Roman"/>
                      <w:i/>
                      <w:iCs/>
                      <w:sz w:val="20"/>
                      <w:szCs w:val="20"/>
                    </w:rPr>
                    <w:t>Realizácia nových činností, ktoré vyplývajú z nariadenia, prispeje k naplneniu jeho základného cieľa, a to zjednodušiť a harmonizovať právne predpisy, ktorými sa riadi klinické skúšanie naprieč EÚ. To si však vyžiada signifikantné zvýšenie požiadaviek na personálne obsadenie a materiálno-technické zabezpečenie               a s tým spojený zodpovedajúci nárast nákladov ŠUKL</w:t>
                  </w:r>
                  <w:r w:rsidRPr="00B164B5" w:rsidR="00C60DD8">
                    <w:rPr>
                      <w:rFonts w:ascii="Times New Roman" w:hAnsi="Times New Roman"/>
                      <w:i/>
                      <w:iCs/>
                      <w:sz w:val="20"/>
                      <w:szCs w:val="20"/>
                    </w:rPr>
                    <w:t>-</w:t>
                  </w:r>
                  <w:r w:rsidRPr="00B164B5">
                    <w:rPr>
                      <w:rFonts w:ascii="Times New Roman" w:hAnsi="Times New Roman"/>
                      <w:i/>
                      <w:iCs/>
                      <w:sz w:val="20"/>
                      <w:szCs w:val="20"/>
                    </w:rPr>
                    <w:t>u.  Na druhej strane rozšírenie poskytovaných služieb a výkonov ŠÚKL</w:t>
                  </w:r>
                  <w:r w:rsidRPr="00B164B5" w:rsidR="00C60DD8">
                    <w:rPr>
                      <w:rFonts w:ascii="Times New Roman" w:hAnsi="Times New Roman"/>
                      <w:i/>
                      <w:iCs/>
                      <w:sz w:val="20"/>
                      <w:szCs w:val="20"/>
                    </w:rPr>
                    <w:t>-</w:t>
                  </w:r>
                  <w:r w:rsidRPr="00B164B5">
                    <w:rPr>
                      <w:rFonts w:ascii="Times New Roman" w:hAnsi="Times New Roman"/>
                      <w:i/>
                      <w:iCs/>
                      <w:sz w:val="20"/>
                      <w:szCs w:val="20"/>
                    </w:rPr>
                    <w:t xml:space="preserve">u </w:t>
                  </w:r>
                  <w:r w:rsidRPr="00B164B5" w:rsidR="00F665B5">
                    <w:rPr>
                      <w:rFonts w:ascii="Times New Roman" w:hAnsi="Times New Roman"/>
                      <w:i/>
                      <w:iCs/>
                      <w:sz w:val="20"/>
                      <w:szCs w:val="20"/>
                    </w:rPr>
                    <w:t>sa prejaví</w:t>
                  </w:r>
                  <w:r w:rsidRPr="00B164B5">
                    <w:rPr>
                      <w:rFonts w:ascii="Times New Roman" w:hAnsi="Times New Roman"/>
                      <w:i/>
                      <w:iCs/>
                      <w:sz w:val="20"/>
                      <w:szCs w:val="20"/>
                    </w:rPr>
                    <w:t xml:space="preserve"> vo zvýšení príjmov rozpočtu verejnej správy vo forme správnych poplatkov. </w:t>
                  </w:r>
                  <w:r w:rsidRPr="00B164B5" w:rsidR="00C60DD8">
                    <w:rPr>
                      <w:rFonts w:ascii="Times New Roman" w:hAnsi="Times New Roman"/>
                      <w:i/>
                      <w:iCs/>
                      <w:sz w:val="20"/>
                      <w:szCs w:val="20"/>
                    </w:rPr>
                    <w:t>Nové</w:t>
                  </w:r>
                  <w:r w:rsidRPr="00B164B5">
                    <w:rPr>
                      <w:rFonts w:ascii="Times New Roman" w:hAnsi="Times New Roman"/>
                      <w:i/>
                      <w:iCs/>
                      <w:sz w:val="20"/>
                      <w:szCs w:val="20"/>
                    </w:rPr>
                    <w:t xml:space="preserve"> správne poplatky by mali </w:t>
                  </w:r>
                  <w:r w:rsidRPr="00B164B5" w:rsidR="00C60DD8">
                    <w:rPr>
                      <w:rFonts w:ascii="Times New Roman" w:hAnsi="Times New Roman"/>
                      <w:i/>
                      <w:iCs/>
                      <w:sz w:val="20"/>
                      <w:szCs w:val="20"/>
                    </w:rPr>
                    <w:t>kryť</w:t>
                  </w:r>
                  <w:r w:rsidRPr="00B164B5">
                    <w:rPr>
                      <w:rFonts w:ascii="Times New Roman" w:hAnsi="Times New Roman"/>
                      <w:i/>
                      <w:iCs/>
                      <w:sz w:val="20"/>
                      <w:szCs w:val="20"/>
                    </w:rPr>
                    <w:t xml:space="preserve"> zvýšené nároky ŠÚKL</w:t>
                  </w:r>
                  <w:r w:rsidRPr="00B164B5" w:rsidR="00C60DD8">
                    <w:rPr>
                      <w:rFonts w:ascii="Times New Roman" w:hAnsi="Times New Roman"/>
                      <w:i/>
                      <w:iCs/>
                      <w:sz w:val="20"/>
                      <w:szCs w:val="20"/>
                    </w:rPr>
                    <w:t>-</w:t>
                  </w:r>
                  <w:r w:rsidRPr="00B164B5">
                    <w:rPr>
                      <w:rFonts w:ascii="Times New Roman" w:hAnsi="Times New Roman"/>
                      <w:i/>
                      <w:iCs/>
                      <w:sz w:val="20"/>
                      <w:szCs w:val="20"/>
                    </w:rPr>
                    <w:t>u a</w:t>
                  </w:r>
                  <w:r w:rsidRPr="00B164B5" w:rsidR="00C60DD8">
                    <w:rPr>
                      <w:rFonts w:ascii="Times New Roman" w:hAnsi="Times New Roman"/>
                      <w:i/>
                      <w:iCs/>
                      <w:sz w:val="20"/>
                      <w:szCs w:val="20"/>
                    </w:rPr>
                    <w:t xml:space="preserve"> Ministerstva zdravotníctva SR, ktoré bude zabezpečovať činnosť Etickej komisie pre klinické skúšanie a bude zriaďovateľom a správcom národného portálu na komunikáciu medzi ŠÚKL-o, a Etickou komisiou pre klinické skúšanie. </w:t>
                  </w:r>
                </w:p>
                <w:p w:rsidR="00C60DD8" w:rsidRPr="00B164B5" w:rsidP="00C60DD8">
                  <w:pPr>
                    <w:bidi w:val="0"/>
                    <w:ind w:firstLine="567"/>
                    <w:jc w:val="both"/>
                    <w:rPr>
                      <w:rFonts w:ascii="Times New Roman" w:hAnsi="Times New Roman"/>
                      <w:i/>
                    </w:rPr>
                  </w:pPr>
                  <w:r w:rsidRPr="00B164B5">
                    <w:rPr>
                      <w:rStyle w:val="PlaceholderText"/>
                      <w:i/>
                      <w:color w:val="000000"/>
                    </w:rPr>
                    <w:t>V článku II sa navrhuje zmena z</w:t>
                  </w:r>
                  <w:r w:rsidRPr="00B164B5">
                    <w:rPr>
                      <w:rFonts w:ascii="Times New Roman" w:hAnsi="Times New Roman"/>
                      <w:i/>
                    </w:rPr>
                    <w:t>ákona Národnej rady Slovenskej republiky č. 145/1995 Z. z. o správnych poplatkoch v znení neskorších predpisov. Navrhuje sa zvýšenie poplatkov za posudzovanie jednotlivých druhov žiadostí o povolenie klinického skúšania.</w:t>
                  </w:r>
                </w:p>
                <w:p w:rsidR="0000498C" w:rsidRPr="00B164B5" w:rsidP="00C60DD8">
                  <w:pPr>
                    <w:bidi w:val="0"/>
                    <w:ind w:firstLine="567"/>
                    <w:jc w:val="both"/>
                    <w:rPr>
                      <w:rFonts w:ascii="Times New Roman" w:hAnsi="Times New Roman"/>
                      <w:i/>
                    </w:rPr>
                  </w:pPr>
                  <w:r w:rsidRPr="00B164B5" w:rsidR="00C60DD8">
                    <w:rPr>
                      <w:rStyle w:val="PlaceholderText"/>
                      <w:i/>
                      <w:color w:val="000000"/>
                    </w:rPr>
                    <w:t>V článku III sa navrhuje zmena</w:t>
                  </w:r>
                  <w:r w:rsidRPr="00B164B5" w:rsidR="00C60DD8">
                    <w:rPr>
                      <w:rFonts w:ascii="Times New Roman" w:hAnsi="Times New Roman"/>
                      <w:i/>
                    </w:rPr>
                    <w:t xml:space="preserve"> zákona č. 576/2004 Z. z. o zdravotnej starostlivosti, službách súvisiacich s poskytovaním zdravotnej starostlivosti a o zmene a doplnení niektorých zákonov v znení neskorších predpisov. Ide o zosúladenie doteraz platných ustanovení, na základe ktorých sa ustanovujú etické komisie na posudzovanie biomedicínskeho výskumu. Vzhľadom na to, že klinické skúšanie je považované za biomedicínsky výskum a nariadenie (EÚ) 536/2014 ako priamo vykonateľné vo všetkých členských štátoch Európskej únie upravuje procesy posudzovania jednotlivých žiadosti je potrebné tieto požiadavky zohľadniť aj v tomto zákone. </w:t>
                  </w:r>
                </w:p>
                <w:p w:rsidR="00FE4B85" w:rsidRPr="00B164B5" w:rsidP="00C60DD8">
                  <w:pPr>
                    <w:bidi w:val="0"/>
                    <w:ind w:firstLine="567"/>
                    <w:jc w:val="both"/>
                    <w:rPr>
                      <w:rFonts w:ascii="Times New Roman" w:hAnsi="Times New Roman"/>
                      <w:i/>
                    </w:rPr>
                  </w:pPr>
                </w:p>
                <w:p w:rsidR="00C60DD8" w:rsidRPr="00B164B5" w:rsidP="00C60DD8">
                  <w:pPr>
                    <w:bidi w:val="0"/>
                    <w:ind w:firstLine="567"/>
                    <w:jc w:val="both"/>
                    <w:rPr>
                      <w:rFonts w:ascii="Times New Roman" w:hAnsi="Times New Roman"/>
                      <w:bCs/>
                      <w:i/>
                    </w:rPr>
                  </w:pPr>
                  <w:r w:rsidRPr="00B164B5">
                    <w:rPr>
                      <w:rFonts w:ascii="Times New Roman" w:hAnsi="Times New Roman"/>
                      <w:i/>
                    </w:rPr>
                    <w:t xml:space="preserve">Pri </w:t>
                  </w:r>
                  <w:r w:rsidRPr="00B164B5">
                    <w:rPr>
                      <w:rFonts w:ascii="Times New Roman" w:hAnsi="Times New Roman"/>
                      <w:bCs/>
                      <w:i/>
                    </w:rPr>
                    <w:t>poskytovaní lekárenskej starostlivosti vo verejných lekárňach a v nemocničných lekárňach sa navrhuje posilnenie úlohy odborných zástupcov a jednoznačnejšie sa vymedzujú ich právomocí a povinnosti.</w:t>
                  </w:r>
                </w:p>
                <w:p w:rsidR="00C60DD8" w:rsidRPr="00B164B5" w:rsidP="00C60DD8">
                  <w:pPr>
                    <w:bidi w:val="0"/>
                    <w:ind w:firstLine="567"/>
                    <w:jc w:val="both"/>
                    <w:rPr>
                      <w:rFonts w:ascii="Times New Roman" w:hAnsi="Times New Roman"/>
                      <w:bCs/>
                      <w:i/>
                    </w:rPr>
                  </w:pPr>
                  <w:r w:rsidRPr="00B164B5">
                    <w:rPr>
                      <w:rFonts w:ascii="Times New Roman" w:hAnsi="Times New Roman"/>
                      <w:bCs/>
                      <w:i/>
                    </w:rPr>
                    <w:t>Novým spôsobom je definovaná  lekárenská pohotovostná služba a spôsob jej určovania.</w:t>
                  </w:r>
                </w:p>
                <w:p w:rsidR="00F46317" w:rsidRPr="00FA3C23" w:rsidP="00F46317">
                  <w:pPr>
                    <w:pBdr>
                      <w:top w:val="single" w:sz="4" w:space="1" w:color="auto"/>
                      <w:left w:val="single" w:sz="4" w:space="4" w:color="auto"/>
                      <w:bottom w:val="single" w:sz="4" w:space="1" w:color="auto"/>
                      <w:right w:val="single" w:sz="4" w:space="4" w:color="auto"/>
                    </w:pBdr>
                    <w:bidi w:val="0"/>
                    <w:rPr>
                      <w:rFonts w:ascii="Times New Roman" w:hAnsi="Times New Roman"/>
                      <w:highlight w:val="yellow"/>
                    </w:rPr>
                  </w:pPr>
                </w:p>
                <w:p w:rsidR="00C60DD8" w:rsidRPr="00B164B5" w:rsidP="00C60DD8">
                  <w:pPr>
                    <w:bidi w:val="0"/>
                    <w:ind w:firstLine="567"/>
                    <w:jc w:val="both"/>
                    <w:rPr>
                      <w:rFonts w:ascii="Times New Roman" w:hAnsi="Times New Roman"/>
                      <w:i/>
                      <w:iCs/>
                    </w:rPr>
                  </w:pPr>
                </w:p>
                <w:p w:rsidR="0041395D" w:rsidRPr="00B164B5" w:rsidP="003C5F58">
                  <w:pPr>
                    <w:pStyle w:val="Default"/>
                    <w:bidi w:val="0"/>
                    <w:jc w:val="both"/>
                    <w:rPr>
                      <w:rFonts w:ascii="Times New Roman" w:hAnsi="Times New Roman"/>
                      <w:i/>
                      <w:sz w:val="20"/>
                      <w:szCs w:val="20"/>
                    </w:rPr>
                  </w:pPr>
                </w:p>
              </w:tc>
            </w:tr>
          </w:tbl>
          <w:p w:rsidR="003501A1" w:rsidRPr="00A179AE" w:rsidP="00390FF8">
            <w:pPr>
              <w:bidi w:val="0"/>
              <w:jc w:val="both"/>
              <w:rPr>
                <w:rFonts w:ascii="Times New Roman" w:hAnsi="Times New Roman"/>
              </w:rPr>
            </w:pPr>
          </w:p>
        </w:tc>
      </w:tr>
      <w:tr>
        <w:tblPrEx>
          <w:tblW w:w="9180" w:type="dxa"/>
          <w:tblLayout w:type="fixed"/>
          <w:tblLook w:val="04A0"/>
        </w:tblPrEx>
        <w:tc>
          <w:tcPr>
            <w:tcW w:w="9180" w:type="dxa"/>
            <w:gridSpan w:val="6"/>
            <w:tcBorders>
              <w:top w:val="single" w:sz="4" w:space="0" w:color="auto"/>
              <w:left w:val="single" w:sz="4" w:space="0" w:color="auto"/>
              <w:bottom w:val="nil"/>
              <w:right w:val="single" w:sz="4" w:space="0" w:color="auto"/>
            </w:tcBorders>
            <w:shd w:val="clear" w:color="auto" w:fill="E2E2E2"/>
            <w:textDirection w:val="lrTb"/>
            <w:vAlign w:val="top"/>
          </w:tcPr>
          <w:p w:rsidR="003501A1" w:rsidRPr="00390FF8" w:rsidP="00390FF8">
            <w:pPr>
              <w:pStyle w:val="ListParagraph"/>
              <w:numPr>
                <w:numId w:val="1"/>
              </w:numPr>
              <w:bidi w:val="0"/>
              <w:spacing w:after="0" w:line="240" w:lineRule="auto"/>
              <w:ind w:left="426"/>
              <w:jc w:val="both"/>
              <w:rPr>
                <w:rFonts w:ascii="Times New Roman" w:hAnsi="Times New Roman"/>
                <w:b/>
              </w:rPr>
            </w:pPr>
            <w:r w:rsidRPr="00390FF8">
              <w:rPr>
                <w:rFonts w:ascii="Times New Roman" w:hAnsi="Times New Roman"/>
                <w:b/>
              </w:rPr>
              <w:t>Dotknuté subjekty</w:t>
            </w:r>
          </w:p>
        </w:tc>
      </w:tr>
      <w:tr>
        <w:tblPrEx>
          <w:tblW w:w="9180" w:type="dxa"/>
          <w:tblLayout w:type="fixed"/>
          <w:tblLook w:val="04A0"/>
        </w:tblPrEx>
        <w:tc>
          <w:tcPr>
            <w:tcW w:w="9180" w:type="dxa"/>
            <w:gridSpan w:val="6"/>
            <w:tcBorders>
              <w:top w:val="nil"/>
              <w:left w:val="single" w:sz="4" w:space="0" w:color="auto"/>
              <w:bottom w:val="single" w:sz="4" w:space="0" w:color="auto"/>
              <w:right w:val="single" w:sz="4" w:space="0" w:color="auto"/>
            </w:tcBorders>
            <w:shd w:val="clear" w:color="auto" w:fill="FFFFFF"/>
            <w:textDirection w:val="lrTb"/>
            <w:vAlign w:val="top"/>
          </w:tcPr>
          <w:p w:rsidR="00D12AD9" w:rsidRPr="00B164B5" w:rsidP="00390FF8">
            <w:pPr>
              <w:bidi w:val="0"/>
              <w:jc w:val="both"/>
              <w:rPr>
                <w:rFonts w:ascii="Times New Roman" w:hAnsi="Times New Roman"/>
                <w:i/>
              </w:rPr>
            </w:pPr>
          </w:p>
          <w:tbl>
            <w:tblPr>
              <w:tblStyle w:val="TableNormal"/>
              <w:tblW w:w="8975" w:type="dxa"/>
              <w:tblLayout w:type="fixed"/>
            </w:tblPr>
            <w:tblGrid>
              <w:gridCol w:w="8975"/>
            </w:tblGrid>
            <w:tr>
              <w:tblPrEx>
                <w:tblW w:w="8975" w:type="dxa"/>
                <w:tblLayout w:type="fixed"/>
              </w:tblPrEx>
              <w:trPr>
                <w:trHeight w:val="441"/>
              </w:trPr>
              <w:tc>
                <w:tcPr>
                  <w:tcW w:w="8975" w:type="dxa"/>
                  <w:tcBorders>
                    <w:top w:val="none" w:sz="0" w:space="0" w:color="auto"/>
                    <w:left w:val="none" w:sz="0" w:space="0" w:color="auto"/>
                    <w:bottom w:val="none" w:sz="0" w:space="0" w:color="auto"/>
                    <w:right w:val="none" w:sz="0" w:space="0" w:color="auto"/>
                  </w:tcBorders>
                  <w:textDirection w:val="lrTb"/>
                  <w:vAlign w:val="top"/>
                </w:tcPr>
                <w:p w:rsidR="0041395D" w:rsidRPr="00B164B5" w:rsidP="003C5F58">
                  <w:pPr>
                    <w:pStyle w:val="Default"/>
                    <w:bidi w:val="0"/>
                    <w:jc w:val="both"/>
                    <w:rPr>
                      <w:rFonts w:ascii="Times New Roman" w:hAnsi="Times New Roman"/>
                      <w:i/>
                      <w:sz w:val="20"/>
                      <w:szCs w:val="20"/>
                    </w:rPr>
                  </w:pPr>
                  <w:r w:rsidRPr="00B164B5" w:rsidR="00D12AD9">
                    <w:rPr>
                      <w:rFonts w:ascii="Times New Roman" w:hAnsi="Times New Roman"/>
                      <w:i/>
                      <w:iCs/>
                      <w:sz w:val="20"/>
                      <w:szCs w:val="20"/>
                    </w:rPr>
                    <w:t>Štátny ústav pre kontrolu liečiv</w:t>
                  </w:r>
                </w:p>
              </w:tc>
            </w:tr>
          </w:tbl>
          <w:p w:rsidR="003501A1" w:rsidRPr="00B164B5" w:rsidP="00390FF8">
            <w:pPr>
              <w:bidi w:val="0"/>
              <w:jc w:val="both"/>
              <w:rPr>
                <w:rFonts w:ascii="Times New Roman" w:hAnsi="Times New Roman"/>
                <w:i/>
              </w:rPr>
            </w:pPr>
            <w:r w:rsidRPr="00B164B5" w:rsidR="00D12AD9">
              <w:rPr>
                <w:rFonts w:ascii="Times New Roman" w:hAnsi="Times New Roman"/>
                <w:i/>
              </w:rPr>
              <w:t xml:space="preserve">  </w:t>
            </w:r>
            <w:r w:rsidR="00B164B5">
              <w:rPr>
                <w:rFonts w:ascii="Times New Roman" w:hAnsi="Times New Roman"/>
                <w:i/>
              </w:rPr>
              <w:t xml:space="preserve">Ministerstvo zdravotníctva SR - </w:t>
            </w:r>
            <w:r w:rsidRPr="00B164B5" w:rsidR="00D12AD9">
              <w:rPr>
                <w:rFonts w:ascii="Times New Roman" w:hAnsi="Times New Roman"/>
                <w:i/>
              </w:rPr>
              <w:t>Etická komisia pre klinické skúšanie liekov</w:t>
            </w:r>
          </w:p>
          <w:p w:rsidR="00D12AD9" w:rsidRPr="00B164B5" w:rsidP="00390FF8">
            <w:pPr>
              <w:bidi w:val="0"/>
              <w:jc w:val="both"/>
              <w:rPr>
                <w:rFonts w:ascii="Times New Roman" w:hAnsi="Times New Roman"/>
                <w:i/>
              </w:rPr>
            </w:pPr>
          </w:p>
          <w:p w:rsidR="00D12AD9" w:rsidRPr="00B164B5" w:rsidP="00390FF8">
            <w:pPr>
              <w:bidi w:val="0"/>
              <w:jc w:val="both"/>
              <w:rPr>
                <w:rFonts w:ascii="Times New Roman" w:hAnsi="Times New Roman"/>
                <w:i/>
              </w:rPr>
            </w:pPr>
            <w:r w:rsidRPr="00B164B5" w:rsidR="00FB055C">
              <w:rPr>
                <w:rFonts w:ascii="Times New Roman" w:hAnsi="Times New Roman"/>
                <w:i/>
                <w:iCs/>
              </w:rPr>
              <w:t xml:space="preserve">  </w:t>
            </w:r>
            <w:r w:rsidRPr="00B164B5" w:rsidR="00975D90">
              <w:rPr>
                <w:rFonts w:ascii="Times New Roman" w:hAnsi="Times New Roman"/>
                <w:i/>
                <w:iCs/>
              </w:rPr>
              <w:t xml:space="preserve">Zadávatelia - </w:t>
            </w:r>
            <w:r w:rsidRPr="00B164B5" w:rsidR="00FB055C">
              <w:rPr>
                <w:rFonts w:ascii="Times New Roman" w:hAnsi="Times New Roman"/>
                <w:i/>
              </w:rPr>
              <w:t>zadávatelia klinického skúšania,  osoby, spoločnosti, inštitúcie alebo   organizácie, ktoré preberajú zodpovednosť za iniciovanie, riadenie a zabezpečenie financovania klinického   skúšania (napríklad farmaceutické  spoločnosti, poskytovatelia zdravotnej starostlivosti, univerzity</w:t>
            </w:r>
            <w:r w:rsidR="00B164B5">
              <w:rPr>
                <w:rFonts w:ascii="Times New Roman" w:hAnsi="Times New Roman"/>
                <w:i/>
              </w:rPr>
              <w:t>, vedecké ústavy</w:t>
            </w:r>
            <w:r w:rsidRPr="00B164B5" w:rsidR="00FB055C">
              <w:rPr>
                <w:rFonts w:ascii="Times New Roman" w:hAnsi="Times New Roman"/>
                <w:i/>
              </w:rPr>
              <w:t>).</w:t>
            </w:r>
          </w:p>
          <w:p w:rsidR="00FE4B85" w:rsidRPr="00B164B5" w:rsidP="00390FF8">
            <w:pPr>
              <w:bidi w:val="0"/>
              <w:jc w:val="both"/>
              <w:rPr>
                <w:rFonts w:ascii="Times New Roman" w:hAnsi="Times New Roman"/>
                <w:i/>
              </w:rPr>
            </w:pPr>
          </w:p>
          <w:p w:rsidR="003501A1" w:rsidRPr="00B164B5" w:rsidP="00AB53C7">
            <w:pPr>
              <w:bidi w:val="0"/>
              <w:jc w:val="both"/>
              <w:rPr>
                <w:rFonts w:ascii="Times New Roman" w:hAnsi="Times New Roman"/>
                <w:i/>
              </w:rPr>
            </w:pPr>
          </w:p>
        </w:tc>
      </w:tr>
      <w:tr>
        <w:tblPrEx>
          <w:tblW w:w="9180" w:type="dxa"/>
          <w:tblLayout w:type="fixed"/>
          <w:tblLook w:val="04A0"/>
        </w:tblPrEx>
        <w:tc>
          <w:tcPr>
            <w:tcW w:w="9180" w:type="dxa"/>
            <w:gridSpan w:val="6"/>
            <w:tcBorders>
              <w:top w:val="single" w:sz="4" w:space="0" w:color="auto"/>
              <w:left w:val="single" w:sz="4" w:space="0" w:color="auto"/>
              <w:bottom w:val="nil"/>
              <w:right w:val="single" w:sz="4" w:space="0" w:color="auto"/>
            </w:tcBorders>
            <w:shd w:val="clear" w:color="auto" w:fill="E2E2E2"/>
            <w:textDirection w:val="lrTb"/>
            <w:vAlign w:val="top"/>
          </w:tcPr>
          <w:p w:rsidR="003501A1" w:rsidRPr="00390FF8" w:rsidP="00390FF8">
            <w:pPr>
              <w:pStyle w:val="ListParagraph"/>
              <w:numPr>
                <w:numId w:val="1"/>
              </w:numPr>
              <w:bidi w:val="0"/>
              <w:spacing w:after="0" w:line="240" w:lineRule="auto"/>
              <w:ind w:left="426"/>
              <w:rPr>
                <w:rFonts w:ascii="Times New Roman" w:hAnsi="Times New Roman"/>
                <w:b/>
              </w:rPr>
            </w:pPr>
            <w:r w:rsidRPr="00390FF8">
              <w:rPr>
                <w:rFonts w:ascii="Times New Roman" w:hAnsi="Times New Roman"/>
                <w:b/>
              </w:rPr>
              <w:t>Alternatívne riešenia</w:t>
            </w:r>
          </w:p>
        </w:tc>
      </w:tr>
      <w:tr>
        <w:tblPrEx>
          <w:tblW w:w="9180" w:type="dxa"/>
          <w:tblLayout w:type="fixed"/>
          <w:tblLook w:val="04A0"/>
        </w:tblPrEx>
        <w:trPr>
          <w:trHeight w:val="709"/>
        </w:trPr>
        <w:tc>
          <w:tcPr>
            <w:tcW w:w="9180" w:type="dxa"/>
            <w:gridSpan w:val="6"/>
            <w:tcBorders>
              <w:top w:val="nil"/>
              <w:left w:val="single" w:sz="4" w:space="0" w:color="auto"/>
              <w:bottom w:val="single" w:sz="4" w:space="0" w:color="auto"/>
              <w:right w:val="single" w:sz="4" w:space="0" w:color="auto"/>
            </w:tcBorders>
            <w:shd w:val="clear" w:color="auto" w:fill="FFFFFF"/>
            <w:textDirection w:val="lrTb"/>
            <w:vAlign w:val="top"/>
          </w:tcPr>
          <w:p w:rsidR="00FE4B85" w:rsidP="0041395D">
            <w:pPr>
              <w:pStyle w:val="Default"/>
              <w:bidi w:val="0"/>
              <w:rPr>
                <w:rFonts w:ascii="Times New Roman" w:hAnsi="Times New Roman"/>
                <w:i/>
                <w:iCs/>
                <w:sz w:val="20"/>
                <w:szCs w:val="20"/>
              </w:rPr>
            </w:pPr>
            <w:r>
              <w:rPr>
                <w:rFonts w:ascii="Times New Roman" w:hAnsi="Times New Roman"/>
                <w:i/>
                <w:iCs/>
                <w:sz w:val="20"/>
                <w:szCs w:val="20"/>
              </w:rPr>
              <w:t>V oblasti klinického skúšania alternatívne riešenia nie sú.</w:t>
            </w:r>
          </w:p>
          <w:p w:rsidR="00FE4B85" w:rsidRPr="00390FF8" w:rsidP="00874D41">
            <w:pPr>
              <w:pStyle w:val="Default"/>
              <w:bidi w:val="0"/>
              <w:rPr>
                <w:rFonts w:ascii="Times New Roman" w:hAnsi="Times New Roman"/>
                <w:sz w:val="20"/>
                <w:szCs w:val="20"/>
              </w:rPr>
            </w:pPr>
            <w:r>
              <w:rPr>
                <w:rFonts w:ascii="Times New Roman" w:hAnsi="Times New Roman"/>
                <w:i/>
                <w:iCs/>
                <w:sz w:val="20"/>
                <w:szCs w:val="20"/>
              </w:rPr>
              <w:t>V oblasti lekárenstva je súčasný stav, ktorý sa neosvedčil, lebo lekárenstvo stráca zdravotnícky charakter a generuje nežiaducu zvýšenú neracionálnu a nehospodárnu spotrebu liekov</w:t>
            </w:r>
            <w:r w:rsidR="00874D41">
              <w:rPr>
                <w:rFonts w:ascii="Times New Roman" w:hAnsi="Times New Roman"/>
                <w:i/>
                <w:iCs/>
                <w:sz w:val="20"/>
                <w:szCs w:val="20"/>
              </w:rPr>
              <w:t>, preto sa kladie dôraz na zvýšenie zodpovednosti odborného zástupcu za zdravotnícky charakter poskytovania lekárenskej starostlivosti vo verejnej lekárni.</w:t>
            </w:r>
          </w:p>
        </w:tc>
      </w:tr>
      <w:tr>
        <w:tblPrEx>
          <w:tblW w:w="9180" w:type="dxa"/>
          <w:tblLayout w:type="fixed"/>
          <w:tblLook w:val="04A0"/>
        </w:tblPrEx>
        <w:tc>
          <w:tcPr>
            <w:tcW w:w="9180" w:type="dxa"/>
            <w:gridSpan w:val="6"/>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390FF8" w:rsidP="00390FF8">
            <w:pPr>
              <w:pStyle w:val="ListParagraph"/>
              <w:numPr>
                <w:numId w:val="1"/>
              </w:numPr>
              <w:bidi w:val="0"/>
              <w:spacing w:after="0" w:line="240" w:lineRule="auto"/>
              <w:ind w:left="426"/>
              <w:rPr>
                <w:rFonts w:ascii="Times New Roman" w:hAnsi="Times New Roman"/>
                <w:b/>
              </w:rPr>
            </w:pPr>
            <w:r w:rsidRPr="00390FF8">
              <w:rPr>
                <w:rFonts w:ascii="Times New Roman" w:hAnsi="Times New Roman"/>
                <w:b/>
              </w:rPr>
              <w:t>Vykonávacie predpisy</w:t>
            </w:r>
          </w:p>
        </w:tc>
      </w:tr>
      <w:tr>
        <w:tblPrEx>
          <w:tblW w:w="9180" w:type="dxa"/>
          <w:tblLayout w:type="fixed"/>
          <w:tblLook w:val="04A0"/>
        </w:tblPrEx>
        <w:tc>
          <w:tcPr>
            <w:tcW w:w="6203" w:type="dxa"/>
            <w:gridSpan w:val="4"/>
            <w:tcBorders>
              <w:top w:val="single" w:sz="4" w:space="0" w:color="FFFFFF"/>
              <w:left w:val="single" w:sz="4" w:space="0" w:color="auto"/>
              <w:bottom w:val="nil"/>
              <w:right w:val="nil"/>
            </w:tcBorders>
            <w:shd w:val="clear" w:color="auto" w:fill="FFFFFF"/>
            <w:textDirection w:val="lrTb"/>
            <w:vAlign w:val="top"/>
          </w:tcPr>
          <w:p w:rsidR="003501A1" w:rsidRPr="00390FF8" w:rsidP="005C2A8E">
            <w:pPr>
              <w:bidi w:val="0"/>
              <w:rPr>
                <w:rFonts w:ascii="Times New Roman" w:hAnsi="Times New Roman"/>
                <w:i/>
              </w:rPr>
            </w:pPr>
            <w:r w:rsidRPr="00390FF8">
              <w:rPr>
                <w:rFonts w:ascii="Times New Roman" w:hAnsi="Times New Roman"/>
                <w:i/>
              </w:rPr>
              <w:t>Predpokladá sa prijatie/zmena  vykonávacích predpisov?</w:t>
            </w:r>
          </w:p>
        </w:tc>
        <w:tc>
          <w:tcPr>
            <w:tcW w:w="1417" w:type="dxa"/>
            <w:tcBorders>
              <w:top w:val="single" w:sz="4" w:space="0" w:color="FFFFFF"/>
              <w:left w:val="nil"/>
              <w:bottom w:val="nil"/>
              <w:right w:val="nil"/>
            </w:tcBorders>
            <w:shd w:val="clear" w:color="auto" w:fill="FFFFFF"/>
            <w:textDirection w:val="lrTb"/>
            <w:vAlign w:val="top"/>
          </w:tcPr>
          <w:p w:rsidR="003501A1" w:rsidRPr="00A179AE" w:rsidP="00390FF8">
            <w:pPr>
              <w:bidi w:val="0"/>
              <w:jc w:val="center"/>
              <w:rPr>
                <w:rFonts w:ascii="Times New Roman" w:hAnsi="Times New Roman"/>
              </w:rPr>
            </w:pPr>
            <w:r w:rsidRPr="00390FF8" w:rsidR="0041395D">
              <w:rPr>
                <w:rFonts w:ascii="Segoe UI Symbol" w:eastAsia="MS Mincho" w:hAnsi="Segoe UI Symbol" w:cs="Segoe UI Symbol" w:hint="default"/>
              </w:rPr>
              <w:t>☒</w:t>
            </w:r>
            <w:r w:rsidRPr="00390FF8" w:rsidR="00F73E50">
              <w:rPr>
                <w:rFonts w:ascii="MS Mincho" w:eastAsia="MS Mincho" w:hAnsi="MS Mincho" w:cs="MS Mincho"/>
              </w:rPr>
              <w:t xml:space="preserve"> </w:t>
            </w:r>
            <w:r w:rsidRPr="00A179AE">
              <w:rPr>
                <w:rFonts w:ascii="Times New Roman" w:hAnsi="Times New Roman"/>
              </w:rPr>
              <w:t>Áno</w:t>
            </w:r>
          </w:p>
        </w:tc>
        <w:tc>
          <w:tcPr>
            <w:tcW w:w="1560" w:type="dxa"/>
            <w:tcBorders>
              <w:top w:val="single" w:sz="4" w:space="0" w:color="FFFFFF"/>
              <w:left w:val="nil"/>
              <w:bottom w:val="nil"/>
              <w:right w:val="single" w:sz="4" w:space="0" w:color="auto"/>
            </w:tcBorders>
            <w:shd w:val="clear" w:color="auto" w:fill="FFFFFF"/>
            <w:textDirection w:val="lrTb"/>
            <w:vAlign w:val="top"/>
          </w:tcPr>
          <w:p w:rsidR="003501A1" w:rsidRPr="00A179AE" w:rsidP="00390FF8">
            <w:pPr>
              <w:bidi w:val="0"/>
              <w:jc w:val="center"/>
              <w:rPr>
                <w:rFonts w:ascii="Times New Roman" w:hAnsi="Times New Roman"/>
              </w:rPr>
            </w:pPr>
            <w:r w:rsidRPr="00390FF8" w:rsidR="00D13B6F">
              <w:rPr>
                <w:rFonts w:ascii="MS Gothic" w:eastAsia="MS Gothic" w:hAnsi="MS Gothic" w:hint="eastAsia"/>
              </w:rPr>
              <w:t>☐</w:t>
            </w:r>
            <w:r w:rsidRPr="00A179AE">
              <w:rPr>
                <w:rFonts w:ascii="Times New Roman" w:hAnsi="Times New Roman"/>
              </w:rPr>
              <w:t xml:space="preserve">  Nie</w:t>
            </w:r>
          </w:p>
        </w:tc>
      </w:tr>
      <w:tr>
        <w:tblPrEx>
          <w:tblW w:w="9180" w:type="dxa"/>
          <w:tblLayout w:type="fixed"/>
          <w:tblLook w:val="04A0"/>
        </w:tblPrEx>
        <w:tc>
          <w:tcPr>
            <w:tcW w:w="9180" w:type="dxa"/>
            <w:gridSpan w:val="6"/>
            <w:tcBorders>
              <w:top w:val="nil"/>
              <w:left w:val="single" w:sz="4" w:space="0" w:color="auto"/>
              <w:bottom w:val="single" w:sz="4" w:space="0" w:color="auto"/>
              <w:right w:val="single" w:sz="4" w:space="0" w:color="auto"/>
            </w:tcBorders>
            <w:shd w:val="clear" w:color="auto" w:fill="FFFFFF"/>
            <w:textDirection w:val="lrTb"/>
            <w:vAlign w:val="top"/>
          </w:tcPr>
          <w:p w:rsidR="003501A1" w:rsidRPr="00390FF8" w:rsidP="005C2A8E">
            <w:pPr>
              <w:bidi w:val="0"/>
              <w:rPr>
                <w:rFonts w:ascii="Times New Roman" w:hAnsi="Times New Roman"/>
                <w:i/>
              </w:rPr>
            </w:pPr>
            <w:r w:rsidRPr="00390FF8">
              <w:rPr>
                <w:rFonts w:ascii="Times New Roman" w:hAnsi="Times New Roman"/>
                <w:i/>
              </w:rPr>
              <w:t>Ak áno, uveďte ktoré oblasti budú nimi upravené, resp. ktorých vykonávacích predpisov sa zmena dotkne:</w:t>
            </w:r>
          </w:p>
          <w:p w:rsidR="00A96EAA" w:rsidP="00FE4B85">
            <w:pPr>
              <w:numPr>
                <w:numId w:val="3"/>
              </w:numPr>
              <w:bidi w:val="0"/>
              <w:rPr>
                <w:rFonts w:ascii="Times New Roman" w:hAnsi="Times New Roman"/>
                <w:i/>
              </w:rPr>
            </w:pPr>
            <w:r w:rsidR="00975D90">
              <w:rPr>
                <w:rFonts w:ascii="Times New Roman" w:hAnsi="Times New Roman"/>
                <w:i/>
              </w:rPr>
              <w:t xml:space="preserve"> zrušenie v</w:t>
            </w:r>
            <w:r w:rsidRPr="00390FF8">
              <w:rPr>
                <w:rFonts w:ascii="Times New Roman" w:hAnsi="Times New Roman"/>
                <w:i/>
              </w:rPr>
              <w:t>yhlášk</w:t>
            </w:r>
            <w:r w:rsidR="00975D90">
              <w:rPr>
                <w:rFonts w:ascii="Times New Roman" w:hAnsi="Times New Roman"/>
                <w:i/>
              </w:rPr>
              <w:t xml:space="preserve">y </w:t>
            </w:r>
            <w:r w:rsidRPr="00390FF8">
              <w:rPr>
                <w:rFonts w:ascii="Times New Roman" w:hAnsi="Times New Roman"/>
                <w:i/>
              </w:rPr>
              <w:t>Ministerstva zdravotníctva Slovenskej republiky č. 433/2011 Z. z., ktorou sa ustanovujú podrobnosti  o požiadavkách na pracovisko, na ktorom sa vykonáva klinické skúšanie, o náležitostiach žiadosti o jeho schválenie, žiadosti o stanovisko k etike klinického skúšania a náležitostiach tohto stanoviska</w:t>
            </w:r>
            <w:r w:rsidR="00975D90">
              <w:rPr>
                <w:rFonts w:ascii="Times New Roman" w:hAnsi="Times New Roman"/>
                <w:i/>
              </w:rPr>
              <w:t>.</w:t>
            </w:r>
          </w:p>
          <w:p w:rsidR="00975D90" w:rsidP="00A96EAA">
            <w:pPr>
              <w:bidi w:val="0"/>
              <w:rPr>
                <w:rFonts w:ascii="Times New Roman" w:hAnsi="Times New Roman"/>
                <w:i/>
              </w:rPr>
            </w:pPr>
            <w:r w:rsidR="00704C0D">
              <w:rPr>
                <w:rFonts w:ascii="Times New Roman" w:hAnsi="Times New Roman"/>
                <w:i/>
              </w:rPr>
              <w:t>Dôvod: p</w:t>
            </w:r>
            <w:r w:rsidRPr="00390FF8">
              <w:rPr>
                <w:rFonts w:ascii="Times New Roman" w:hAnsi="Times New Roman"/>
                <w:i/>
              </w:rPr>
              <w:t>ožiadavk</w:t>
            </w:r>
            <w:r>
              <w:rPr>
                <w:rFonts w:ascii="Times New Roman" w:hAnsi="Times New Roman"/>
                <w:i/>
              </w:rPr>
              <w:t>y</w:t>
            </w:r>
            <w:r w:rsidRPr="00390FF8">
              <w:rPr>
                <w:rFonts w:ascii="Times New Roman" w:hAnsi="Times New Roman"/>
                <w:i/>
              </w:rPr>
              <w:t xml:space="preserve"> na pracovisko, na ktorom sa vykonáva klinické skúšanie</w:t>
            </w:r>
            <w:r>
              <w:rPr>
                <w:rFonts w:ascii="Times New Roman" w:hAnsi="Times New Roman"/>
                <w:i/>
              </w:rPr>
              <w:t xml:space="preserve"> obsahuje nariadenie.</w:t>
            </w:r>
          </w:p>
          <w:p w:rsidR="00975D90" w:rsidP="00A96EAA">
            <w:pPr>
              <w:bidi w:val="0"/>
              <w:rPr>
                <w:rFonts w:ascii="Times New Roman" w:hAnsi="Times New Roman"/>
                <w:i/>
              </w:rPr>
            </w:pPr>
            <w:r>
              <w:rPr>
                <w:rFonts w:ascii="Times New Roman" w:hAnsi="Times New Roman"/>
                <w:i/>
              </w:rPr>
              <w:t>Navrhovaný zákon obsahuje požiadavky na stanovisko etickej komisie pre klinické skúšanie.</w:t>
            </w:r>
          </w:p>
          <w:p w:rsidR="00FE4B85" w:rsidP="00A96EAA">
            <w:pPr>
              <w:bidi w:val="0"/>
              <w:rPr>
                <w:rFonts w:ascii="Times New Roman" w:hAnsi="Times New Roman"/>
                <w:i/>
              </w:rPr>
            </w:pPr>
          </w:p>
          <w:p w:rsidR="00FE4B85" w:rsidRPr="00390FF8" w:rsidP="00FE4B85">
            <w:pPr>
              <w:numPr>
                <w:numId w:val="3"/>
              </w:numPr>
              <w:bidi w:val="0"/>
              <w:jc w:val="both"/>
              <w:rPr>
                <w:rFonts w:ascii="Times New Roman" w:hAnsi="Times New Roman"/>
                <w:i/>
              </w:rPr>
            </w:pPr>
            <w:r>
              <w:rPr>
                <w:rFonts w:ascii="Times New Roman" w:hAnsi="Times New Roman"/>
                <w:i/>
              </w:rPr>
              <w:t xml:space="preserve">novela vyhlášky </w:t>
            </w:r>
            <w:r w:rsidRPr="00390FF8">
              <w:rPr>
                <w:rFonts w:ascii="Times New Roman" w:hAnsi="Times New Roman"/>
                <w:i/>
              </w:rPr>
              <w:t>Ministerstva zdravotníctva Slovenskej republiky č.</w:t>
            </w:r>
            <w:r>
              <w:rPr>
                <w:rFonts w:ascii="Times New Roman" w:hAnsi="Times New Roman"/>
                <w:i/>
              </w:rPr>
              <w:t xml:space="preserve">129/2012 Z. z. </w:t>
            </w:r>
            <w:r w:rsidRPr="00FE4B85">
              <w:rPr>
                <w:rFonts w:ascii="Times New Roman" w:hAnsi="Times New Roman"/>
                <w:i/>
              </w:rPr>
              <w:t>o požiadavkách na správnu lekárenskú prax</w:t>
            </w:r>
          </w:p>
          <w:p w:rsidR="003501A1" w:rsidRPr="00A179AE" w:rsidP="005C2A8E">
            <w:pPr>
              <w:bidi w:val="0"/>
              <w:rPr>
                <w:rFonts w:ascii="Times New Roman" w:hAnsi="Times New Roman"/>
              </w:rPr>
            </w:pPr>
          </w:p>
        </w:tc>
      </w:tr>
      <w:tr>
        <w:tblPrEx>
          <w:tblW w:w="9180" w:type="dxa"/>
          <w:tblLayout w:type="fixed"/>
          <w:tblLook w:val="04A0"/>
        </w:tblPrEx>
        <w:tc>
          <w:tcPr>
            <w:tcW w:w="9180" w:type="dxa"/>
            <w:gridSpan w:val="6"/>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390FF8" w:rsidP="00390FF8">
            <w:pPr>
              <w:pStyle w:val="ListParagraph"/>
              <w:numPr>
                <w:numId w:val="1"/>
              </w:numPr>
              <w:bidi w:val="0"/>
              <w:spacing w:after="0" w:line="240" w:lineRule="auto"/>
              <w:ind w:left="426"/>
              <w:rPr>
                <w:rFonts w:ascii="Times New Roman" w:hAnsi="Times New Roman"/>
                <w:b/>
              </w:rPr>
            </w:pPr>
            <w:r w:rsidRPr="00390FF8">
              <w:rPr>
                <w:rFonts w:ascii="Times New Roman" w:hAnsi="Times New Roman"/>
                <w:b/>
              </w:rPr>
              <w:t xml:space="preserve">Transpozícia práva EÚ </w:t>
            </w:r>
          </w:p>
        </w:tc>
      </w:tr>
      <w:tr>
        <w:tblPrEx>
          <w:tblW w:w="9180" w:type="dxa"/>
          <w:tblLayout w:type="fixed"/>
          <w:tblLook w:val="04A0"/>
        </w:tblPrEx>
        <w:trPr>
          <w:trHeight w:val="157"/>
        </w:trPr>
        <w:tc>
          <w:tcPr>
            <w:tcW w:w="9180" w:type="dxa"/>
            <w:gridSpan w:val="6"/>
            <w:tcBorders>
              <w:top w:val="nil"/>
              <w:left w:val="single" w:sz="4" w:space="0" w:color="000000"/>
              <w:bottom w:val="nil"/>
              <w:right w:val="single" w:sz="4" w:space="0" w:color="auto"/>
            </w:tcBorders>
            <w:shd w:val="clear" w:color="auto" w:fill="FFFFFF"/>
            <w:textDirection w:val="lrTb"/>
            <w:vAlign w:val="top"/>
          </w:tcPr>
          <w:p w:rsidR="003501A1" w:rsidRPr="00390FF8" w:rsidP="005C2A8E">
            <w:pPr>
              <w:bidi w:val="0"/>
              <w:rPr>
                <w:rFonts w:ascii="Times New Roman" w:hAnsi="Times New Roman"/>
                <w:i/>
              </w:rPr>
            </w:pPr>
            <w:r w:rsidR="00975D90">
              <w:rPr>
                <w:rFonts w:ascii="Times New Roman" w:hAnsi="Times New Roman"/>
                <w:i/>
              </w:rPr>
              <w:t>bezpredmetné</w:t>
            </w:r>
          </w:p>
        </w:tc>
      </w:tr>
      <w:tr>
        <w:tblPrEx>
          <w:tblW w:w="9180" w:type="dxa"/>
          <w:tblLayout w:type="fixed"/>
          <w:tblLook w:val="04A0"/>
        </w:tblPrEx>
        <w:trPr>
          <w:trHeight w:val="248"/>
        </w:trPr>
        <w:tc>
          <w:tcPr>
            <w:tcW w:w="9180" w:type="dxa"/>
            <w:gridSpan w:val="6"/>
            <w:tcBorders>
              <w:top w:val="nil"/>
              <w:left w:val="single" w:sz="4" w:space="0" w:color="000000"/>
              <w:bottom w:val="single" w:sz="4" w:space="0" w:color="000000"/>
              <w:right w:val="single" w:sz="4" w:space="0" w:color="000000"/>
            </w:tcBorders>
            <w:shd w:val="clear" w:color="auto" w:fill="FFFFFF"/>
            <w:textDirection w:val="lrTb"/>
            <w:vAlign w:val="top"/>
          </w:tcPr>
          <w:p w:rsidR="003501A1" w:rsidRPr="00A179AE" w:rsidP="00390FF8">
            <w:pPr>
              <w:bidi w:val="0"/>
              <w:jc w:val="center"/>
              <w:rPr>
                <w:rFonts w:ascii="Times New Roman" w:hAnsi="Times New Roman"/>
              </w:rPr>
            </w:pPr>
          </w:p>
        </w:tc>
      </w:tr>
      <w:tr>
        <w:tblPrEx>
          <w:tblW w:w="9180" w:type="dxa"/>
          <w:tblLayout w:type="fixed"/>
          <w:tblLook w:val="04A0"/>
        </w:tblPrEx>
        <w:tc>
          <w:tcPr>
            <w:tcW w:w="9180" w:type="dxa"/>
            <w:gridSpan w:val="6"/>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390FF8" w:rsidP="00390FF8">
            <w:pPr>
              <w:pStyle w:val="ListParagraph"/>
              <w:numPr>
                <w:numId w:val="1"/>
              </w:numPr>
              <w:bidi w:val="0"/>
              <w:spacing w:after="0" w:line="240" w:lineRule="auto"/>
              <w:ind w:left="426"/>
              <w:rPr>
                <w:rFonts w:ascii="Times New Roman" w:hAnsi="Times New Roman"/>
                <w:b/>
              </w:rPr>
            </w:pPr>
            <w:r w:rsidRPr="00390FF8">
              <w:rPr>
                <w:rFonts w:ascii="Times New Roman" w:hAnsi="Times New Roman"/>
                <w:b/>
              </w:rPr>
              <w:t>Preskúmanie účelnosti</w:t>
            </w:r>
            <w:r w:rsidRPr="00390FF8" w:rsidR="00F62771">
              <w:rPr>
                <w:rFonts w:ascii="Times New Roman" w:hAnsi="Times New Roman"/>
                <w:b/>
              </w:rPr>
              <w:t>**</w:t>
            </w:r>
          </w:p>
        </w:tc>
      </w:tr>
      <w:tr>
        <w:tblPrEx>
          <w:tblW w:w="9180" w:type="dxa"/>
          <w:tblLayout w:type="fixed"/>
          <w:tblLook w:val="04A0"/>
        </w:tblPrEx>
        <w:tc>
          <w:tcPr>
            <w:tcW w:w="9180" w:type="dxa"/>
            <w:gridSpan w:val="6"/>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293333" w:rsidRPr="00390FF8" w:rsidP="00293333">
            <w:pPr>
              <w:bidi w:val="0"/>
              <w:rPr>
                <w:rFonts w:ascii="Times New Roman" w:hAnsi="Times New Roman"/>
                <w:i/>
              </w:rPr>
            </w:pPr>
          </w:p>
        </w:tc>
      </w:tr>
      <w:tr>
        <w:tblPrEx>
          <w:tblW w:w="9180" w:type="dxa"/>
          <w:tblLayout w:type="fixed"/>
          <w:tblLook w:val="04A0"/>
        </w:tblPrEx>
        <w:trPr>
          <w:trHeight w:val="715"/>
        </w:trPr>
        <w:tc>
          <w:tcPr>
            <w:tcW w:w="9180" w:type="dxa"/>
            <w:gridSpan w:val="6"/>
            <w:tcBorders>
              <w:top w:val="single" w:sz="4" w:space="0" w:color="auto"/>
              <w:left w:val="nil"/>
              <w:bottom w:val="nil"/>
              <w:right w:val="nil"/>
            </w:tcBorders>
            <w:shd w:val="clear" w:color="auto" w:fill="FFFFFF"/>
            <w:textDirection w:val="lrTb"/>
            <w:vAlign w:val="top"/>
          </w:tcPr>
          <w:p w:rsidR="00D13B6F" w:rsidP="00390FF8">
            <w:pPr>
              <w:bidi w:val="0"/>
              <w:ind w:left="142" w:hanging="142"/>
              <w:rPr>
                <w:rFonts w:ascii="Times New Roman" w:hAnsi="Times New Roman"/>
              </w:rPr>
            </w:pPr>
          </w:p>
          <w:p w:rsidR="00F62771" w:rsidP="00390FF8">
            <w:pPr>
              <w:bidi w:val="0"/>
              <w:ind w:left="142" w:hanging="142"/>
              <w:rPr>
                <w:rFonts w:ascii="Times New Roman" w:hAnsi="Times New Roman"/>
              </w:rPr>
            </w:pPr>
            <w:r>
              <w:rPr>
                <w:rFonts w:ascii="Times New Roman" w:hAnsi="Times New Roman"/>
              </w:rPr>
              <w:t xml:space="preserve">* </w:t>
            </w:r>
            <w:r w:rsidR="004C60B8">
              <w:rPr>
                <w:rFonts w:ascii="Times New Roman" w:hAnsi="Times New Roman"/>
              </w:rPr>
              <w:t xml:space="preserve">vyplniť iba v prípade, </w:t>
            </w:r>
            <w:r w:rsidRPr="004C60B8" w:rsidR="004C60B8">
              <w:rPr>
                <w:rFonts w:ascii="Times New Roman" w:hAnsi="Times New Roman"/>
              </w:rPr>
              <w:t>ak</w:t>
            </w:r>
            <w:r w:rsidRPr="004C60B8">
              <w:rPr>
                <w:rFonts w:ascii="Times New Roman" w:hAnsi="Times New Roman"/>
              </w:rPr>
              <w:t xml:space="preserve"> </w:t>
            </w:r>
            <w:r w:rsidRPr="004C60B8" w:rsidR="004C60B8">
              <w:rPr>
                <w:rFonts w:ascii="Times New Roman" w:hAnsi="Times New Roman"/>
              </w:rPr>
              <w:t xml:space="preserve">materiál </w:t>
            </w:r>
            <w:r w:rsidRPr="004C60B8">
              <w:rPr>
                <w:rFonts w:ascii="Times New Roman" w:hAnsi="Times New Roman"/>
              </w:rPr>
              <w:t xml:space="preserve">nie je </w:t>
            </w:r>
            <w:r w:rsidRPr="004C60B8" w:rsidR="004C60B8">
              <w:rPr>
                <w:rFonts w:ascii="Times New Roman" w:hAnsi="Times New Roman"/>
              </w:rPr>
              <w:t>zahrnutý do Plánu práce vlády Slovenskej republiky alebo Plán</w:t>
            </w:r>
            <w:r w:rsidR="004C60B8">
              <w:rPr>
                <w:rFonts w:ascii="Times New Roman" w:hAnsi="Times New Roman"/>
              </w:rPr>
              <w:t>u</w:t>
            </w:r>
            <w:r w:rsidRPr="004C60B8" w:rsidR="004C60B8">
              <w:rPr>
                <w:rFonts w:ascii="Times New Roman" w:hAnsi="Times New Roman"/>
              </w:rPr>
              <w:t xml:space="preserve"> </w:t>
            </w:r>
            <w:r w:rsidR="004C60B8">
              <w:rPr>
                <w:rFonts w:ascii="Times New Roman" w:hAnsi="Times New Roman"/>
              </w:rPr>
              <w:t xml:space="preserve">       </w:t>
            </w:r>
            <w:r w:rsidRPr="004C60B8" w:rsidR="004C60B8">
              <w:rPr>
                <w:rFonts w:ascii="Times New Roman" w:hAnsi="Times New Roman"/>
              </w:rPr>
              <w:t>legislatívnych úloh vlády Slovenskej republiky.</w:t>
            </w:r>
            <w:r>
              <w:rPr>
                <w:rFonts w:ascii="Times New Roman" w:hAnsi="Times New Roman"/>
              </w:rPr>
              <w:t xml:space="preserve"> </w:t>
            </w:r>
          </w:p>
          <w:p w:rsidR="003501A1" w:rsidP="00F22831">
            <w:pPr>
              <w:bidi w:val="0"/>
              <w:rPr>
                <w:rFonts w:ascii="Times New Roman" w:hAnsi="Times New Roman"/>
              </w:rPr>
            </w:pPr>
            <w:r w:rsidR="00F62771">
              <w:rPr>
                <w:rFonts w:ascii="Times New Roman" w:hAnsi="Times New Roman"/>
              </w:rPr>
              <w:t>*</w:t>
            </w:r>
            <w:r w:rsidR="00F22831">
              <w:rPr>
                <w:rFonts w:ascii="Times New Roman" w:hAnsi="Times New Roman"/>
              </w:rPr>
              <w:t>* nepovinné</w:t>
            </w:r>
          </w:p>
          <w:p w:rsidR="00D35768" w:rsidP="00F22831">
            <w:pPr>
              <w:bidi w:val="0"/>
              <w:rPr>
                <w:rFonts w:ascii="Times New Roman" w:hAnsi="Times New Roman"/>
              </w:rPr>
            </w:pPr>
          </w:p>
          <w:tbl>
            <w:tblPr>
              <w:tblStyle w:val="TableGrid"/>
              <w:tblW w:w="9180" w:type="dxa"/>
              <w:tblLayout w:type="fixed"/>
              <w:tblLook w:val="04A0"/>
            </w:tblPr>
            <w:tblGrid>
              <w:gridCol w:w="3812"/>
              <w:gridCol w:w="541"/>
              <w:gridCol w:w="1281"/>
              <w:gridCol w:w="569"/>
              <w:gridCol w:w="1133"/>
              <w:gridCol w:w="547"/>
              <w:gridCol w:w="1297"/>
            </w:tblGrid>
            <w:tr>
              <w:tblPrEx>
                <w:tblW w:w="9180" w:type="dxa"/>
                <w:tblLayout w:type="fixed"/>
                <w:tblLook w:val="04A0"/>
              </w:tblPrEx>
              <w:trPr>
                <w:trHeight w:val="577"/>
              </w:trPr>
              <w:tc>
                <w:tcPr>
                  <w:tcW w:w="9180" w:type="dxa"/>
                  <w:gridSpan w:val="7"/>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D35768" w:rsidRPr="00A179AE" w:rsidP="00D35768">
                  <w:pPr>
                    <w:pStyle w:val="ListParagraph"/>
                    <w:numPr>
                      <w:numId w:val="1"/>
                    </w:numPr>
                    <w:bidi w:val="0"/>
                    <w:spacing w:after="0" w:line="240" w:lineRule="auto"/>
                    <w:rPr>
                      <w:rFonts w:ascii="Times New Roman" w:hAnsi="Times New Roman"/>
                      <w:b/>
                    </w:rPr>
                  </w:pPr>
                  <w:r w:rsidRPr="00A179AE">
                    <w:rPr>
                      <w:rFonts w:ascii="Times New Roman" w:hAnsi="Times New Roman"/>
                      <w:b/>
                    </w:rPr>
                    <w:t>Vplyvy navrhovaného materiálu</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D35768" w:rsidRPr="00A179AE" w:rsidP="00D35768">
                  <w:pPr>
                    <w:bidi w:val="0"/>
                    <w:rPr>
                      <w:rFonts w:ascii="Times New Roman" w:hAnsi="Times New Roman"/>
                      <w:b/>
                    </w:rPr>
                  </w:pPr>
                  <w:r w:rsidRPr="00A179AE">
                    <w:rPr>
                      <w:rFonts w:ascii="Times New Roman" w:hAnsi="Times New Roman"/>
                      <w:b/>
                    </w:rPr>
                    <w:t>Vplyvy na rozpočet verejnej správy</w:t>
                  </w:r>
                </w:p>
              </w:tc>
              <w:tc>
                <w:tcPr>
                  <w:tcW w:w="541" w:type="dxa"/>
                  <w:tcBorders>
                    <w:top w:val="single" w:sz="4" w:space="0" w:color="auto"/>
                    <w:left w:val="single" w:sz="4" w:space="0" w:color="auto"/>
                    <w:bottom w:val="single" w:sz="4" w:space="0" w:color="auto"/>
                    <w:right w:val="single" w:sz="4" w:space="0" w:color="auto"/>
                  </w:tcBorders>
                  <w:textDirection w:val="lrTb"/>
                  <w:vAlign w:val="top"/>
                </w:tcPr>
                <w:p w:rsidR="00D35768" w:rsidRPr="00A179AE" w:rsidP="00D35768">
                  <w:pPr>
                    <w:bidi w:val="0"/>
                    <w:jc w:val="center"/>
                    <w:rPr>
                      <w:rFonts w:ascii="Times New Roman" w:hAnsi="Times New Roman"/>
                      <w:b/>
                    </w:rPr>
                  </w:pPr>
                  <w:r>
                    <w:rPr>
                      <w:rFonts w:ascii="MS Gothic" w:eastAsia="MS Gothic" w:hAnsi="MS Gothic" w:hint="eastAsia"/>
                      <w:b/>
                    </w:rPr>
                    <w:t>☒</w:t>
                  </w:r>
                </w:p>
              </w:tc>
              <w:tc>
                <w:tcPr>
                  <w:tcW w:w="1281" w:type="dxa"/>
                  <w:tcBorders>
                    <w:top w:val="single" w:sz="4" w:space="0" w:color="auto"/>
                    <w:left w:val="single" w:sz="4" w:space="0" w:color="auto"/>
                    <w:bottom w:val="single" w:sz="4" w:space="0" w:color="auto"/>
                    <w:right w:val="single" w:sz="4" w:space="0" w:color="auto"/>
                  </w:tcBorders>
                  <w:textDirection w:val="lrTb"/>
                  <w:vAlign w:val="top"/>
                </w:tcPr>
                <w:p w:rsidR="00D35768" w:rsidRPr="00A179AE" w:rsidP="00D35768">
                  <w:pPr>
                    <w:bidi w:val="0"/>
                    <w:rPr>
                      <w:rFonts w:ascii="Times New Roman" w:hAnsi="Times New Roman"/>
                      <w:b/>
                    </w:rPr>
                  </w:pPr>
                  <w:r w:rsidRPr="00A179AE">
                    <w:rPr>
                      <w:rFonts w:ascii="Times New Roman" w:hAnsi="Times New Roman"/>
                      <w:b/>
                    </w:rPr>
                    <w:t>Pozitívne</w:t>
                  </w:r>
                </w:p>
              </w:tc>
              <w:tc>
                <w:tcPr>
                  <w:tcW w:w="569" w:type="dxa"/>
                  <w:tcBorders>
                    <w:top w:val="single" w:sz="4" w:space="0" w:color="auto"/>
                    <w:left w:val="single" w:sz="4" w:space="0" w:color="auto"/>
                    <w:bottom w:val="single" w:sz="4" w:space="0" w:color="auto"/>
                    <w:right w:val="single" w:sz="4" w:space="0" w:color="auto"/>
                  </w:tcBorders>
                  <w:textDirection w:val="lrTb"/>
                  <w:vAlign w:val="top"/>
                </w:tcPr>
                <w:p w:rsidR="00D35768" w:rsidRPr="00A179AE" w:rsidP="00D35768">
                  <w:pPr>
                    <w:bidi w:val="0"/>
                    <w:jc w:val="center"/>
                    <w:rPr>
                      <w:rFonts w:ascii="Times New Roman" w:hAnsi="Times New Roman"/>
                      <w:b/>
                    </w:rPr>
                  </w:pPr>
                  <w:r w:rsidRPr="00A179AE">
                    <w:rPr>
                      <w:rFonts w:ascii="Segoe UI Symbol" w:eastAsia="MS Mincho" w:hAnsi="Segoe UI Symbol" w:cs="Segoe UI Symbol" w:hint="default"/>
                      <w:b/>
                    </w:rPr>
                    <w:t>☐</w:t>
                  </w:r>
                </w:p>
              </w:tc>
              <w:tc>
                <w:tcPr>
                  <w:tcW w:w="1133" w:type="dxa"/>
                  <w:tcBorders>
                    <w:top w:val="single" w:sz="4" w:space="0" w:color="auto"/>
                    <w:left w:val="single" w:sz="4" w:space="0" w:color="auto"/>
                    <w:bottom w:val="single" w:sz="4" w:space="0" w:color="auto"/>
                    <w:right w:val="single" w:sz="4" w:space="0" w:color="auto"/>
                  </w:tcBorders>
                  <w:textDirection w:val="lrTb"/>
                  <w:vAlign w:val="top"/>
                </w:tcPr>
                <w:p w:rsidR="00D35768" w:rsidRPr="00A179AE" w:rsidP="00D35768">
                  <w:pPr>
                    <w:bidi w:val="0"/>
                    <w:rPr>
                      <w:rFonts w:ascii="Times New Roman" w:hAnsi="Times New Roman"/>
                      <w:b/>
                    </w:rPr>
                  </w:pPr>
                  <w:r w:rsidRPr="00A179AE">
                    <w:rPr>
                      <w:rFonts w:ascii="Times New Roman" w:hAnsi="Times New Roman"/>
                      <w:b/>
                    </w:rPr>
                    <w:t>Žiadne</w:t>
                  </w:r>
                </w:p>
              </w:tc>
              <w:tc>
                <w:tcPr>
                  <w:tcW w:w="547" w:type="dxa"/>
                  <w:tcBorders>
                    <w:top w:val="single" w:sz="4" w:space="0" w:color="auto"/>
                    <w:left w:val="single" w:sz="4" w:space="0" w:color="auto"/>
                    <w:bottom w:val="single" w:sz="4" w:space="0" w:color="auto"/>
                    <w:right w:val="single" w:sz="4" w:space="0" w:color="auto"/>
                  </w:tcBorders>
                  <w:textDirection w:val="lrTb"/>
                  <w:vAlign w:val="top"/>
                </w:tcPr>
                <w:p w:rsidR="00D35768" w:rsidRPr="00A179AE" w:rsidP="00D35768">
                  <w:pPr>
                    <w:bidi w:val="0"/>
                    <w:ind w:left="-107" w:right="-108"/>
                    <w:jc w:val="center"/>
                    <w:rPr>
                      <w:rFonts w:ascii="Times New Roman" w:hAnsi="Times New Roman"/>
                      <w:b/>
                    </w:rPr>
                  </w:pPr>
                  <w:r>
                    <w:rPr>
                      <w:rFonts w:ascii="MS Gothic" w:eastAsia="MS Gothic" w:hAnsi="MS Gothic" w:hint="eastAsia"/>
                      <w:b/>
                    </w:rPr>
                    <w:t>☒</w:t>
                  </w:r>
                </w:p>
              </w:tc>
              <w:tc>
                <w:tcPr>
                  <w:tcW w:w="1297" w:type="dxa"/>
                  <w:tcBorders>
                    <w:top w:val="single" w:sz="4" w:space="0" w:color="auto"/>
                    <w:left w:val="single" w:sz="4" w:space="0" w:color="auto"/>
                    <w:bottom w:val="single" w:sz="4" w:space="0" w:color="auto"/>
                    <w:right w:val="single" w:sz="4" w:space="0" w:color="auto"/>
                  </w:tcBorders>
                  <w:textDirection w:val="lrTb"/>
                  <w:vAlign w:val="top"/>
                </w:tcPr>
                <w:p w:rsidR="00D35768" w:rsidRPr="00A179AE" w:rsidP="00D35768">
                  <w:pPr>
                    <w:bidi w:val="0"/>
                    <w:ind w:left="34"/>
                    <w:rPr>
                      <w:rFonts w:ascii="Times New Roman" w:hAnsi="Times New Roman"/>
                      <w:b/>
                    </w:rPr>
                  </w:pPr>
                  <w:r w:rsidRPr="00A179AE">
                    <w:rPr>
                      <w:rFonts w:ascii="Times New Roman" w:hAnsi="Times New Roman"/>
                      <w:b/>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000000"/>
                    <w:right w:val="single" w:sz="4" w:space="0" w:color="auto"/>
                  </w:tcBorders>
                  <w:shd w:val="clear" w:color="auto" w:fill="E2E2E2"/>
                  <w:textDirection w:val="lrTb"/>
                  <w:vAlign w:val="top"/>
                </w:tcPr>
                <w:p w:rsidR="00D35768" w:rsidRPr="00A179AE" w:rsidP="00D35768">
                  <w:pPr>
                    <w:bidi w:val="0"/>
                    <w:rPr>
                      <w:rFonts w:ascii="Times New Roman" w:hAnsi="Times New Roman"/>
                    </w:rPr>
                  </w:pPr>
                  <w:r w:rsidRPr="00A179AE">
                    <w:rPr>
                      <w:rFonts w:ascii="Times New Roman" w:hAnsi="Times New Roman"/>
                    </w:rPr>
                    <w:t xml:space="preserve">    z toho rozpočtovo zabezpečené vplyvy</w:t>
                  </w:r>
                </w:p>
              </w:tc>
              <w:tc>
                <w:tcPr>
                  <w:tcW w:w="541" w:type="dxa"/>
                  <w:tcBorders>
                    <w:top w:val="single" w:sz="4" w:space="0" w:color="auto"/>
                    <w:left w:val="single" w:sz="4" w:space="0" w:color="auto"/>
                    <w:bottom w:val="single" w:sz="4" w:space="0" w:color="auto"/>
                    <w:right w:val="single" w:sz="4" w:space="0" w:color="auto"/>
                  </w:tcBorders>
                  <w:textDirection w:val="lrTb"/>
                  <w:vAlign w:val="top"/>
                </w:tcPr>
                <w:p w:rsidR="00D35768" w:rsidRPr="00A179AE" w:rsidP="00D35768">
                  <w:pPr>
                    <w:bidi w:val="0"/>
                    <w:jc w:val="center"/>
                    <w:rPr>
                      <w:rFonts w:ascii="Times New Roman" w:hAnsi="Times New Roman"/>
                    </w:rPr>
                  </w:pPr>
                  <w:r w:rsidR="00704C0D">
                    <w:rPr>
                      <w:rFonts w:ascii="MS Gothic" w:eastAsia="MS Gothic" w:hAnsi="MS Gothic" w:cs="MS Mincho" w:hint="eastAsia"/>
                    </w:rPr>
                    <w:t>☒</w:t>
                  </w:r>
                </w:p>
              </w:tc>
              <w:tc>
                <w:tcPr>
                  <w:tcW w:w="1281" w:type="dxa"/>
                  <w:tcBorders>
                    <w:top w:val="single" w:sz="4" w:space="0" w:color="auto"/>
                    <w:left w:val="single" w:sz="4" w:space="0" w:color="auto"/>
                    <w:bottom w:val="single" w:sz="4" w:space="0" w:color="auto"/>
                    <w:right w:val="single" w:sz="4" w:space="0" w:color="auto"/>
                  </w:tcBorders>
                  <w:textDirection w:val="lrTb"/>
                  <w:vAlign w:val="top"/>
                </w:tcPr>
                <w:p w:rsidR="00D35768" w:rsidRPr="00A179AE" w:rsidP="00D35768">
                  <w:pPr>
                    <w:bidi w:val="0"/>
                    <w:rPr>
                      <w:rFonts w:ascii="Times New Roman" w:hAnsi="Times New Roman"/>
                    </w:rPr>
                  </w:pPr>
                  <w:r w:rsidRPr="00A179AE">
                    <w:rPr>
                      <w:rFonts w:ascii="Times New Roman" w:hAnsi="Times New Roman"/>
                    </w:rPr>
                    <w:t>Áno</w:t>
                  </w:r>
                </w:p>
              </w:tc>
              <w:tc>
                <w:tcPr>
                  <w:tcW w:w="569" w:type="dxa"/>
                  <w:tcBorders>
                    <w:top w:val="single" w:sz="4" w:space="0" w:color="auto"/>
                    <w:left w:val="single" w:sz="4" w:space="0" w:color="auto"/>
                    <w:bottom w:val="single" w:sz="4" w:space="0" w:color="auto"/>
                    <w:right w:val="single" w:sz="4" w:space="0" w:color="auto"/>
                  </w:tcBorders>
                  <w:textDirection w:val="lrTb"/>
                  <w:vAlign w:val="top"/>
                </w:tcPr>
                <w:p w:rsidR="00D35768" w:rsidRPr="00A179AE" w:rsidP="00D35768">
                  <w:pPr>
                    <w:bidi w:val="0"/>
                    <w:jc w:val="center"/>
                    <w:rPr>
                      <w:rFonts w:ascii="Times New Roman" w:hAnsi="Times New Roman"/>
                    </w:rPr>
                  </w:pPr>
                  <w:r w:rsidRPr="00A179AE">
                    <w:rPr>
                      <w:rFonts w:ascii="Segoe UI Symbol" w:eastAsia="MS Mincho" w:hAnsi="Segoe UI Symbol" w:cs="Segoe UI Symbol" w:hint="default"/>
                    </w:rPr>
                    <w:t>☐</w:t>
                  </w:r>
                </w:p>
              </w:tc>
              <w:tc>
                <w:tcPr>
                  <w:tcW w:w="1133" w:type="dxa"/>
                  <w:tcBorders>
                    <w:top w:val="single" w:sz="4" w:space="0" w:color="auto"/>
                    <w:left w:val="single" w:sz="4" w:space="0" w:color="auto"/>
                    <w:bottom w:val="single" w:sz="4" w:space="0" w:color="auto"/>
                    <w:right w:val="single" w:sz="4" w:space="0" w:color="auto"/>
                  </w:tcBorders>
                  <w:textDirection w:val="lrTb"/>
                  <w:vAlign w:val="top"/>
                </w:tcPr>
                <w:p w:rsidR="00D35768" w:rsidRPr="00A179AE" w:rsidP="00D35768">
                  <w:pPr>
                    <w:bidi w:val="0"/>
                    <w:rPr>
                      <w:rFonts w:ascii="Times New Roman" w:hAnsi="Times New Roman"/>
                    </w:rPr>
                  </w:pPr>
                  <w:r w:rsidRPr="00A179AE">
                    <w:rPr>
                      <w:rFonts w:ascii="Times New Roman" w:hAnsi="Times New Roman"/>
                    </w:rPr>
                    <w:t>Nie</w:t>
                  </w:r>
                </w:p>
              </w:tc>
              <w:tc>
                <w:tcPr>
                  <w:tcW w:w="547" w:type="dxa"/>
                  <w:tcBorders>
                    <w:top w:val="single" w:sz="4" w:space="0" w:color="auto"/>
                    <w:left w:val="single" w:sz="4" w:space="0" w:color="auto"/>
                    <w:bottom w:val="single" w:sz="4" w:space="0" w:color="auto"/>
                    <w:right w:val="single" w:sz="4" w:space="0" w:color="auto"/>
                  </w:tcBorders>
                  <w:textDirection w:val="lrTb"/>
                  <w:vAlign w:val="top"/>
                </w:tcPr>
                <w:p w:rsidR="00D35768" w:rsidRPr="00A179AE" w:rsidP="00D35768">
                  <w:pPr>
                    <w:bidi w:val="0"/>
                    <w:ind w:left="-107" w:right="-108"/>
                    <w:jc w:val="center"/>
                    <w:rPr>
                      <w:rFonts w:ascii="Times New Roman" w:hAnsi="Times New Roman"/>
                    </w:rPr>
                  </w:pPr>
                  <w:r w:rsidRPr="00A179AE">
                    <w:rPr>
                      <w:rFonts w:ascii="Segoe UI Symbol" w:eastAsia="MS Mincho" w:hAnsi="Segoe UI Symbol" w:cs="Segoe UI Symbol" w:hint="default"/>
                    </w:rPr>
                    <w:t>☐</w:t>
                  </w:r>
                </w:p>
              </w:tc>
              <w:tc>
                <w:tcPr>
                  <w:tcW w:w="1297" w:type="dxa"/>
                  <w:tcBorders>
                    <w:top w:val="single" w:sz="4" w:space="0" w:color="auto"/>
                    <w:left w:val="single" w:sz="4" w:space="0" w:color="auto"/>
                    <w:bottom w:val="single" w:sz="4" w:space="0" w:color="auto"/>
                    <w:right w:val="single" w:sz="4" w:space="0" w:color="auto"/>
                  </w:tcBorders>
                  <w:textDirection w:val="lrTb"/>
                  <w:vAlign w:val="top"/>
                </w:tcPr>
                <w:p w:rsidR="00D35768" w:rsidRPr="00A179AE" w:rsidP="00D35768">
                  <w:pPr>
                    <w:bidi w:val="0"/>
                    <w:ind w:left="34"/>
                    <w:rPr>
                      <w:rFonts w:ascii="Times New Roman" w:hAnsi="Times New Roman"/>
                    </w:rPr>
                  </w:pPr>
                  <w:r w:rsidRPr="00A179AE">
                    <w:rPr>
                      <w:rFonts w:ascii="Times New Roman" w:hAnsi="Times New Roman"/>
                    </w:rPr>
                    <w:t>Čiastočne</w:t>
                  </w:r>
                </w:p>
              </w:tc>
            </w:tr>
            <w:tr>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extDirection w:val="lrTb"/>
                  <w:vAlign w:val="top"/>
                </w:tcPr>
                <w:p w:rsidR="00D35768" w:rsidRPr="00A179AE" w:rsidP="00D35768">
                  <w:pPr>
                    <w:bidi w:val="0"/>
                    <w:rPr>
                      <w:rFonts w:ascii="Times New Roman" w:hAnsi="Times New Roman"/>
                      <w:b/>
                    </w:rPr>
                  </w:pPr>
                  <w:r w:rsidRPr="00A179AE">
                    <w:rPr>
                      <w:rFonts w:ascii="Times New Roman" w:hAnsi="Times New Roman"/>
                      <w:b/>
                    </w:rPr>
                    <w:t>Vplyvy na podnikateľské prostredie</w:t>
                  </w:r>
                </w:p>
              </w:tc>
              <w:tc>
                <w:tcPr>
                  <w:tcW w:w="541" w:type="dxa"/>
                  <w:tcBorders>
                    <w:top w:val="single" w:sz="4" w:space="0" w:color="auto"/>
                    <w:left w:val="single" w:sz="4" w:space="0" w:color="auto"/>
                    <w:bottom w:val="single" w:sz="4" w:space="0" w:color="auto"/>
                    <w:right w:val="single" w:sz="4" w:space="0" w:color="auto"/>
                  </w:tcBorders>
                  <w:textDirection w:val="lrTb"/>
                  <w:vAlign w:val="top"/>
                </w:tcPr>
                <w:p w:rsidR="00D35768" w:rsidRPr="00A179AE" w:rsidP="00D35768">
                  <w:pPr>
                    <w:bidi w:val="0"/>
                    <w:jc w:val="center"/>
                    <w:rPr>
                      <w:rFonts w:ascii="Times New Roman" w:hAnsi="Times New Roman"/>
                      <w:b/>
                    </w:rPr>
                  </w:pPr>
                  <w:r w:rsidR="00704C0D">
                    <w:rPr>
                      <w:rFonts w:ascii="MS Gothic" w:eastAsia="MS Gothic" w:hAnsi="MS Gothic" w:cs="MS Mincho" w:hint="eastAsia"/>
                      <w:b/>
                    </w:rPr>
                    <w:t>☒</w:t>
                  </w:r>
                </w:p>
              </w:tc>
              <w:tc>
                <w:tcPr>
                  <w:tcW w:w="1281" w:type="dxa"/>
                  <w:tcBorders>
                    <w:top w:val="single" w:sz="4" w:space="0" w:color="auto"/>
                    <w:left w:val="single" w:sz="4" w:space="0" w:color="auto"/>
                    <w:bottom w:val="single" w:sz="4" w:space="0" w:color="auto"/>
                    <w:right w:val="single" w:sz="4" w:space="0" w:color="auto"/>
                  </w:tcBorders>
                  <w:textDirection w:val="lrTb"/>
                  <w:vAlign w:val="top"/>
                </w:tcPr>
                <w:p w:rsidR="00D35768" w:rsidRPr="00A179AE" w:rsidP="00D35768">
                  <w:pPr>
                    <w:bidi w:val="0"/>
                    <w:ind w:right="-108"/>
                    <w:rPr>
                      <w:rFonts w:ascii="Times New Roman" w:hAnsi="Times New Roman"/>
                      <w:b/>
                    </w:rPr>
                  </w:pPr>
                  <w:r w:rsidRPr="00A179AE">
                    <w:rPr>
                      <w:rFonts w:ascii="Times New Roman" w:hAnsi="Times New Roman"/>
                      <w:b/>
                    </w:rPr>
                    <w:t>Pozitívne</w:t>
                  </w:r>
                </w:p>
              </w:tc>
              <w:tc>
                <w:tcPr>
                  <w:tcW w:w="569" w:type="dxa"/>
                  <w:tcBorders>
                    <w:top w:val="single" w:sz="4" w:space="0" w:color="auto"/>
                    <w:left w:val="single" w:sz="4" w:space="0" w:color="auto"/>
                    <w:bottom w:val="single" w:sz="4" w:space="0" w:color="auto"/>
                    <w:right w:val="single" w:sz="4" w:space="0" w:color="auto"/>
                  </w:tcBorders>
                  <w:textDirection w:val="lrTb"/>
                  <w:vAlign w:val="top"/>
                </w:tcPr>
                <w:p w:rsidR="00D35768" w:rsidRPr="00A179AE" w:rsidP="00D35768">
                  <w:pPr>
                    <w:bidi w:val="0"/>
                    <w:jc w:val="center"/>
                    <w:rPr>
                      <w:rFonts w:ascii="Times New Roman" w:hAnsi="Times New Roman"/>
                      <w:b/>
                    </w:rPr>
                  </w:pPr>
                  <w:r w:rsidRPr="00A179AE">
                    <w:rPr>
                      <w:rFonts w:ascii="Segoe UI Symbol" w:eastAsia="MS Mincho" w:hAnsi="Segoe UI Symbol" w:cs="Segoe UI Symbol" w:hint="default"/>
                      <w:b/>
                    </w:rPr>
                    <w:t>☐</w:t>
                  </w:r>
                </w:p>
              </w:tc>
              <w:tc>
                <w:tcPr>
                  <w:tcW w:w="1133" w:type="dxa"/>
                  <w:tcBorders>
                    <w:top w:val="single" w:sz="4" w:space="0" w:color="auto"/>
                    <w:left w:val="single" w:sz="4" w:space="0" w:color="auto"/>
                    <w:bottom w:val="single" w:sz="4" w:space="0" w:color="auto"/>
                    <w:right w:val="single" w:sz="4" w:space="0" w:color="auto"/>
                  </w:tcBorders>
                  <w:textDirection w:val="lrTb"/>
                  <w:vAlign w:val="top"/>
                </w:tcPr>
                <w:p w:rsidR="00D35768" w:rsidRPr="00A179AE" w:rsidP="00D35768">
                  <w:pPr>
                    <w:bidi w:val="0"/>
                    <w:rPr>
                      <w:rFonts w:ascii="Times New Roman" w:hAnsi="Times New Roman"/>
                      <w:b/>
                    </w:rPr>
                  </w:pPr>
                  <w:r w:rsidRPr="00A179AE">
                    <w:rPr>
                      <w:rFonts w:ascii="Times New Roman" w:hAnsi="Times New Roman"/>
                      <w:b/>
                    </w:rPr>
                    <w:t>Žiadne</w:t>
                  </w:r>
                </w:p>
              </w:tc>
              <w:tc>
                <w:tcPr>
                  <w:tcW w:w="547" w:type="dxa"/>
                  <w:tcBorders>
                    <w:top w:val="single" w:sz="4" w:space="0" w:color="auto"/>
                    <w:left w:val="single" w:sz="4" w:space="0" w:color="auto"/>
                    <w:bottom w:val="single" w:sz="4" w:space="0" w:color="auto"/>
                    <w:right w:val="single" w:sz="4" w:space="0" w:color="auto"/>
                  </w:tcBorders>
                  <w:textDirection w:val="lrTb"/>
                  <w:vAlign w:val="top"/>
                </w:tcPr>
                <w:p w:rsidR="00D35768" w:rsidRPr="00A179AE" w:rsidP="00D35768">
                  <w:pPr>
                    <w:bidi w:val="0"/>
                    <w:jc w:val="center"/>
                    <w:rPr>
                      <w:rFonts w:ascii="Times New Roman" w:hAnsi="Times New Roman"/>
                      <w:b/>
                    </w:rPr>
                  </w:pPr>
                  <w:r>
                    <w:rPr>
                      <w:rFonts w:ascii="MS Gothic" w:eastAsia="MS Gothic" w:hAnsi="MS Gothic" w:hint="eastAsia"/>
                      <w:b/>
                    </w:rPr>
                    <w:t>☒</w:t>
                  </w:r>
                </w:p>
              </w:tc>
              <w:tc>
                <w:tcPr>
                  <w:tcW w:w="1297" w:type="dxa"/>
                  <w:tcBorders>
                    <w:top w:val="single" w:sz="4" w:space="0" w:color="auto"/>
                    <w:left w:val="single" w:sz="4" w:space="0" w:color="auto"/>
                    <w:bottom w:val="single" w:sz="4" w:space="0" w:color="auto"/>
                    <w:right w:val="single" w:sz="4" w:space="0" w:color="auto"/>
                  </w:tcBorders>
                  <w:textDirection w:val="lrTb"/>
                  <w:vAlign w:val="top"/>
                </w:tcPr>
                <w:p w:rsidR="00D35768" w:rsidRPr="00A179AE" w:rsidP="00D35768">
                  <w:pPr>
                    <w:bidi w:val="0"/>
                    <w:ind w:left="54"/>
                    <w:rPr>
                      <w:rFonts w:ascii="Times New Roman" w:hAnsi="Times New Roman"/>
                      <w:b/>
                    </w:rPr>
                  </w:pPr>
                  <w:r w:rsidRPr="00A179AE">
                    <w:rPr>
                      <w:rFonts w:ascii="Times New Roman" w:hAnsi="Times New Roman"/>
                      <w:b/>
                    </w:rPr>
                    <w:t>Negatívne</w:t>
                  </w:r>
                </w:p>
              </w:tc>
            </w:tr>
            <w:tr>
              <w:tblPrEx>
                <w:tblW w:w="9180" w:type="dxa"/>
                <w:tblLayout w:type="fixed"/>
                <w:tblLook w:val="04A0"/>
              </w:tblPrEx>
              <w:tc>
                <w:tcPr>
                  <w:tcW w:w="3812" w:type="dxa"/>
                  <w:tcBorders>
                    <w:top w:val="single" w:sz="4" w:space="0" w:color="auto"/>
                    <w:left w:val="single" w:sz="4" w:space="0" w:color="000000"/>
                    <w:bottom w:val="single" w:sz="4" w:space="0" w:color="000000"/>
                    <w:right w:val="single" w:sz="4" w:space="0" w:color="000000"/>
                  </w:tcBorders>
                  <w:shd w:val="clear" w:color="auto" w:fill="E2E2E2"/>
                  <w:textDirection w:val="lrTb"/>
                  <w:vAlign w:val="top"/>
                </w:tcPr>
                <w:p w:rsidR="00D35768" w:rsidRPr="00A179AE" w:rsidP="00D35768">
                  <w:pPr>
                    <w:bidi w:val="0"/>
                    <w:rPr>
                      <w:rFonts w:ascii="Times New Roman" w:hAnsi="Times New Roman"/>
                    </w:rPr>
                  </w:pPr>
                  <w:r w:rsidRPr="00A179AE">
                    <w:rPr>
                      <w:rFonts w:ascii="Times New Roman" w:hAnsi="Times New Roman"/>
                    </w:rPr>
                    <w:t xml:space="preserve">    z toho vplyvy na MSP</w:t>
                  </w:r>
                </w:p>
              </w:tc>
              <w:tc>
                <w:tcPr>
                  <w:tcW w:w="541" w:type="dxa"/>
                  <w:tcBorders>
                    <w:top w:val="single" w:sz="4" w:space="0" w:color="auto"/>
                    <w:left w:val="single" w:sz="4" w:space="0" w:color="000000"/>
                    <w:bottom w:val="single" w:sz="4" w:space="0" w:color="auto"/>
                    <w:right w:val="single" w:sz="4" w:space="0" w:color="auto"/>
                  </w:tcBorders>
                  <w:textDirection w:val="lrTb"/>
                  <w:vAlign w:val="top"/>
                </w:tcPr>
                <w:p w:rsidR="00D35768" w:rsidRPr="00A179AE" w:rsidP="00D35768">
                  <w:pPr>
                    <w:bidi w:val="0"/>
                    <w:jc w:val="center"/>
                    <w:rPr>
                      <w:rFonts w:ascii="Times New Roman" w:hAnsi="Times New Roman"/>
                    </w:rPr>
                  </w:pPr>
                  <w:r w:rsidR="00704C0D">
                    <w:rPr>
                      <w:rFonts w:ascii="MS Gothic" w:eastAsia="MS Gothic" w:hAnsi="MS Gothic" w:cs="MS Mincho" w:hint="eastAsia"/>
                    </w:rPr>
                    <w:t>☒</w:t>
                  </w:r>
                </w:p>
              </w:tc>
              <w:tc>
                <w:tcPr>
                  <w:tcW w:w="1281" w:type="dxa"/>
                  <w:tcBorders>
                    <w:top w:val="single" w:sz="4" w:space="0" w:color="auto"/>
                    <w:left w:val="single" w:sz="4" w:space="0" w:color="auto"/>
                    <w:bottom w:val="single" w:sz="4" w:space="0" w:color="auto"/>
                    <w:right w:val="single" w:sz="4" w:space="0" w:color="auto"/>
                  </w:tcBorders>
                  <w:textDirection w:val="lrTb"/>
                  <w:vAlign w:val="top"/>
                </w:tcPr>
                <w:p w:rsidR="00D35768" w:rsidRPr="00A179AE" w:rsidP="00D35768">
                  <w:pPr>
                    <w:bidi w:val="0"/>
                    <w:ind w:right="-108"/>
                    <w:rPr>
                      <w:rFonts w:ascii="Times New Roman" w:hAnsi="Times New Roman"/>
                    </w:rPr>
                  </w:pPr>
                  <w:r w:rsidRPr="00A179AE">
                    <w:rPr>
                      <w:rFonts w:ascii="Times New Roman" w:hAnsi="Times New Roman"/>
                    </w:rPr>
                    <w:t>Pozitívne</w:t>
                  </w:r>
                </w:p>
              </w:tc>
              <w:tc>
                <w:tcPr>
                  <w:tcW w:w="569" w:type="dxa"/>
                  <w:tcBorders>
                    <w:top w:val="single" w:sz="4" w:space="0" w:color="auto"/>
                    <w:left w:val="single" w:sz="4" w:space="0" w:color="auto"/>
                    <w:bottom w:val="single" w:sz="4" w:space="0" w:color="auto"/>
                    <w:right w:val="single" w:sz="4" w:space="0" w:color="auto"/>
                  </w:tcBorders>
                  <w:textDirection w:val="lrTb"/>
                  <w:vAlign w:val="top"/>
                </w:tcPr>
                <w:p w:rsidR="00D35768" w:rsidRPr="00A179AE" w:rsidP="00D35768">
                  <w:pPr>
                    <w:bidi w:val="0"/>
                    <w:jc w:val="center"/>
                    <w:rPr>
                      <w:rFonts w:ascii="Times New Roman" w:hAnsi="Times New Roman"/>
                    </w:rPr>
                  </w:pPr>
                  <w:r w:rsidRPr="00A179AE">
                    <w:rPr>
                      <w:rFonts w:ascii="Segoe UI Symbol" w:eastAsia="MS Mincho" w:hAnsi="Segoe UI Symbol" w:cs="Segoe UI Symbol" w:hint="default"/>
                    </w:rPr>
                    <w:t>☐</w:t>
                  </w:r>
                </w:p>
              </w:tc>
              <w:tc>
                <w:tcPr>
                  <w:tcW w:w="1133" w:type="dxa"/>
                  <w:tcBorders>
                    <w:top w:val="single" w:sz="4" w:space="0" w:color="auto"/>
                    <w:left w:val="single" w:sz="4" w:space="0" w:color="auto"/>
                    <w:bottom w:val="single" w:sz="4" w:space="0" w:color="auto"/>
                    <w:right w:val="single" w:sz="4" w:space="0" w:color="auto"/>
                  </w:tcBorders>
                  <w:textDirection w:val="lrTb"/>
                  <w:vAlign w:val="top"/>
                </w:tcPr>
                <w:p w:rsidR="00D35768" w:rsidRPr="00A179AE" w:rsidP="00D35768">
                  <w:pPr>
                    <w:bidi w:val="0"/>
                    <w:rPr>
                      <w:rFonts w:ascii="Times New Roman" w:hAnsi="Times New Roman"/>
                    </w:rPr>
                  </w:pPr>
                  <w:r w:rsidRPr="00A179AE">
                    <w:rPr>
                      <w:rFonts w:ascii="Times New Roman" w:hAnsi="Times New Roman"/>
                    </w:rPr>
                    <w:t>Žiadne</w:t>
                  </w:r>
                </w:p>
              </w:tc>
              <w:tc>
                <w:tcPr>
                  <w:tcW w:w="547" w:type="dxa"/>
                  <w:tcBorders>
                    <w:top w:val="single" w:sz="4" w:space="0" w:color="auto"/>
                    <w:left w:val="single" w:sz="4" w:space="0" w:color="auto"/>
                    <w:bottom w:val="single" w:sz="4" w:space="0" w:color="auto"/>
                    <w:right w:val="single" w:sz="4" w:space="0" w:color="auto"/>
                  </w:tcBorders>
                  <w:textDirection w:val="lrTb"/>
                  <w:vAlign w:val="top"/>
                </w:tcPr>
                <w:p w:rsidR="00D35768" w:rsidRPr="00A179AE" w:rsidP="00D35768">
                  <w:pPr>
                    <w:bidi w:val="0"/>
                    <w:jc w:val="center"/>
                    <w:rPr>
                      <w:rFonts w:ascii="Times New Roman" w:hAnsi="Times New Roman"/>
                    </w:rPr>
                  </w:pPr>
                  <w:r w:rsidR="001735B6">
                    <w:rPr>
                      <w:rFonts w:ascii="MS Gothic" w:eastAsia="MS Gothic" w:hAnsi="MS Gothic" w:cs="MS Mincho" w:hint="eastAsia"/>
                    </w:rPr>
                    <w:t>☐</w:t>
                  </w:r>
                </w:p>
              </w:tc>
              <w:tc>
                <w:tcPr>
                  <w:tcW w:w="1297" w:type="dxa"/>
                  <w:tcBorders>
                    <w:top w:val="single" w:sz="4" w:space="0" w:color="auto"/>
                    <w:left w:val="single" w:sz="4" w:space="0" w:color="auto"/>
                    <w:bottom w:val="single" w:sz="4" w:space="0" w:color="auto"/>
                    <w:right w:val="single" w:sz="4" w:space="0" w:color="auto"/>
                  </w:tcBorders>
                  <w:textDirection w:val="lrTb"/>
                  <w:vAlign w:val="top"/>
                </w:tcPr>
                <w:p w:rsidR="00D35768" w:rsidRPr="00A179AE" w:rsidP="00D35768">
                  <w:pPr>
                    <w:bidi w:val="0"/>
                    <w:ind w:left="54"/>
                    <w:rPr>
                      <w:rFonts w:ascii="Times New Roman" w:hAnsi="Times New Roman"/>
                    </w:rPr>
                  </w:pPr>
                  <w:r w:rsidRPr="00A179AE">
                    <w:rPr>
                      <w:rFonts w:ascii="Times New Roman" w:hAnsi="Times New Roman"/>
                    </w:rPr>
                    <w:t>Negatívne</w:t>
                  </w:r>
                </w:p>
              </w:tc>
            </w:tr>
            <w:tr>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extDirection w:val="lrTb"/>
                  <w:vAlign w:val="top"/>
                </w:tcPr>
                <w:p w:rsidR="00D35768" w:rsidRPr="00A179AE" w:rsidP="00D35768">
                  <w:pPr>
                    <w:bidi w:val="0"/>
                    <w:rPr>
                      <w:rFonts w:ascii="Times New Roman" w:hAnsi="Times New Roman"/>
                      <w:b/>
                    </w:rPr>
                  </w:pPr>
                  <w:r w:rsidRPr="00A179AE">
                    <w:rPr>
                      <w:rFonts w:ascii="Times New Roman" w:hAnsi="Times New Roman"/>
                      <w:b/>
                    </w:rPr>
                    <w:t>Sociálne vplyvy</w:t>
                  </w:r>
                </w:p>
              </w:tc>
              <w:tc>
                <w:tcPr>
                  <w:tcW w:w="541" w:type="dxa"/>
                  <w:tcBorders>
                    <w:top w:val="single" w:sz="4" w:space="0" w:color="auto"/>
                    <w:left w:val="single" w:sz="4" w:space="0" w:color="auto"/>
                    <w:bottom w:val="single" w:sz="4" w:space="0" w:color="auto"/>
                    <w:right w:val="single" w:sz="4" w:space="0" w:color="auto"/>
                  </w:tcBorders>
                  <w:textDirection w:val="lrTb"/>
                  <w:vAlign w:val="top"/>
                </w:tcPr>
                <w:p w:rsidR="00D35768" w:rsidRPr="00A179AE" w:rsidP="00D35768">
                  <w:pPr>
                    <w:bidi w:val="0"/>
                    <w:jc w:val="center"/>
                    <w:rPr>
                      <w:rFonts w:ascii="Times New Roman" w:hAnsi="Times New Roman"/>
                      <w:b/>
                    </w:rPr>
                  </w:pPr>
                  <w:r w:rsidRPr="00A179AE">
                    <w:rPr>
                      <w:rFonts w:ascii="Segoe UI Symbol" w:eastAsia="MS Mincho" w:hAnsi="Segoe UI Symbol" w:cs="Segoe UI Symbol" w:hint="default"/>
                      <w:b/>
                    </w:rPr>
                    <w:t>☐</w:t>
                  </w:r>
                </w:p>
              </w:tc>
              <w:tc>
                <w:tcPr>
                  <w:tcW w:w="1281" w:type="dxa"/>
                  <w:tcBorders>
                    <w:top w:val="single" w:sz="4" w:space="0" w:color="auto"/>
                    <w:left w:val="single" w:sz="4" w:space="0" w:color="auto"/>
                    <w:bottom w:val="single" w:sz="4" w:space="0" w:color="auto"/>
                    <w:right w:val="single" w:sz="4" w:space="0" w:color="auto"/>
                  </w:tcBorders>
                  <w:textDirection w:val="lrTb"/>
                  <w:vAlign w:val="top"/>
                </w:tcPr>
                <w:p w:rsidR="00D35768" w:rsidRPr="00A179AE" w:rsidP="00D35768">
                  <w:pPr>
                    <w:bidi w:val="0"/>
                    <w:ind w:right="-108"/>
                    <w:rPr>
                      <w:rFonts w:ascii="Times New Roman" w:hAnsi="Times New Roman"/>
                      <w:b/>
                    </w:rPr>
                  </w:pPr>
                  <w:r w:rsidRPr="00A179AE">
                    <w:rPr>
                      <w:rFonts w:ascii="Times New Roman" w:hAnsi="Times New Roman"/>
                      <w:b/>
                    </w:rPr>
                    <w:t>Pozitívne</w:t>
                  </w:r>
                </w:p>
              </w:tc>
              <w:tc>
                <w:tcPr>
                  <w:tcW w:w="569" w:type="dxa"/>
                  <w:tcBorders>
                    <w:top w:val="single" w:sz="4" w:space="0" w:color="auto"/>
                    <w:left w:val="single" w:sz="4" w:space="0" w:color="auto"/>
                    <w:bottom w:val="single" w:sz="4" w:space="0" w:color="auto"/>
                    <w:right w:val="single" w:sz="4" w:space="0" w:color="auto"/>
                  </w:tcBorders>
                  <w:textDirection w:val="lrTb"/>
                  <w:vAlign w:val="top"/>
                </w:tcPr>
                <w:p w:rsidR="00D35768" w:rsidRPr="00A179AE" w:rsidP="00D35768">
                  <w:pPr>
                    <w:bidi w:val="0"/>
                    <w:jc w:val="center"/>
                    <w:rPr>
                      <w:rFonts w:ascii="Times New Roman" w:hAnsi="Times New Roman"/>
                      <w:b/>
                    </w:rPr>
                  </w:pPr>
                  <w:r>
                    <w:rPr>
                      <w:rFonts w:ascii="MS Gothic" w:eastAsia="MS Gothic" w:hAnsi="MS Gothic" w:hint="eastAsia"/>
                      <w:b/>
                    </w:rPr>
                    <w:t>☒</w:t>
                  </w:r>
                </w:p>
              </w:tc>
              <w:tc>
                <w:tcPr>
                  <w:tcW w:w="1133" w:type="dxa"/>
                  <w:tcBorders>
                    <w:top w:val="single" w:sz="4" w:space="0" w:color="auto"/>
                    <w:left w:val="single" w:sz="4" w:space="0" w:color="auto"/>
                    <w:bottom w:val="single" w:sz="4" w:space="0" w:color="auto"/>
                    <w:right w:val="single" w:sz="4" w:space="0" w:color="auto"/>
                  </w:tcBorders>
                  <w:textDirection w:val="lrTb"/>
                  <w:vAlign w:val="top"/>
                </w:tcPr>
                <w:p w:rsidR="00D35768" w:rsidRPr="00A179AE" w:rsidP="00D35768">
                  <w:pPr>
                    <w:bidi w:val="0"/>
                    <w:rPr>
                      <w:rFonts w:ascii="Times New Roman" w:hAnsi="Times New Roman"/>
                      <w:b/>
                    </w:rPr>
                  </w:pPr>
                  <w:r w:rsidRPr="00A179AE">
                    <w:rPr>
                      <w:rFonts w:ascii="Times New Roman" w:hAnsi="Times New Roman"/>
                      <w:b/>
                    </w:rPr>
                    <w:t>Žiadne</w:t>
                  </w:r>
                </w:p>
              </w:tc>
              <w:tc>
                <w:tcPr>
                  <w:tcW w:w="547" w:type="dxa"/>
                  <w:tcBorders>
                    <w:top w:val="single" w:sz="4" w:space="0" w:color="auto"/>
                    <w:left w:val="single" w:sz="4" w:space="0" w:color="auto"/>
                    <w:bottom w:val="single" w:sz="4" w:space="0" w:color="auto"/>
                    <w:right w:val="single" w:sz="4" w:space="0" w:color="auto"/>
                  </w:tcBorders>
                  <w:textDirection w:val="lrTb"/>
                  <w:vAlign w:val="top"/>
                </w:tcPr>
                <w:p w:rsidR="00D35768" w:rsidRPr="00A179AE" w:rsidP="00D35768">
                  <w:pPr>
                    <w:bidi w:val="0"/>
                    <w:jc w:val="center"/>
                    <w:rPr>
                      <w:rFonts w:ascii="Times New Roman" w:hAnsi="Times New Roman"/>
                      <w:b/>
                    </w:rPr>
                  </w:pPr>
                  <w:r w:rsidRPr="00A179AE">
                    <w:rPr>
                      <w:rFonts w:ascii="Segoe UI Symbol" w:eastAsia="MS Mincho" w:hAnsi="Segoe UI Symbol" w:cs="Segoe UI Symbol" w:hint="default"/>
                      <w:b/>
                    </w:rPr>
                    <w:t>☐</w:t>
                  </w:r>
                </w:p>
              </w:tc>
              <w:tc>
                <w:tcPr>
                  <w:tcW w:w="1297" w:type="dxa"/>
                  <w:tcBorders>
                    <w:top w:val="single" w:sz="4" w:space="0" w:color="auto"/>
                    <w:left w:val="single" w:sz="4" w:space="0" w:color="auto"/>
                    <w:bottom w:val="single" w:sz="4" w:space="0" w:color="auto"/>
                    <w:right w:val="single" w:sz="4" w:space="0" w:color="auto"/>
                  </w:tcBorders>
                  <w:textDirection w:val="lrTb"/>
                  <w:vAlign w:val="top"/>
                </w:tcPr>
                <w:p w:rsidR="00D35768" w:rsidRPr="00A179AE" w:rsidP="00D35768">
                  <w:pPr>
                    <w:bidi w:val="0"/>
                    <w:ind w:left="54"/>
                    <w:rPr>
                      <w:rFonts w:ascii="Times New Roman" w:hAnsi="Times New Roman"/>
                      <w:b/>
                    </w:rPr>
                  </w:pPr>
                  <w:r w:rsidRPr="00A179AE">
                    <w:rPr>
                      <w:rFonts w:ascii="Times New Roman" w:hAnsi="Times New Roman"/>
                      <w:b/>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D35768" w:rsidRPr="00A179AE" w:rsidP="00D35768">
                  <w:pPr>
                    <w:bidi w:val="0"/>
                    <w:rPr>
                      <w:rFonts w:ascii="Times New Roman" w:hAnsi="Times New Roman"/>
                      <w:b/>
                    </w:rPr>
                  </w:pPr>
                  <w:r w:rsidRPr="00A179AE">
                    <w:rPr>
                      <w:rFonts w:ascii="Times New Roman" w:hAnsi="Times New Roman"/>
                      <w:b/>
                    </w:rPr>
                    <w:t>Vplyvy na životné prostredie</w:t>
                  </w:r>
                </w:p>
              </w:tc>
              <w:tc>
                <w:tcPr>
                  <w:tcW w:w="541" w:type="dxa"/>
                  <w:tcBorders>
                    <w:top w:val="single" w:sz="4" w:space="0" w:color="auto"/>
                    <w:left w:val="single" w:sz="4" w:space="0" w:color="auto"/>
                    <w:bottom w:val="single" w:sz="4" w:space="0" w:color="auto"/>
                    <w:right w:val="single" w:sz="4" w:space="0" w:color="auto"/>
                  </w:tcBorders>
                  <w:textDirection w:val="lrTb"/>
                  <w:vAlign w:val="top"/>
                </w:tcPr>
                <w:p w:rsidR="00D35768" w:rsidRPr="00A179AE" w:rsidP="00D35768">
                  <w:pPr>
                    <w:bidi w:val="0"/>
                    <w:jc w:val="center"/>
                    <w:rPr>
                      <w:rFonts w:ascii="Times New Roman" w:hAnsi="Times New Roman"/>
                      <w:b/>
                    </w:rPr>
                  </w:pPr>
                  <w:r w:rsidRPr="00A179AE">
                    <w:rPr>
                      <w:rFonts w:ascii="Segoe UI Symbol" w:eastAsia="MS Mincho" w:hAnsi="Segoe UI Symbol" w:cs="Segoe UI Symbol" w:hint="default"/>
                      <w:b/>
                    </w:rPr>
                    <w:t>☐</w:t>
                  </w:r>
                </w:p>
              </w:tc>
              <w:tc>
                <w:tcPr>
                  <w:tcW w:w="1281" w:type="dxa"/>
                  <w:tcBorders>
                    <w:top w:val="single" w:sz="4" w:space="0" w:color="auto"/>
                    <w:left w:val="single" w:sz="4" w:space="0" w:color="auto"/>
                    <w:bottom w:val="single" w:sz="4" w:space="0" w:color="auto"/>
                    <w:right w:val="single" w:sz="4" w:space="0" w:color="auto"/>
                  </w:tcBorders>
                  <w:textDirection w:val="lrTb"/>
                  <w:vAlign w:val="top"/>
                </w:tcPr>
                <w:p w:rsidR="00D35768" w:rsidRPr="00A179AE" w:rsidP="00D35768">
                  <w:pPr>
                    <w:bidi w:val="0"/>
                    <w:ind w:right="-108"/>
                    <w:rPr>
                      <w:rFonts w:ascii="Times New Roman" w:hAnsi="Times New Roman"/>
                      <w:b/>
                    </w:rPr>
                  </w:pPr>
                  <w:r w:rsidRPr="00A179AE">
                    <w:rPr>
                      <w:rFonts w:ascii="Times New Roman" w:hAnsi="Times New Roman"/>
                      <w:b/>
                    </w:rPr>
                    <w:t>Pozitívne</w:t>
                  </w:r>
                </w:p>
              </w:tc>
              <w:tc>
                <w:tcPr>
                  <w:tcW w:w="569" w:type="dxa"/>
                  <w:tcBorders>
                    <w:top w:val="single" w:sz="4" w:space="0" w:color="auto"/>
                    <w:left w:val="single" w:sz="4" w:space="0" w:color="auto"/>
                    <w:bottom w:val="single" w:sz="4" w:space="0" w:color="auto"/>
                    <w:right w:val="single" w:sz="4" w:space="0" w:color="auto"/>
                  </w:tcBorders>
                  <w:textDirection w:val="lrTb"/>
                  <w:vAlign w:val="top"/>
                </w:tcPr>
                <w:p w:rsidR="00D35768" w:rsidRPr="00A179AE" w:rsidP="00D35768">
                  <w:pPr>
                    <w:bidi w:val="0"/>
                    <w:jc w:val="center"/>
                    <w:rPr>
                      <w:rFonts w:ascii="Times New Roman" w:hAnsi="Times New Roman"/>
                      <w:b/>
                    </w:rPr>
                  </w:pPr>
                  <w:r>
                    <w:rPr>
                      <w:rFonts w:ascii="MS Gothic" w:eastAsia="MS Gothic" w:hAnsi="MS Gothic" w:hint="eastAsia"/>
                      <w:b/>
                    </w:rPr>
                    <w:t>☒</w:t>
                  </w:r>
                </w:p>
              </w:tc>
              <w:tc>
                <w:tcPr>
                  <w:tcW w:w="1133" w:type="dxa"/>
                  <w:tcBorders>
                    <w:top w:val="single" w:sz="4" w:space="0" w:color="auto"/>
                    <w:left w:val="single" w:sz="4" w:space="0" w:color="auto"/>
                    <w:bottom w:val="single" w:sz="4" w:space="0" w:color="auto"/>
                    <w:right w:val="single" w:sz="4" w:space="0" w:color="auto"/>
                  </w:tcBorders>
                  <w:textDirection w:val="lrTb"/>
                  <w:vAlign w:val="top"/>
                </w:tcPr>
                <w:p w:rsidR="00D35768" w:rsidRPr="00A179AE" w:rsidP="00D35768">
                  <w:pPr>
                    <w:bidi w:val="0"/>
                    <w:rPr>
                      <w:rFonts w:ascii="Times New Roman" w:hAnsi="Times New Roman"/>
                      <w:b/>
                    </w:rPr>
                  </w:pPr>
                  <w:r w:rsidRPr="00A179AE">
                    <w:rPr>
                      <w:rFonts w:ascii="Times New Roman" w:hAnsi="Times New Roman"/>
                      <w:b/>
                    </w:rPr>
                    <w:t>Žiadne</w:t>
                  </w:r>
                </w:p>
              </w:tc>
              <w:tc>
                <w:tcPr>
                  <w:tcW w:w="547" w:type="dxa"/>
                  <w:tcBorders>
                    <w:top w:val="single" w:sz="4" w:space="0" w:color="auto"/>
                    <w:left w:val="single" w:sz="4" w:space="0" w:color="auto"/>
                    <w:bottom w:val="single" w:sz="4" w:space="0" w:color="auto"/>
                    <w:right w:val="single" w:sz="4" w:space="0" w:color="auto"/>
                  </w:tcBorders>
                  <w:textDirection w:val="lrTb"/>
                  <w:vAlign w:val="top"/>
                </w:tcPr>
                <w:p w:rsidR="00D35768" w:rsidRPr="00A179AE" w:rsidP="00D35768">
                  <w:pPr>
                    <w:bidi w:val="0"/>
                    <w:jc w:val="center"/>
                    <w:rPr>
                      <w:rFonts w:ascii="Times New Roman" w:hAnsi="Times New Roman"/>
                      <w:b/>
                    </w:rPr>
                  </w:pPr>
                  <w:r w:rsidRPr="00A179AE">
                    <w:rPr>
                      <w:rFonts w:ascii="Segoe UI Symbol" w:eastAsia="MS Mincho" w:hAnsi="Segoe UI Symbol" w:cs="Segoe UI Symbol" w:hint="default"/>
                      <w:b/>
                    </w:rPr>
                    <w:t>☐</w:t>
                  </w:r>
                </w:p>
              </w:tc>
              <w:tc>
                <w:tcPr>
                  <w:tcW w:w="1297" w:type="dxa"/>
                  <w:tcBorders>
                    <w:top w:val="single" w:sz="4" w:space="0" w:color="auto"/>
                    <w:left w:val="single" w:sz="4" w:space="0" w:color="auto"/>
                    <w:bottom w:val="single" w:sz="4" w:space="0" w:color="auto"/>
                    <w:right w:val="single" w:sz="4" w:space="0" w:color="auto"/>
                  </w:tcBorders>
                  <w:textDirection w:val="lrTb"/>
                  <w:vAlign w:val="top"/>
                </w:tcPr>
                <w:p w:rsidR="00D35768" w:rsidRPr="00A179AE" w:rsidP="00D35768">
                  <w:pPr>
                    <w:bidi w:val="0"/>
                    <w:ind w:left="54"/>
                    <w:rPr>
                      <w:rFonts w:ascii="Times New Roman" w:hAnsi="Times New Roman"/>
                      <w:b/>
                    </w:rPr>
                  </w:pPr>
                  <w:r w:rsidRPr="00A179AE">
                    <w:rPr>
                      <w:rFonts w:ascii="Times New Roman" w:hAnsi="Times New Roman"/>
                      <w:b/>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D35768" w:rsidRPr="00A179AE" w:rsidP="00D35768">
                  <w:pPr>
                    <w:bidi w:val="0"/>
                    <w:rPr>
                      <w:rFonts w:ascii="Times New Roman" w:hAnsi="Times New Roman"/>
                      <w:b/>
                    </w:rPr>
                  </w:pPr>
                  <w:r w:rsidRPr="00A179AE">
                    <w:rPr>
                      <w:rFonts w:ascii="Times New Roman" w:hAnsi="Times New Roman"/>
                      <w:b/>
                    </w:rPr>
                    <w:t>Vplyvy na informatizáciu</w:t>
                  </w:r>
                </w:p>
              </w:tc>
              <w:tc>
                <w:tcPr>
                  <w:tcW w:w="541" w:type="dxa"/>
                  <w:tcBorders>
                    <w:top w:val="single" w:sz="4" w:space="0" w:color="auto"/>
                    <w:left w:val="single" w:sz="4" w:space="0" w:color="auto"/>
                    <w:bottom w:val="single" w:sz="4" w:space="0" w:color="auto"/>
                    <w:right w:val="single" w:sz="4" w:space="0" w:color="auto"/>
                  </w:tcBorders>
                  <w:textDirection w:val="lrTb"/>
                  <w:vAlign w:val="top"/>
                </w:tcPr>
                <w:p w:rsidR="00D35768" w:rsidRPr="00A179AE" w:rsidP="00D35768">
                  <w:pPr>
                    <w:bidi w:val="0"/>
                    <w:jc w:val="center"/>
                    <w:rPr>
                      <w:rFonts w:ascii="Times New Roman" w:hAnsi="Times New Roman"/>
                      <w:b/>
                    </w:rPr>
                  </w:pPr>
                  <w:r>
                    <w:rPr>
                      <w:rFonts w:ascii="MS Gothic" w:eastAsia="MS Gothic" w:hAnsi="MS Gothic" w:hint="eastAsia"/>
                      <w:b/>
                    </w:rPr>
                    <w:t>☒</w:t>
                  </w:r>
                </w:p>
              </w:tc>
              <w:tc>
                <w:tcPr>
                  <w:tcW w:w="1281" w:type="dxa"/>
                  <w:tcBorders>
                    <w:top w:val="single" w:sz="4" w:space="0" w:color="auto"/>
                    <w:left w:val="single" w:sz="4" w:space="0" w:color="auto"/>
                    <w:bottom w:val="single" w:sz="4" w:space="0" w:color="auto"/>
                    <w:right w:val="single" w:sz="4" w:space="0" w:color="auto"/>
                  </w:tcBorders>
                  <w:textDirection w:val="lrTb"/>
                  <w:vAlign w:val="top"/>
                </w:tcPr>
                <w:p w:rsidR="00D35768" w:rsidRPr="00A179AE" w:rsidP="00D35768">
                  <w:pPr>
                    <w:bidi w:val="0"/>
                    <w:ind w:right="-108"/>
                    <w:rPr>
                      <w:rFonts w:ascii="Times New Roman" w:hAnsi="Times New Roman"/>
                      <w:b/>
                    </w:rPr>
                  </w:pPr>
                  <w:r w:rsidRPr="00A179AE">
                    <w:rPr>
                      <w:rFonts w:ascii="Times New Roman" w:hAnsi="Times New Roman"/>
                      <w:b/>
                    </w:rPr>
                    <w:t>Pozitívne</w:t>
                  </w:r>
                </w:p>
              </w:tc>
              <w:tc>
                <w:tcPr>
                  <w:tcW w:w="569" w:type="dxa"/>
                  <w:tcBorders>
                    <w:top w:val="single" w:sz="4" w:space="0" w:color="auto"/>
                    <w:left w:val="single" w:sz="4" w:space="0" w:color="auto"/>
                    <w:bottom w:val="single" w:sz="4" w:space="0" w:color="auto"/>
                    <w:right w:val="single" w:sz="4" w:space="0" w:color="auto"/>
                  </w:tcBorders>
                  <w:textDirection w:val="lrTb"/>
                  <w:vAlign w:val="top"/>
                </w:tcPr>
                <w:p w:rsidR="00D35768" w:rsidRPr="00A179AE" w:rsidP="00D35768">
                  <w:pPr>
                    <w:bidi w:val="0"/>
                    <w:jc w:val="center"/>
                    <w:rPr>
                      <w:rFonts w:ascii="Times New Roman" w:hAnsi="Times New Roman"/>
                      <w:b/>
                    </w:rPr>
                  </w:pPr>
                  <w:r>
                    <w:rPr>
                      <w:rFonts w:ascii="MS Gothic" w:eastAsia="MS Gothic" w:hAnsi="MS Gothic" w:hint="eastAsia"/>
                      <w:b/>
                    </w:rPr>
                    <w:t>☐</w:t>
                  </w:r>
                </w:p>
              </w:tc>
              <w:tc>
                <w:tcPr>
                  <w:tcW w:w="1133" w:type="dxa"/>
                  <w:tcBorders>
                    <w:top w:val="single" w:sz="4" w:space="0" w:color="auto"/>
                    <w:left w:val="single" w:sz="4" w:space="0" w:color="auto"/>
                    <w:bottom w:val="single" w:sz="4" w:space="0" w:color="auto"/>
                    <w:right w:val="single" w:sz="4" w:space="0" w:color="auto"/>
                  </w:tcBorders>
                  <w:textDirection w:val="lrTb"/>
                  <w:vAlign w:val="top"/>
                </w:tcPr>
                <w:p w:rsidR="00D35768" w:rsidRPr="00A179AE" w:rsidP="00D35768">
                  <w:pPr>
                    <w:bidi w:val="0"/>
                    <w:rPr>
                      <w:rFonts w:ascii="Times New Roman" w:hAnsi="Times New Roman"/>
                      <w:b/>
                    </w:rPr>
                  </w:pPr>
                  <w:r w:rsidRPr="00A179AE">
                    <w:rPr>
                      <w:rFonts w:ascii="Times New Roman" w:hAnsi="Times New Roman"/>
                      <w:b/>
                    </w:rPr>
                    <w:t>Žiadne</w:t>
                  </w:r>
                </w:p>
              </w:tc>
              <w:tc>
                <w:tcPr>
                  <w:tcW w:w="547" w:type="dxa"/>
                  <w:tcBorders>
                    <w:top w:val="single" w:sz="4" w:space="0" w:color="auto"/>
                    <w:left w:val="single" w:sz="4" w:space="0" w:color="auto"/>
                    <w:bottom w:val="single" w:sz="4" w:space="0" w:color="auto"/>
                    <w:right w:val="single" w:sz="4" w:space="0" w:color="auto"/>
                  </w:tcBorders>
                  <w:textDirection w:val="lrTb"/>
                  <w:vAlign w:val="top"/>
                </w:tcPr>
                <w:p w:rsidR="00D35768" w:rsidRPr="00A179AE" w:rsidP="00D35768">
                  <w:pPr>
                    <w:bidi w:val="0"/>
                    <w:jc w:val="center"/>
                    <w:rPr>
                      <w:rFonts w:ascii="Times New Roman" w:hAnsi="Times New Roman"/>
                      <w:b/>
                    </w:rPr>
                  </w:pPr>
                  <w:r w:rsidRPr="00A179AE">
                    <w:rPr>
                      <w:rFonts w:ascii="Segoe UI Symbol" w:eastAsia="MS Mincho" w:hAnsi="Segoe UI Symbol" w:cs="Segoe UI Symbol" w:hint="default"/>
                      <w:b/>
                    </w:rPr>
                    <w:t>☐</w:t>
                  </w:r>
                </w:p>
              </w:tc>
              <w:tc>
                <w:tcPr>
                  <w:tcW w:w="1297" w:type="dxa"/>
                  <w:tcBorders>
                    <w:top w:val="single" w:sz="4" w:space="0" w:color="auto"/>
                    <w:left w:val="single" w:sz="4" w:space="0" w:color="auto"/>
                    <w:bottom w:val="single" w:sz="4" w:space="0" w:color="auto"/>
                    <w:right w:val="single" w:sz="4" w:space="0" w:color="auto"/>
                  </w:tcBorders>
                  <w:textDirection w:val="lrTb"/>
                  <w:vAlign w:val="top"/>
                </w:tcPr>
                <w:p w:rsidR="00D35768" w:rsidRPr="00A179AE" w:rsidP="00D35768">
                  <w:pPr>
                    <w:bidi w:val="0"/>
                    <w:ind w:left="54"/>
                    <w:rPr>
                      <w:rFonts w:ascii="Times New Roman" w:hAnsi="Times New Roman"/>
                      <w:b/>
                    </w:rPr>
                  </w:pPr>
                  <w:r w:rsidRPr="00A179AE">
                    <w:rPr>
                      <w:rFonts w:ascii="Times New Roman" w:hAnsi="Times New Roman"/>
                      <w:b/>
                    </w:rPr>
                    <w:t>Negatívne</w:t>
                  </w:r>
                </w:p>
              </w:tc>
            </w:tr>
          </w:tbl>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541"/>
              <w:gridCol w:w="1281"/>
              <w:gridCol w:w="569"/>
              <w:gridCol w:w="1133"/>
              <w:gridCol w:w="547"/>
              <w:gridCol w:w="1297"/>
            </w:tblGrid>
            <w:tr>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D35768" w:rsidRPr="00653ADA" w:rsidP="00D35768">
                  <w:pPr>
                    <w:bidi w:val="0"/>
                    <w:rPr>
                      <w:rFonts w:ascii="Times New Roman" w:hAnsi="Times New Roman"/>
                      <w:b/>
                    </w:rPr>
                  </w:pPr>
                  <w:r>
                    <w:rPr>
                      <w:rFonts w:ascii="Times New Roman" w:hAnsi="Times New Roman"/>
                      <w:b/>
                      <w:lang w:eastAsia="en-US"/>
                    </w:rPr>
                    <w:t>V</w:t>
                  </w:r>
                  <w:r w:rsidRPr="00127DAC">
                    <w:rPr>
                      <w:rFonts w:ascii="Times New Roman" w:hAnsi="Times New Roman"/>
                      <w:b/>
                      <w:lang w:eastAsia="en-US"/>
                    </w:rPr>
                    <w:t>plyv</w:t>
                  </w:r>
                  <w:r>
                    <w:rPr>
                      <w:rFonts w:ascii="Times New Roman" w:hAnsi="Times New Roman"/>
                      <w:b/>
                      <w:lang w:eastAsia="en-US"/>
                    </w:rPr>
                    <w:t>y</w:t>
                  </w:r>
                  <w:r w:rsidRPr="00127DAC">
                    <w:rPr>
                      <w:rFonts w:ascii="Times New Roman" w:hAnsi="Times New Roman"/>
                      <w:b/>
                      <w:lang w:eastAsia="en-US"/>
                    </w:rPr>
                    <w:t xml:space="preserve"> na služby verejnej správy pre občana</w:t>
                  </w:r>
                  <w:r>
                    <w:rPr>
                      <w:rFonts w:ascii="Times New Roman" w:hAnsi="Times New Roman"/>
                      <w:b/>
                      <w:lang w:eastAsia="en-US"/>
                    </w:rPr>
                    <w:t>, z toho</w:t>
                  </w:r>
                </w:p>
              </w:tc>
              <w:tc>
                <w:tcPr>
                  <w:tcW w:w="541" w:type="dxa"/>
                  <w:tcBorders>
                    <w:top w:val="single" w:sz="4" w:space="0" w:color="auto"/>
                    <w:left w:val="single" w:sz="4" w:space="0" w:color="auto"/>
                    <w:bottom w:val="single" w:sz="4" w:space="0" w:color="auto"/>
                    <w:right w:val="single" w:sz="4" w:space="0" w:color="auto"/>
                  </w:tcBorders>
                  <w:textDirection w:val="lrTb"/>
                  <w:vAlign w:val="top"/>
                </w:tcPr>
                <w:p w:rsidR="00D35768" w:rsidRPr="00653ADA" w:rsidP="00D35768">
                  <w:pPr>
                    <w:bidi w:val="0"/>
                    <w:jc w:val="center"/>
                    <w:rPr>
                      <w:rFonts w:ascii="Times New Roman" w:eastAsia="MS Mincho" w:hAnsi="Times New Roman"/>
                      <w:b/>
                    </w:rPr>
                  </w:pPr>
                </w:p>
              </w:tc>
              <w:tc>
                <w:tcPr>
                  <w:tcW w:w="1281" w:type="dxa"/>
                  <w:tcBorders>
                    <w:top w:val="single" w:sz="4" w:space="0" w:color="auto"/>
                    <w:left w:val="single" w:sz="4" w:space="0" w:color="auto"/>
                    <w:bottom w:val="single" w:sz="4" w:space="0" w:color="auto"/>
                    <w:right w:val="single" w:sz="4" w:space="0" w:color="auto"/>
                  </w:tcBorders>
                  <w:textDirection w:val="lrTb"/>
                  <w:vAlign w:val="top"/>
                </w:tcPr>
                <w:p w:rsidR="00D35768" w:rsidRPr="00653ADA" w:rsidP="00D35768">
                  <w:pPr>
                    <w:bidi w:val="0"/>
                    <w:ind w:right="-108"/>
                    <w:rPr>
                      <w:rFonts w:ascii="Times New Roman" w:hAnsi="Times New Roman"/>
                      <w:b/>
                    </w:rPr>
                  </w:pPr>
                </w:p>
              </w:tc>
              <w:tc>
                <w:tcPr>
                  <w:tcW w:w="569" w:type="dxa"/>
                  <w:tcBorders>
                    <w:top w:val="single" w:sz="4" w:space="0" w:color="auto"/>
                    <w:left w:val="single" w:sz="4" w:space="0" w:color="auto"/>
                    <w:bottom w:val="single" w:sz="4" w:space="0" w:color="auto"/>
                    <w:right w:val="single" w:sz="4" w:space="0" w:color="auto"/>
                  </w:tcBorders>
                  <w:textDirection w:val="lrTb"/>
                  <w:vAlign w:val="top"/>
                </w:tcPr>
                <w:p w:rsidR="00D35768" w:rsidRPr="00653ADA" w:rsidP="00D35768">
                  <w:pPr>
                    <w:bidi w:val="0"/>
                    <w:jc w:val="center"/>
                    <w:rPr>
                      <w:rFonts w:ascii="Times New Roman" w:eastAsia="MS Mincho" w:hAnsi="Times New Roman"/>
                      <w:b/>
                    </w:rPr>
                  </w:pPr>
                </w:p>
              </w:tc>
              <w:tc>
                <w:tcPr>
                  <w:tcW w:w="1133" w:type="dxa"/>
                  <w:tcBorders>
                    <w:top w:val="single" w:sz="4" w:space="0" w:color="auto"/>
                    <w:left w:val="single" w:sz="4" w:space="0" w:color="auto"/>
                    <w:bottom w:val="single" w:sz="4" w:space="0" w:color="auto"/>
                    <w:right w:val="single" w:sz="4" w:space="0" w:color="auto"/>
                  </w:tcBorders>
                  <w:textDirection w:val="lrTb"/>
                  <w:vAlign w:val="top"/>
                </w:tcPr>
                <w:p w:rsidR="00D35768" w:rsidRPr="00653ADA" w:rsidP="00D35768">
                  <w:pPr>
                    <w:bidi w:val="0"/>
                    <w:rPr>
                      <w:rFonts w:ascii="Times New Roman" w:hAnsi="Times New Roman"/>
                      <w:b/>
                    </w:rPr>
                  </w:pPr>
                </w:p>
              </w:tc>
              <w:tc>
                <w:tcPr>
                  <w:tcW w:w="547" w:type="dxa"/>
                  <w:tcBorders>
                    <w:top w:val="single" w:sz="4" w:space="0" w:color="auto"/>
                    <w:left w:val="single" w:sz="4" w:space="0" w:color="auto"/>
                    <w:bottom w:val="single" w:sz="4" w:space="0" w:color="auto"/>
                    <w:right w:val="single" w:sz="4" w:space="0" w:color="auto"/>
                  </w:tcBorders>
                  <w:textDirection w:val="lrTb"/>
                  <w:vAlign w:val="top"/>
                </w:tcPr>
                <w:p w:rsidR="00D35768" w:rsidRPr="00653ADA" w:rsidP="00D35768">
                  <w:pPr>
                    <w:bidi w:val="0"/>
                    <w:jc w:val="center"/>
                    <w:rPr>
                      <w:rFonts w:ascii="Times New Roman" w:eastAsia="MS Mincho" w:hAnsi="Times New Roman"/>
                      <w:b/>
                    </w:rPr>
                  </w:pPr>
                </w:p>
              </w:tc>
              <w:tc>
                <w:tcPr>
                  <w:tcW w:w="1297" w:type="dxa"/>
                  <w:tcBorders>
                    <w:top w:val="single" w:sz="4" w:space="0" w:color="auto"/>
                    <w:left w:val="single" w:sz="4" w:space="0" w:color="auto"/>
                    <w:bottom w:val="single" w:sz="4" w:space="0" w:color="auto"/>
                    <w:right w:val="single" w:sz="4" w:space="0" w:color="auto"/>
                  </w:tcBorders>
                  <w:textDirection w:val="lrTb"/>
                  <w:vAlign w:val="top"/>
                </w:tcPr>
                <w:p w:rsidR="00D35768" w:rsidRPr="00653ADA" w:rsidP="00D35768">
                  <w:pPr>
                    <w:bidi w:val="0"/>
                    <w:ind w:left="54"/>
                    <w:rPr>
                      <w:rFonts w:ascii="Times New Roman" w:hAnsi="Times New Roman"/>
                      <w:b/>
                    </w:rPr>
                  </w:pP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D35768" w:rsidRPr="009634B3" w:rsidP="00D35768">
                  <w:pPr>
                    <w:bidi w:val="0"/>
                    <w:ind w:left="196" w:hanging="196"/>
                    <w:rPr>
                      <w:rFonts w:ascii="Times New Roman" w:hAnsi="Times New Roman"/>
                      <w:b/>
                      <w:lang w:eastAsia="en-US"/>
                    </w:rPr>
                  </w:pPr>
                  <w:r w:rsidRPr="009634B3">
                    <w:rPr>
                      <w:rFonts w:ascii="Times New Roman" w:hAnsi="Times New Roman"/>
                      <w:b/>
                      <w:lang w:eastAsia="en-US"/>
                    </w:rPr>
                    <w:t xml:space="preserve">    vplyvy služieb verejnej správy na občana</w:t>
                  </w:r>
                </w:p>
              </w:tc>
              <w:tc>
                <w:tcPr>
                  <w:tcW w:w="541" w:type="dxa"/>
                  <w:tcBorders>
                    <w:top w:val="single" w:sz="4" w:space="0" w:color="auto"/>
                    <w:left w:val="single" w:sz="4" w:space="0" w:color="auto"/>
                    <w:bottom w:val="single" w:sz="4" w:space="0" w:color="auto"/>
                    <w:right w:val="single" w:sz="4" w:space="0" w:color="auto"/>
                  </w:tcBorders>
                  <w:textDirection w:val="lrTb"/>
                  <w:vAlign w:val="top"/>
                </w:tcPr>
                <w:p w:rsidR="00D35768" w:rsidRPr="00A179AE" w:rsidP="00D35768">
                  <w:pPr>
                    <w:bidi w:val="0"/>
                    <w:jc w:val="center"/>
                    <w:rPr>
                      <w:rFonts w:ascii="Times New Roman" w:hAnsi="Times New Roman"/>
                      <w:b/>
                    </w:rPr>
                  </w:pPr>
                  <w:r>
                    <w:rPr>
                      <w:rFonts w:ascii="MS Gothic" w:eastAsia="MS Gothic" w:hAnsi="MS Gothic" w:hint="eastAsia"/>
                      <w:b/>
                    </w:rPr>
                    <w:t>☐</w:t>
                  </w:r>
                </w:p>
              </w:tc>
              <w:tc>
                <w:tcPr>
                  <w:tcW w:w="1281" w:type="dxa"/>
                  <w:tcBorders>
                    <w:top w:val="single" w:sz="4" w:space="0" w:color="auto"/>
                    <w:left w:val="single" w:sz="4" w:space="0" w:color="auto"/>
                    <w:bottom w:val="single" w:sz="4" w:space="0" w:color="auto"/>
                    <w:right w:val="single" w:sz="4" w:space="0" w:color="auto"/>
                  </w:tcBorders>
                  <w:textDirection w:val="lrTb"/>
                  <w:vAlign w:val="top"/>
                </w:tcPr>
                <w:p w:rsidR="00D35768" w:rsidRPr="00A179AE" w:rsidP="00D35768">
                  <w:pPr>
                    <w:bidi w:val="0"/>
                    <w:ind w:right="-108"/>
                    <w:rPr>
                      <w:rFonts w:ascii="Times New Roman" w:hAnsi="Times New Roman"/>
                      <w:b/>
                    </w:rPr>
                  </w:pPr>
                  <w:r w:rsidRPr="00A179AE">
                    <w:rPr>
                      <w:rFonts w:ascii="Times New Roman" w:hAnsi="Times New Roman"/>
                      <w:b/>
                    </w:rPr>
                    <w:t>Pozitívne</w:t>
                  </w:r>
                </w:p>
              </w:tc>
              <w:tc>
                <w:tcPr>
                  <w:tcW w:w="569" w:type="dxa"/>
                  <w:tcBorders>
                    <w:top w:val="single" w:sz="4" w:space="0" w:color="auto"/>
                    <w:left w:val="single" w:sz="4" w:space="0" w:color="auto"/>
                    <w:bottom w:val="single" w:sz="4" w:space="0" w:color="auto"/>
                    <w:right w:val="single" w:sz="4" w:space="0" w:color="auto"/>
                  </w:tcBorders>
                  <w:textDirection w:val="lrTb"/>
                  <w:vAlign w:val="top"/>
                </w:tcPr>
                <w:p w:rsidR="00D35768" w:rsidRPr="00A179AE" w:rsidP="00D35768">
                  <w:pPr>
                    <w:bidi w:val="0"/>
                    <w:jc w:val="center"/>
                    <w:rPr>
                      <w:rFonts w:ascii="Times New Roman" w:hAnsi="Times New Roman"/>
                      <w:b/>
                    </w:rPr>
                  </w:pPr>
                  <w:r>
                    <w:rPr>
                      <w:rFonts w:ascii="MS Gothic" w:eastAsia="MS Gothic" w:hAnsi="MS Gothic" w:hint="eastAsia"/>
                      <w:b/>
                    </w:rPr>
                    <w:t>☒</w:t>
                  </w:r>
                </w:p>
              </w:tc>
              <w:tc>
                <w:tcPr>
                  <w:tcW w:w="1133" w:type="dxa"/>
                  <w:tcBorders>
                    <w:top w:val="single" w:sz="4" w:space="0" w:color="auto"/>
                    <w:left w:val="single" w:sz="4" w:space="0" w:color="auto"/>
                    <w:bottom w:val="single" w:sz="4" w:space="0" w:color="auto"/>
                    <w:right w:val="single" w:sz="4" w:space="0" w:color="auto"/>
                  </w:tcBorders>
                  <w:textDirection w:val="lrTb"/>
                  <w:vAlign w:val="top"/>
                </w:tcPr>
                <w:p w:rsidR="00D35768" w:rsidRPr="00A179AE" w:rsidP="00D35768">
                  <w:pPr>
                    <w:bidi w:val="0"/>
                    <w:rPr>
                      <w:rFonts w:ascii="Times New Roman" w:hAnsi="Times New Roman"/>
                      <w:b/>
                    </w:rPr>
                  </w:pPr>
                  <w:r w:rsidRPr="00A179AE">
                    <w:rPr>
                      <w:rFonts w:ascii="Times New Roman" w:hAnsi="Times New Roman"/>
                      <w:b/>
                    </w:rPr>
                    <w:t>Žiadne</w:t>
                  </w:r>
                </w:p>
              </w:tc>
              <w:tc>
                <w:tcPr>
                  <w:tcW w:w="547" w:type="dxa"/>
                  <w:tcBorders>
                    <w:top w:val="single" w:sz="4" w:space="0" w:color="auto"/>
                    <w:left w:val="single" w:sz="4" w:space="0" w:color="auto"/>
                    <w:bottom w:val="single" w:sz="4" w:space="0" w:color="auto"/>
                    <w:right w:val="single" w:sz="4" w:space="0" w:color="auto"/>
                  </w:tcBorders>
                  <w:textDirection w:val="lrTb"/>
                  <w:vAlign w:val="top"/>
                </w:tcPr>
                <w:p w:rsidR="00D35768" w:rsidRPr="00A179AE" w:rsidP="00D35768">
                  <w:pPr>
                    <w:bidi w:val="0"/>
                    <w:jc w:val="center"/>
                    <w:rPr>
                      <w:rFonts w:ascii="Times New Roman" w:hAnsi="Times New Roman"/>
                      <w:b/>
                    </w:rPr>
                  </w:pPr>
                  <w:r w:rsidRPr="00A179AE">
                    <w:rPr>
                      <w:rFonts w:ascii="Segoe UI Symbol" w:eastAsia="MS Mincho" w:hAnsi="Segoe UI Symbol" w:cs="Segoe UI Symbol" w:hint="default"/>
                      <w:b/>
                    </w:rPr>
                    <w:t>☐</w:t>
                  </w:r>
                </w:p>
              </w:tc>
              <w:tc>
                <w:tcPr>
                  <w:tcW w:w="1297" w:type="dxa"/>
                  <w:tcBorders>
                    <w:top w:val="single" w:sz="4" w:space="0" w:color="auto"/>
                    <w:left w:val="single" w:sz="4" w:space="0" w:color="auto"/>
                    <w:bottom w:val="single" w:sz="4" w:space="0" w:color="auto"/>
                    <w:right w:val="single" w:sz="4" w:space="0" w:color="auto"/>
                  </w:tcBorders>
                  <w:textDirection w:val="lrTb"/>
                  <w:vAlign w:val="top"/>
                </w:tcPr>
                <w:p w:rsidR="00D35768" w:rsidRPr="00A179AE" w:rsidP="00D35768">
                  <w:pPr>
                    <w:bidi w:val="0"/>
                    <w:ind w:left="54"/>
                    <w:rPr>
                      <w:rFonts w:ascii="Times New Roman" w:hAnsi="Times New Roman"/>
                      <w:b/>
                    </w:rPr>
                  </w:pPr>
                  <w:r w:rsidRPr="00A179AE">
                    <w:rPr>
                      <w:rFonts w:ascii="Times New Roman" w:hAnsi="Times New Roman"/>
                      <w:b/>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D35768" w:rsidRPr="009634B3" w:rsidP="00D35768">
                  <w:pPr>
                    <w:bidi w:val="0"/>
                    <w:ind w:left="168" w:hanging="168"/>
                    <w:rPr>
                      <w:rFonts w:ascii="Times New Roman" w:hAnsi="Times New Roman"/>
                      <w:b/>
                      <w:lang w:eastAsia="en-US"/>
                    </w:rPr>
                  </w:pPr>
                  <w:r>
                    <w:rPr>
                      <w:rFonts w:ascii="Times New Roman" w:hAnsi="Times New Roman"/>
                      <w:b/>
                      <w:lang w:eastAsia="en-US"/>
                    </w:rPr>
                    <w:t xml:space="preserve">    </w:t>
                  </w:r>
                  <w:r w:rsidRPr="009634B3">
                    <w:rPr>
                      <w:rFonts w:ascii="Times New Roman" w:hAnsi="Times New Roman"/>
                      <w:b/>
                      <w:lang w:eastAsia="en-US"/>
                    </w:rPr>
                    <w:t>vplyvy na procesy služieb vo verejnej správe</w:t>
                  </w:r>
                </w:p>
              </w:tc>
              <w:tc>
                <w:tcPr>
                  <w:tcW w:w="541" w:type="dxa"/>
                  <w:tcBorders>
                    <w:top w:val="single" w:sz="4" w:space="0" w:color="auto"/>
                    <w:left w:val="single" w:sz="4" w:space="0" w:color="auto"/>
                    <w:bottom w:val="single" w:sz="4" w:space="0" w:color="auto"/>
                    <w:right w:val="single" w:sz="4" w:space="0" w:color="auto"/>
                  </w:tcBorders>
                  <w:textDirection w:val="lrTb"/>
                  <w:vAlign w:val="top"/>
                </w:tcPr>
                <w:p w:rsidR="00D35768" w:rsidRPr="00A179AE" w:rsidP="00D35768">
                  <w:pPr>
                    <w:bidi w:val="0"/>
                    <w:jc w:val="center"/>
                    <w:rPr>
                      <w:rFonts w:ascii="Times New Roman" w:hAnsi="Times New Roman"/>
                      <w:b/>
                    </w:rPr>
                  </w:pPr>
                  <w:r w:rsidRPr="00A179AE">
                    <w:rPr>
                      <w:rFonts w:ascii="Segoe UI Symbol" w:eastAsia="MS Mincho" w:hAnsi="Segoe UI Symbol" w:cs="Segoe UI Symbol" w:hint="default"/>
                      <w:b/>
                    </w:rPr>
                    <w:t>☐</w:t>
                  </w:r>
                </w:p>
              </w:tc>
              <w:tc>
                <w:tcPr>
                  <w:tcW w:w="1281" w:type="dxa"/>
                  <w:tcBorders>
                    <w:top w:val="single" w:sz="4" w:space="0" w:color="auto"/>
                    <w:left w:val="single" w:sz="4" w:space="0" w:color="auto"/>
                    <w:bottom w:val="single" w:sz="4" w:space="0" w:color="auto"/>
                    <w:right w:val="single" w:sz="4" w:space="0" w:color="auto"/>
                  </w:tcBorders>
                  <w:textDirection w:val="lrTb"/>
                  <w:vAlign w:val="top"/>
                </w:tcPr>
                <w:p w:rsidR="00D35768" w:rsidRPr="00A179AE" w:rsidP="00D35768">
                  <w:pPr>
                    <w:bidi w:val="0"/>
                    <w:ind w:right="-108"/>
                    <w:rPr>
                      <w:rFonts w:ascii="Times New Roman" w:hAnsi="Times New Roman"/>
                      <w:b/>
                    </w:rPr>
                  </w:pPr>
                  <w:r w:rsidRPr="00A179AE">
                    <w:rPr>
                      <w:rFonts w:ascii="Times New Roman" w:hAnsi="Times New Roman"/>
                      <w:b/>
                    </w:rPr>
                    <w:t>Pozitívne</w:t>
                  </w:r>
                </w:p>
              </w:tc>
              <w:tc>
                <w:tcPr>
                  <w:tcW w:w="569" w:type="dxa"/>
                  <w:tcBorders>
                    <w:top w:val="single" w:sz="4" w:space="0" w:color="auto"/>
                    <w:left w:val="single" w:sz="4" w:space="0" w:color="auto"/>
                    <w:bottom w:val="single" w:sz="4" w:space="0" w:color="auto"/>
                    <w:right w:val="single" w:sz="4" w:space="0" w:color="auto"/>
                  </w:tcBorders>
                  <w:textDirection w:val="lrTb"/>
                  <w:vAlign w:val="top"/>
                </w:tcPr>
                <w:p w:rsidR="00D35768" w:rsidRPr="00A179AE" w:rsidP="00D35768">
                  <w:pPr>
                    <w:bidi w:val="0"/>
                    <w:jc w:val="center"/>
                    <w:rPr>
                      <w:rFonts w:ascii="Times New Roman" w:hAnsi="Times New Roman"/>
                      <w:b/>
                    </w:rPr>
                  </w:pPr>
                  <w:r>
                    <w:rPr>
                      <w:rFonts w:ascii="MS Gothic" w:eastAsia="MS Gothic" w:hAnsi="MS Gothic" w:hint="eastAsia"/>
                      <w:b/>
                    </w:rPr>
                    <w:t>☒</w:t>
                  </w:r>
                </w:p>
              </w:tc>
              <w:tc>
                <w:tcPr>
                  <w:tcW w:w="1133" w:type="dxa"/>
                  <w:tcBorders>
                    <w:top w:val="single" w:sz="4" w:space="0" w:color="auto"/>
                    <w:left w:val="single" w:sz="4" w:space="0" w:color="auto"/>
                    <w:bottom w:val="single" w:sz="4" w:space="0" w:color="auto"/>
                    <w:right w:val="single" w:sz="4" w:space="0" w:color="auto"/>
                  </w:tcBorders>
                  <w:textDirection w:val="lrTb"/>
                  <w:vAlign w:val="top"/>
                </w:tcPr>
                <w:p w:rsidR="00D35768" w:rsidRPr="00A179AE" w:rsidP="00D35768">
                  <w:pPr>
                    <w:bidi w:val="0"/>
                    <w:rPr>
                      <w:rFonts w:ascii="Times New Roman" w:hAnsi="Times New Roman"/>
                      <w:b/>
                    </w:rPr>
                  </w:pPr>
                  <w:r w:rsidRPr="00A179AE">
                    <w:rPr>
                      <w:rFonts w:ascii="Times New Roman" w:hAnsi="Times New Roman"/>
                      <w:b/>
                    </w:rPr>
                    <w:t>Žiadne</w:t>
                  </w:r>
                </w:p>
              </w:tc>
              <w:tc>
                <w:tcPr>
                  <w:tcW w:w="547" w:type="dxa"/>
                  <w:tcBorders>
                    <w:top w:val="single" w:sz="4" w:space="0" w:color="auto"/>
                    <w:left w:val="single" w:sz="4" w:space="0" w:color="auto"/>
                    <w:bottom w:val="single" w:sz="4" w:space="0" w:color="auto"/>
                    <w:right w:val="single" w:sz="4" w:space="0" w:color="auto"/>
                  </w:tcBorders>
                  <w:textDirection w:val="lrTb"/>
                  <w:vAlign w:val="top"/>
                </w:tcPr>
                <w:p w:rsidR="00D35768" w:rsidRPr="00A179AE" w:rsidP="00D35768">
                  <w:pPr>
                    <w:bidi w:val="0"/>
                    <w:jc w:val="center"/>
                    <w:rPr>
                      <w:rFonts w:ascii="Times New Roman" w:hAnsi="Times New Roman"/>
                      <w:b/>
                    </w:rPr>
                  </w:pPr>
                  <w:r w:rsidRPr="00A179AE">
                    <w:rPr>
                      <w:rFonts w:ascii="Segoe UI Symbol" w:eastAsia="MS Mincho" w:hAnsi="Segoe UI Symbol" w:cs="Segoe UI Symbol" w:hint="default"/>
                      <w:b/>
                    </w:rPr>
                    <w:t>☐</w:t>
                  </w:r>
                </w:p>
              </w:tc>
              <w:tc>
                <w:tcPr>
                  <w:tcW w:w="1297" w:type="dxa"/>
                  <w:tcBorders>
                    <w:top w:val="single" w:sz="4" w:space="0" w:color="auto"/>
                    <w:left w:val="single" w:sz="4" w:space="0" w:color="auto"/>
                    <w:bottom w:val="single" w:sz="4" w:space="0" w:color="auto"/>
                    <w:right w:val="single" w:sz="4" w:space="0" w:color="auto"/>
                  </w:tcBorders>
                  <w:textDirection w:val="lrTb"/>
                  <w:vAlign w:val="top"/>
                </w:tcPr>
                <w:p w:rsidR="00D35768" w:rsidRPr="00A179AE" w:rsidP="00D35768">
                  <w:pPr>
                    <w:bidi w:val="0"/>
                    <w:ind w:left="54"/>
                    <w:rPr>
                      <w:rFonts w:ascii="Times New Roman" w:hAnsi="Times New Roman"/>
                      <w:b/>
                    </w:rPr>
                  </w:pPr>
                  <w:r w:rsidRPr="00A179AE">
                    <w:rPr>
                      <w:rFonts w:ascii="Times New Roman" w:hAnsi="Times New Roman"/>
                      <w:b/>
                    </w:rPr>
                    <w:t>Negatívne</w:t>
                  </w:r>
                </w:p>
              </w:tc>
            </w:tr>
          </w:tbl>
          <w:p w:rsidR="00D35768" w:rsidRPr="00A179AE" w:rsidP="00F22831">
            <w:pPr>
              <w:bidi w:val="0"/>
              <w:rPr>
                <w:rFonts w:ascii="Times New Roman" w:hAnsi="Times New Roman"/>
              </w:rPr>
            </w:pPr>
          </w:p>
        </w:tc>
      </w:tr>
    </w:tbl>
    <w:p w:rsidR="003501A1" w:rsidRPr="00A179AE" w:rsidP="003501A1">
      <w:pPr>
        <w:bidi w:val="0"/>
        <w:ind w:right="141"/>
        <w:rPr>
          <w:rFonts w:ascii="Times New Roman" w:hAnsi="Times New Roman"/>
          <w:b/>
        </w:rPr>
      </w:pPr>
    </w:p>
    <w:tbl>
      <w:tblPr>
        <w:tblStyle w:val="TableNormal"/>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76"/>
      </w:tblGrid>
      <w:tr>
        <w:tblPrEx>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9176" w:type="dxa"/>
            <w:tcBorders>
              <w:top w:val="single" w:sz="4" w:space="0" w:color="auto"/>
              <w:left w:val="single" w:sz="4" w:space="0" w:color="auto"/>
              <w:bottom w:val="nil"/>
              <w:right w:val="single" w:sz="4" w:space="0" w:color="auto"/>
            </w:tcBorders>
            <w:shd w:val="clear" w:color="auto" w:fill="E2E2E2"/>
            <w:textDirection w:val="lrTb"/>
            <w:vAlign w:val="top"/>
          </w:tcPr>
          <w:p w:rsidR="004F6F1F" w:rsidRPr="00390FF8" w:rsidP="00D35768">
            <w:pPr>
              <w:pStyle w:val="ListParagraph"/>
              <w:numPr>
                <w:numId w:val="1"/>
              </w:numPr>
              <w:bidi w:val="0"/>
              <w:spacing w:after="0" w:line="240" w:lineRule="auto"/>
              <w:ind w:left="426"/>
              <w:rPr>
                <w:rFonts w:ascii="Times New Roman" w:hAnsi="Times New Roman"/>
                <w:b/>
              </w:rPr>
            </w:pPr>
            <w:r w:rsidRPr="00390FF8">
              <w:rPr>
                <w:rFonts w:ascii="Times New Roman" w:hAnsi="Times New Roman"/>
                <w:b/>
              </w:rPr>
              <w:t>Poznámky</w:t>
            </w:r>
          </w:p>
        </w:tc>
      </w:tr>
      <w:tr>
        <w:tblPrEx>
          <w:tblW w:w="9176" w:type="dxa"/>
          <w:tblLayout w:type="fixed"/>
          <w:tblLook w:val="04A0"/>
        </w:tblPrEx>
        <w:trPr>
          <w:trHeight w:val="713"/>
        </w:trPr>
        <w:tc>
          <w:tcPr>
            <w:tcW w:w="9176" w:type="dxa"/>
            <w:tcBorders>
              <w:top w:val="nil"/>
              <w:left w:val="single" w:sz="4" w:space="0" w:color="auto"/>
              <w:bottom w:val="single" w:sz="4" w:space="0" w:color="FFFFFF"/>
              <w:right w:val="single" w:sz="4" w:space="0" w:color="auto"/>
            </w:tcBorders>
            <w:textDirection w:val="lrTb"/>
            <w:vAlign w:val="top"/>
          </w:tcPr>
          <w:p w:rsidR="000E6EE6" w:rsidRPr="00390FF8" w:rsidP="00390FF8">
            <w:pPr>
              <w:pStyle w:val="Default"/>
              <w:bidi w:val="0"/>
              <w:jc w:val="both"/>
              <w:rPr>
                <w:rFonts w:ascii="Times New Roman" w:hAnsi="Times New Roman"/>
                <w:i/>
                <w:iCs/>
                <w:sz w:val="20"/>
                <w:szCs w:val="20"/>
              </w:rPr>
            </w:pPr>
          </w:p>
          <w:p w:rsidR="00BB36B9" w:rsidRPr="00AB53C7" w:rsidP="00BB36B9">
            <w:pPr>
              <w:bidi w:val="0"/>
              <w:jc w:val="both"/>
              <w:rPr>
                <w:rFonts w:ascii="Times New Roman" w:hAnsi="Times New Roman"/>
                <w:i/>
              </w:rPr>
            </w:pPr>
            <w:r w:rsidRPr="00070A71" w:rsidR="00070A71">
              <w:rPr>
                <w:rFonts w:ascii="Times New Roman" w:hAnsi="Times New Roman"/>
                <w:i/>
                <w:iCs/>
              </w:rPr>
              <w:t>Návrh zákona má pozitívne aj negatívne vplyvy na rozpočet verejnej správy</w:t>
            </w:r>
            <w:r>
              <w:rPr>
                <w:rFonts w:ascii="Times New Roman" w:hAnsi="Times New Roman"/>
                <w:i/>
                <w:iCs/>
              </w:rPr>
              <w:t>.</w:t>
            </w:r>
            <w:r w:rsidR="00704C0D">
              <w:rPr>
                <w:rFonts w:ascii="Times New Roman" w:hAnsi="Times New Roman"/>
                <w:i/>
                <w:iCs/>
              </w:rPr>
              <w:t xml:space="preserve"> </w:t>
            </w:r>
            <w:r w:rsidRPr="00AB53C7">
              <w:rPr>
                <w:rFonts w:ascii="Times New Roman" w:hAnsi="Times New Roman"/>
                <w:i/>
                <w:lang w:eastAsia="cs-CZ"/>
              </w:rPr>
              <w:t xml:space="preserve">Vplyvy sú rozpočtovo zabezpečené. </w:t>
            </w:r>
            <w:r w:rsidRPr="00AB53C7">
              <w:rPr>
                <w:rFonts w:ascii="Times New Roman" w:hAnsi="Times New Roman"/>
                <w:i/>
              </w:rPr>
              <w:t xml:space="preserve"> </w:t>
            </w:r>
          </w:p>
          <w:p w:rsidR="00070A71" w:rsidP="00390FF8">
            <w:pPr>
              <w:bidi w:val="0"/>
              <w:jc w:val="both"/>
              <w:rPr>
                <w:rFonts w:ascii="Times New Roman" w:hAnsi="Times New Roman"/>
                <w:i/>
                <w:iCs/>
              </w:rPr>
            </w:pPr>
          </w:p>
          <w:p w:rsidR="00765BF8" w:rsidP="00AB53C7">
            <w:pPr>
              <w:bidi w:val="0"/>
              <w:jc w:val="both"/>
              <w:rPr>
                <w:rFonts w:ascii="Times New Roman" w:hAnsi="Times New Roman"/>
                <w:i/>
                <w:color w:val="000000"/>
              </w:rPr>
            </w:pPr>
            <w:r w:rsidRPr="00431FA6" w:rsidR="00070A71">
              <w:rPr>
                <w:rFonts w:ascii="Times New Roman" w:hAnsi="Times New Roman"/>
                <w:i/>
              </w:rPr>
              <w:t>Negatívne vplyvy predstavujú výdavky ŠÚKL a MZ SR, a to najmä na krytie mzdových a režijných nákladov nových zamestnancov štátneho ústavu, ktorí budú zabezpečovať nové úlohy</w:t>
            </w:r>
            <w:r w:rsidRPr="00431FA6" w:rsidR="00070A71">
              <w:rPr>
                <w:rFonts w:ascii="Times New Roman" w:hAnsi="Times New Roman"/>
                <w:b/>
                <w:i/>
              </w:rPr>
              <w:t xml:space="preserve"> </w:t>
            </w:r>
            <w:r w:rsidRPr="00431FA6" w:rsidR="00070A71">
              <w:rPr>
                <w:rFonts w:ascii="Times New Roman" w:hAnsi="Times New Roman"/>
                <w:i/>
              </w:rPr>
              <w:t xml:space="preserve">v oblasti klinického skúšania liekov, ďalej výdavky MZ SR spojené s činnosťou Etickej komisie pre klinické skúšanie , ako aj zriadením a prevádzkou národného elektronického portálu. </w:t>
            </w:r>
            <w:r w:rsidRPr="00AB53C7">
              <w:rPr>
                <w:rFonts w:ascii="Times New Roman" w:hAnsi="Times New Roman"/>
                <w:i/>
                <w:color w:val="000000"/>
              </w:rPr>
              <w:t xml:space="preserve">Nariadenie Európskeho Parlamentu a Rady č.536/2014 </w:t>
            </w:r>
            <w:r w:rsidRPr="00765BF8">
              <w:rPr>
                <w:rFonts w:ascii="Times New Roman" w:hAnsi="Times New Roman"/>
                <w:i/>
                <w:color w:val="000000"/>
              </w:rPr>
              <w:t>mení spôsob posudzovania a povoľ</w:t>
            </w:r>
            <w:r w:rsidRPr="00AB53C7">
              <w:rPr>
                <w:rFonts w:ascii="Times New Roman" w:hAnsi="Times New Roman"/>
                <w:i/>
                <w:color w:val="000000"/>
              </w:rPr>
              <w:t xml:space="preserve">ovania klinického skúšania humánnych liekov. Prínosom tohoto nariadenia pre členské štáty </w:t>
            </w:r>
            <w:r>
              <w:rPr>
                <w:rFonts w:ascii="Times New Roman" w:hAnsi="Times New Roman"/>
                <w:i/>
                <w:color w:val="000000"/>
              </w:rPr>
              <w:t>bude</w:t>
            </w:r>
            <w:r w:rsidRPr="00AB53C7">
              <w:rPr>
                <w:rFonts w:ascii="Times New Roman" w:hAnsi="Times New Roman"/>
                <w:i/>
                <w:color w:val="000000"/>
              </w:rPr>
              <w:t xml:space="preserve"> efektívnejšia spolupráca pri prijímaní spoločných rozhodnutí, vhodnejšie a  účelnej</w:t>
            </w:r>
            <w:r w:rsidRPr="00765BF8">
              <w:rPr>
                <w:rFonts w:ascii="Times New Roman" w:hAnsi="Times New Roman"/>
                <w:i/>
                <w:color w:val="000000"/>
              </w:rPr>
              <w:t>šie vykonávanie klinických skúšá</w:t>
            </w:r>
            <w:r w:rsidRPr="00AB53C7">
              <w:rPr>
                <w:rFonts w:ascii="Times New Roman" w:hAnsi="Times New Roman"/>
                <w:i/>
                <w:color w:val="000000"/>
              </w:rPr>
              <w:t>ni v rámci celej Európskej únie.</w:t>
            </w:r>
            <w:r>
              <w:rPr>
                <w:rFonts w:ascii="Times New Roman" w:hAnsi="Times New Roman"/>
                <w:i/>
                <w:color w:val="000000"/>
                <w:sz w:val="18"/>
                <w:szCs w:val="18"/>
              </w:rPr>
              <w:t xml:space="preserve"> </w:t>
            </w:r>
            <w:r w:rsidRPr="00AB53C7">
              <w:rPr>
                <w:rFonts w:ascii="Times New Roman" w:hAnsi="Times New Roman"/>
                <w:i/>
                <w:color w:val="000000"/>
              </w:rPr>
              <w:t>S tým súvisia pre jednotlivé členské štáty nové činnosti a povinnosti v oblasti klinického skúšania.</w:t>
            </w:r>
            <w:r>
              <w:rPr>
                <w:rFonts w:ascii="Times New Roman" w:hAnsi="Times New Roman"/>
                <w:i/>
                <w:color w:val="000000"/>
                <w:sz w:val="18"/>
                <w:szCs w:val="18"/>
              </w:rPr>
              <w:t xml:space="preserve"> </w:t>
            </w:r>
            <w:r w:rsidRPr="00AB53C7">
              <w:rPr>
                <w:rFonts w:ascii="Times New Roman" w:hAnsi="Times New Roman"/>
                <w:i/>
                <w:color w:val="000000"/>
              </w:rPr>
              <w:t xml:space="preserve">Výsledky posúdenia musia byť spracované vo forme hodnotiacich správ v medzinárodne prijateľnom formáte. Hodnotiace správy sa budú vypracovávať  k časti I posudzovanie (k farmaceutickej a všeobecnej časti daného klinického skúšania), ako aj k časti </w:t>
            </w:r>
            <w:r w:rsidR="00704C0D">
              <w:rPr>
                <w:rFonts w:ascii="Times New Roman" w:hAnsi="Times New Roman"/>
                <w:i/>
                <w:color w:val="000000"/>
              </w:rPr>
              <w:t>II</w:t>
            </w:r>
            <w:r w:rsidRPr="00AB53C7">
              <w:rPr>
                <w:rFonts w:ascii="Times New Roman" w:hAnsi="Times New Roman"/>
                <w:i/>
                <w:color w:val="000000"/>
              </w:rPr>
              <w:t xml:space="preserve"> (národné aspekty, predovšetkým informovaný súhlas a lokálne špecifiká daného klinického skúšania).</w:t>
            </w:r>
            <w:r>
              <w:rPr>
                <w:rFonts w:ascii="Times New Roman" w:hAnsi="Times New Roman"/>
                <w:i/>
                <w:color w:val="000000"/>
                <w:sz w:val="18"/>
                <w:szCs w:val="18"/>
              </w:rPr>
              <w:t xml:space="preserve"> </w:t>
            </w:r>
            <w:r w:rsidRPr="00AB53C7">
              <w:rPr>
                <w:rFonts w:ascii="Times New Roman" w:hAnsi="Times New Roman"/>
                <w:i/>
                <w:color w:val="000000"/>
              </w:rPr>
              <w:t>Hodnotiaca správa k časti I sa bude predkladať ostatným členským štátom a v rámci koordinovaného postupu a fázy konsolidácii sa spoločne prijme výsledná spoločná hodnotiaca správa k časti I.  Hodnotiaca správa má medzinárodný formát a musí sa pripraviť v angličtine, nakoľko sa poskytuje ostatným členským štátom.</w:t>
            </w:r>
            <w:r>
              <w:rPr>
                <w:rFonts w:ascii="Times New Roman" w:hAnsi="Times New Roman"/>
                <w:i/>
                <w:color w:val="000000"/>
                <w:sz w:val="18"/>
                <w:szCs w:val="18"/>
              </w:rPr>
              <w:t xml:space="preserve"> </w:t>
            </w:r>
            <w:r w:rsidRPr="00AB53C7">
              <w:rPr>
                <w:rFonts w:ascii="Times New Roman" w:hAnsi="Times New Roman"/>
                <w:i/>
                <w:color w:val="000000"/>
              </w:rPr>
              <w:t>V rámci časti II posudku se posu</w:t>
            </w:r>
            <w:r w:rsidR="00704C0D">
              <w:rPr>
                <w:rFonts w:ascii="Times New Roman" w:hAnsi="Times New Roman"/>
                <w:i/>
                <w:color w:val="000000"/>
              </w:rPr>
              <w:t>d</w:t>
            </w:r>
            <w:r w:rsidRPr="00AB53C7">
              <w:rPr>
                <w:rFonts w:ascii="Times New Roman" w:hAnsi="Times New Roman"/>
                <w:i/>
                <w:color w:val="000000"/>
              </w:rPr>
              <w:t>zujú aspekty, ako je posúdenie informovaného súhlasu ochrany osobných údajov, podmienky náboru účastníkov, poistenia účastníkov a skúšajúcich.</w:t>
            </w:r>
          </w:p>
          <w:p w:rsidR="00765BF8" w:rsidRPr="00AB53C7" w:rsidP="00AB53C7">
            <w:pPr>
              <w:bidi w:val="0"/>
              <w:jc w:val="both"/>
              <w:rPr>
                <w:rFonts w:ascii="Times New Roman" w:hAnsi="Times New Roman"/>
                <w:i/>
                <w:color w:val="000000"/>
                <w:sz w:val="18"/>
                <w:szCs w:val="18"/>
              </w:rPr>
            </w:pPr>
          </w:p>
          <w:p w:rsidR="00070A71" w:rsidRPr="00AB53C7" w:rsidP="00AB53C7">
            <w:pPr>
              <w:bidi w:val="0"/>
              <w:rPr>
                <w:rFonts w:ascii="Times New Roman" w:hAnsi="Times New Roman"/>
                <w:sz w:val="24"/>
                <w:szCs w:val="24"/>
              </w:rPr>
            </w:pPr>
            <w:r w:rsidRPr="00161902" w:rsidR="00765BF8">
              <w:rPr>
                <w:rFonts w:ascii="Times New Roman" w:hAnsi="Times New Roman"/>
                <w:i/>
                <w:iCs/>
              </w:rPr>
              <w:t xml:space="preserve"> </w:t>
            </w:r>
            <w:r w:rsidRPr="00161902" w:rsidR="009668E1">
              <w:rPr>
                <w:rFonts w:ascii="Times New Roman" w:hAnsi="Times New Roman"/>
                <w:i/>
                <w:iCs/>
              </w:rPr>
              <w:t>V oblasti klinického skúšania liekov ŠÚKL</w:t>
            </w:r>
            <w:r w:rsidR="00297ADB">
              <w:rPr>
                <w:rFonts w:ascii="Times New Roman" w:hAnsi="Times New Roman"/>
                <w:i/>
                <w:iCs/>
              </w:rPr>
              <w:t xml:space="preserve"> a MZ</w:t>
            </w:r>
            <w:r w:rsidRPr="00161902" w:rsidR="009668E1">
              <w:rPr>
                <w:rFonts w:ascii="Times New Roman" w:hAnsi="Times New Roman"/>
                <w:i/>
                <w:iCs/>
              </w:rPr>
              <w:t xml:space="preserve"> </w:t>
            </w:r>
            <w:r w:rsidR="00704C0D">
              <w:rPr>
                <w:rFonts w:ascii="Times New Roman" w:hAnsi="Times New Roman"/>
                <w:i/>
                <w:iCs/>
              </w:rPr>
              <w:t xml:space="preserve">SR </w:t>
            </w:r>
            <w:r w:rsidRPr="00161902" w:rsidR="009668E1">
              <w:rPr>
                <w:rFonts w:ascii="Times New Roman" w:hAnsi="Times New Roman"/>
                <w:i/>
                <w:iCs/>
              </w:rPr>
              <w:t>potrebuje v rokoch 201</w:t>
            </w:r>
            <w:r w:rsidR="00297ADB">
              <w:rPr>
                <w:rFonts w:ascii="Times New Roman" w:hAnsi="Times New Roman"/>
                <w:i/>
                <w:iCs/>
              </w:rPr>
              <w:t>9</w:t>
            </w:r>
            <w:r w:rsidRPr="00161902" w:rsidR="009668E1">
              <w:rPr>
                <w:rFonts w:ascii="Times New Roman" w:hAnsi="Times New Roman"/>
                <w:i/>
                <w:iCs/>
              </w:rPr>
              <w:t xml:space="preserve"> a</w:t>
            </w:r>
            <w:r w:rsidR="00297ADB">
              <w:rPr>
                <w:rFonts w:ascii="Times New Roman" w:hAnsi="Times New Roman"/>
                <w:i/>
                <w:iCs/>
              </w:rPr>
              <w:t>ž</w:t>
            </w:r>
            <w:r w:rsidRPr="00161902" w:rsidR="009668E1">
              <w:rPr>
                <w:rFonts w:ascii="Times New Roman" w:hAnsi="Times New Roman"/>
                <w:i/>
                <w:iCs/>
              </w:rPr>
              <w:t> </w:t>
            </w:r>
            <w:r w:rsidRPr="00161902" w:rsidR="00297ADB">
              <w:rPr>
                <w:rFonts w:ascii="Times New Roman" w:hAnsi="Times New Roman"/>
                <w:i/>
                <w:iCs/>
              </w:rPr>
              <w:t>20</w:t>
            </w:r>
            <w:r w:rsidR="00297ADB">
              <w:rPr>
                <w:rFonts w:ascii="Times New Roman" w:hAnsi="Times New Roman"/>
                <w:i/>
                <w:iCs/>
              </w:rPr>
              <w:t>21</w:t>
            </w:r>
            <w:r w:rsidRPr="00161902" w:rsidR="00297ADB">
              <w:rPr>
                <w:rFonts w:ascii="Times New Roman" w:hAnsi="Times New Roman"/>
                <w:i/>
                <w:iCs/>
              </w:rPr>
              <w:t xml:space="preserve"> </w:t>
            </w:r>
            <w:r w:rsidRPr="00161902" w:rsidR="009668E1">
              <w:rPr>
                <w:rFonts w:ascii="Times New Roman" w:hAnsi="Times New Roman"/>
                <w:i/>
                <w:iCs/>
              </w:rPr>
              <w:t>postupne prijať 2</w:t>
            </w:r>
            <w:r w:rsidR="00297ADB">
              <w:rPr>
                <w:rFonts w:ascii="Times New Roman" w:hAnsi="Times New Roman"/>
                <w:i/>
                <w:iCs/>
              </w:rPr>
              <w:t>5</w:t>
            </w:r>
            <w:r w:rsidRPr="00161902" w:rsidR="009668E1">
              <w:rPr>
                <w:rFonts w:ascii="Times New Roman" w:hAnsi="Times New Roman"/>
                <w:i/>
                <w:iCs/>
              </w:rPr>
              <w:t xml:space="preserve"> nových zamestnancov.</w:t>
            </w:r>
            <w:r w:rsidRPr="00E05515" w:rsidR="00E05515">
              <w:rPr>
                <w:rFonts w:ascii="Segoe UI" w:hAnsi="Segoe UI" w:cs="Segoe UI"/>
                <w:color w:val="000000"/>
              </w:rPr>
              <w:t xml:space="preserve"> </w:t>
            </w:r>
            <w:r w:rsidRPr="00AB53C7" w:rsidR="00E05515">
              <w:rPr>
                <w:rFonts w:ascii="Times New Roman" w:hAnsi="Times New Roman"/>
                <w:i/>
                <w:color w:val="000000"/>
              </w:rPr>
              <w:t>ŠÚKL má požiadavku na 22 pracovných miest na pozíciu posudzovateľov klinických skúšaní. Zmena oproti terajšiemu stavu je najmä v hĺbke posudzovania predloženej žiadosti a rýchlosti posudzovania. Proces detailného posudzovania smeruje k väčšej ochrane a bezpečnosti účastníkov zaradených do klinického skúšania. Na druhej strane zrýchlenie procesu a striktné termíny pre dodanie hodnotiacich správ by mali priniesť rýchlejší prístup pacientov k inovatívnym liekom. Z celkového počtu 22 požadovaných pracovných miest ŠÚKL požaduje šesť nových pracovných pozícií - expertov na posudzovanie kvality skúšaných produktov, ktorí musia zhodnotiť kvalitu všetkých vstupných surovín, proces výroby skúšaného produktu a  finálnu kvalitu skúšaného produktu. Posudzovanie zahrňuje aj posúdenie  sprievodných liekov a označenie skúšaných aj sprievodných liekov. Traja posudzovatelia budú hodnotiť predklinickú časť, teda získané výsledky na molekulárnej úrovni, bunkovej úrovni, úrovni tkanív a predklinických zvieracích modelov. Jadro posudzovania bude v klinickej časti s posúdením relevantnosti klinického skúšania, hodnovernosť a spoľahlivosť údajov získaných z klinického skúšania, riziká a nevýhody pre účastníkov, povahu intervencie, bezpečnostné opatrenia na zníženie rizík, monitorovanie, podávanie správ o bezpečnosti a bezpečnostný plán. na ktorú je  plánovaných desať pozícií a jedna pozícia bioštatistika. Bude sa posudzovať tiež relevantnosť a primeranosť príručky pre skúšajúceho. Dve pozície sú určené na vykonávanie inšpekcií správnej klinickej praxe, ktoré má zahrňovať medzinárodné inšpekcie v krajinách EÚ alebo aj mimo EÚ</w:t>
            </w:r>
            <w:r w:rsidRPr="00AB53C7" w:rsidR="00E05515">
              <w:rPr>
                <w:rFonts w:ascii="Times New Roman" w:hAnsi="Times New Roman"/>
                <w:i/>
              </w:rPr>
              <w:t xml:space="preserve">. </w:t>
            </w:r>
            <w:r w:rsidRPr="00FF03C5" w:rsidR="008807DA">
              <w:rPr>
                <w:rFonts w:ascii="Times New Roman" w:hAnsi="Times New Roman"/>
                <w:i/>
                <w:iCs/>
              </w:rPr>
              <w:t>Pracov</w:t>
            </w:r>
            <w:r w:rsidRPr="00FF03C5" w:rsidR="00E46AB8">
              <w:rPr>
                <w:rFonts w:ascii="Times New Roman" w:hAnsi="Times New Roman"/>
                <w:i/>
                <w:iCs/>
              </w:rPr>
              <w:t xml:space="preserve">né miesta si </w:t>
            </w:r>
            <w:r w:rsidRPr="00EE7453" w:rsidR="00E46AB8">
              <w:rPr>
                <w:rFonts w:ascii="Times New Roman" w:hAnsi="Times New Roman"/>
                <w:i/>
                <w:iCs/>
              </w:rPr>
              <w:t xml:space="preserve">vyžiadajú 464 000  eur ročne. </w:t>
            </w:r>
          </w:p>
          <w:p w:rsidR="009668E1" w:rsidRPr="00161902" w:rsidP="00161902">
            <w:pPr>
              <w:bidi w:val="0"/>
              <w:jc w:val="both"/>
              <w:rPr>
                <w:rFonts w:ascii="Times New Roman" w:hAnsi="Times New Roman"/>
                <w:i/>
              </w:rPr>
            </w:pPr>
            <w:r w:rsidRPr="00161902">
              <w:rPr>
                <w:rFonts w:ascii="Times New Roman" w:hAnsi="Times New Roman"/>
                <w:i/>
                <w:iCs/>
              </w:rPr>
              <w:t xml:space="preserve">Ministerstvo zdravotníctva SR má požiadavku na tri pracovné miesta v súvislosti s organizačným zabezpečením činnosti etickej komisie pre klinické skúšania, čo si vyžiada </w:t>
            </w:r>
            <w:r w:rsidRPr="00923588">
              <w:rPr>
                <w:rFonts w:ascii="Times New Roman" w:hAnsi="Times New Roman"/>
                <w:i/>
                <w:iCs/>
              </w:rPr>
              <w:t>56 000 eur ročne</w:t>
            </w:r>
            <w:r w:rsidRPr="00161902">
              <w:rPr>
                <w:rFonts w:ascii="Times New Roman" w:hAnsi="Times New Roman"/>
                <w:i/>
                <w:iCs/>
              </w:rPr>
              <w:t>. Celkové odhadované náklady na fungovanie etickej komisie pre klinické skúšanie sú vo výške 180 000 eur</w:t>
            </w:r>
            <w:r w:rsidRPr="00161902" w:rsidR="00161902">
              <w:rPr>
                <w:rFonts w:ascii="Times New Roman" w:hAnsi="Times New Roman"/>
                <w:i/>
                <w:iCs/>
              </w:rPr>
              <w:t xml:space="preserve"> vrátane nákladov na zriadenie a spravovanie elektronického národného portálu, ktoré sa odhadujú vo výške 20 000 eur ročne. Pre členov etickej komisie </w:t>
            </w:r>
            <w:r w:rsidR="008B1452">
              <w:rPr>
                <w:rFonts w:ascii="Times New Roman" w:hAnsi="Times New Roman"/>
                <w:i/>
                <w:iCs/>
              </w:rPr>
              <w:t xml:space="preserve">pre klinické skúšanie </w:t>
            </w:r>
            <w:r w:rsidRPr="00161902" w:rsidR="00161902">
              <w:rPr>
                <w:rFonts w:ascii="Times New Roman" w:hAnsi="Times New Roman"/>
                <w:i/>
                <w:iCs/>
              </w:rPr>
              <w:t xml:space="preserve">sa počíta s odmenami  za posudzovanie etických aspektov klinického skúšania vo výške 104 000 eur. </w:t>
            </w:r>
          </w:p>
          <w:p w:rsidR="009668E1" w:rsidP="00070A71">
            <w:pPr>
              <w:bidi w:val="0"/>
              <w:rPr>
                <w:rFonts w:ascii="Times New Roman" w:hAnsi="Times New Roman"/>
                <w:i/>
              </w:rPr>
            </w:pPr>
          </w:p>
          <w:p w:rsidR="009668E1" w:rsidRPr="00431FA6" w:rsidP="00070A71">
            <w:pPr>
              <w:bidi w:val="0"/>
              <w:rPr>
                <w:rFonts w:ascii="Times New Roman" w:hAnsi="Times New Roman"/>
                <w:i/>
              </w:rPr>
            </w:pPr>
            <w:r>
              <w:rPr>
                <w:rFonts w:ascii="Times New Roman" w:hAnsi="Times New Roman"/>
                <w:i/>
              </w:rPr>
              <w:t xml:space="preserve">Odhadované príjmy so zvýšených správnych poplatkov by mali v roku 2019, kedy </w:t>
            </w:r>
            <w:r w:rsidR="008B1452">
              <w:rPr>
                <w:rFonts w:ascii="Times New Roman" w:hAnsi="Times New Roman"/>
                <w:i/>
              </w:rPr>
              <w:t xml:space="preserve">sa predpokladá, že </w:t>
            </w:r>
            <w:r>
              <w:rPr>
                <w:rFonts w:ascii="Times New Roman" w:hAnsi="Times New Roman"/>
                <w:i/>
              </w:rPr>
              <w:t xml:space="preserve">už bude systém povoľovania klinického skúšania prostredníctvom EÚ portálu klinického skúšania naplno fungovať, byť vo výške približne 763 000 eur. Príjmy podľa súčasných správnych poplatkov  sú vo výške </w:t>
            </w:r>
            <w:r w:rsidRPr="00AB53C7" w:rsidR="005D771C">
              <w:rPr>
                <w:rFonts w:ascii="Times New Roman" w:hAnsi="Times New Roman"/>
                <w:i/>
                <w:lang w:eastAsia="cs-CZ"/>
              </w:rPr>
              <w:t>31 161</w:t>
            </w:r>
            <w:r w:rsidRPr="00765BF8">
              <w:rPr>
                <w:rFonts w:ascii="Times New Roman" w:hAnsi="Times New Roman"/>
                <w:i/>
              </w:rPr>
              <w:t xml:space="preserve"> </w:t>
            </w:r>
            <w:r>
              <w:rPr>
                <w:rFonts w:ascii="Times New Roman" w:hAnsi="Times New Roman"/>
                <w:i/>
              </w:rPr>
              <w:t xml:space="preserve">eur.   </w:t>
            </w:r>
          </w:p>
          <w:p w:rsidR="00FF03C5" w:rsidP="00AB53C7">
            <w:pPr>
              <w:bidi w:val="0"/>
              <w:jc w:val="both"/>
              <w:rPr>
                <w:rFonts w:ascii="Times New Roman" w:hAnsi="Times New Roman"/>
                <w:i/>
              </w:rPr>
            </w:pPr>
            <w:r w:rsidRPr="00390FF8" w:rsidR="009F7AC2">
              <w:rPr>
                <w:rFonts w:ascii="Times New Roman" w:hAnsi="Times New Roman"/>
                <w:i/>
                <w:iCs/>
              </w:rPr>
              <w:t xml:space="preserve">Predkladaný návrh zákona zaťaží podnikateľský sektor vyššími </w:t>
            </w:r>
            <w:r w:rsidR="00161902">
              <w:rPr>
                <w:rFonts w:ascii="Times New Roman" w:hAnsi="Times New Roman"/>
                <w:i/>
                <w:iCs/>
              </w:rPr>
              <w:t xml:space="preserve">správnymi </w:t>
            </w:r>
            <w:r w:rsidRPr="00390FF8" w:rsidR="009F7AC2">
              <w:rPr>
                <w:rFonts w:ascii="Times New Roman" w:hAnsi="Times New Roman"/>
                <w:i/>
                <w:iCs/>
              </w:rPr>
              <w:t xml:space="preserve">poplatkami, na druhej strane prispeje k skvalitneniu podnikateľského prostredia </w:t>
            </w:r>
            <w:r w:rsidR="004C72FE">
              <w:rPr>
                <w:rFonts w:ascii="Times New Roman" w:hAnsi="Times New Roman"/>
                <w:i/>
                <w:iCs/>
              </w:rPr>
              <w:t xml:space="preserve">v oblasti </w:t>
            </w:r>
            <w:r w:rsidRPr="00390FF8" w:rsidR="009F7AC2">
              <w:rPr>
                <w:rFonts w:ascii="Times New Roman" w:hAnsi="Times New Roman"/>
                <w:i/>
                <w:iCs/>
              </w:rPr>
              <w:t>farmaceutick</w:t>
            </w:r>
            <w:r w:rsidR="004C72FE">
              <w:rPr>
                <w:rFonts w:ascii="Times New Roman" w:hAnsi="Times New Roman"/>
                <w:i/>
                <w:iCs/>
              </w:rPr>
              <w:t>ého</w:t>
            </w:r>
            <w:r w:rsidRPr="00390FF8" w:rsidR="009F7AC2">
              <w:rPr>
                <w:rFonts w:ascii="Times New Roman" w:hAnsi="Times New Roman"/>
                <w:i/>
                <w:iCs/>
              </w:rPr>
              <w:t xml:space="preserve"> priemysl</w:t>
            </w:r>
            <w:r w:rsidR="004C72FE">
              <w:rPr>
                <w:rFonts w:ascii="Times New Roman" w:hAnsi="Times New Roman"/>
                <w:i/>
                <w:iCs/>
              </w:rPr>
              <w:t>u</w:t>
            </w:r>
            <w:r w:rsidR="008B1452">
              <w:rPr>
                <w:rFonts w:ascii="Times New Roman" w:hAnsi="Times New Roman"/>
                <w:i/>
                <w:iCs/>
              </w:rPr>
              <w:t>, tým, že sa bude podávať jedna žiadosť prostredníctvom EÚ portálu klinického skúšania pre povolenie klinického skúšania vo viacerých členských štátoch EÚ ( je to plne na rozhodnutí zadávateľa – žiadateľa o povolenie</w:t>
            </w:r>
            <w:r w:rsidRPr="00390FF8" w:rsidR="009F7AC2">
              <w:rPr>
                <w:rFonts w:ascii="Times New Roman" w:hAnsi="Times New Roman"/>
                <w:i/>
                <w:iCs/>
              </w:rPr>
              <w:t>.</w:t>
            </w:r>
            <w:r w:rsidR="00547988">
              <w:rPr>
                <w:rFonts w:ascii="Times New Roman" w:hAnsi="Times New Roman"/>
                <w:color w:val="000000"/>
                <w:sz w:val="24"/>
                <w:szCs w:val="24"/>
              </w:rPr>
              <w:t xml:space="preserve"> </w:t>
            </w:r>
            <w:r w:rsidRPr="00AB53C7" w:rsidR="004C72FE">
              <w:rPr>
                <w:rFonts w:ascii="Times New Roman" w:hAnsi="Times New Roman"/>
                <w:i/>
                <w:color w:val="000000"/>
              </w:rPr>
              <w:t xml:space="preserve">Proces schvaľovania klinického skúšania bude naprieč celou EU harmonizovaný v oblasti </w:t>
            </w:r>
            <w:r w:rsidR="004C72FE">
              <w:rPr>
                <w:rFonts w:ascii="Times New Roman" w:hAnsi="Times New Roman"/>
                <w:i/>
                <w:color w:val="000000"/>
              </w:rPr>
              <w:t xml:space="preserve">kvality </w:t>
            </w:r>
            <w:r w:rsidRPr="00AB53C7" w:rsidR="004C72FE">
              <w:rPr>
                <w:rFonts w:ascii="Times New Roman" w:hAnsi="Times New Roman"/>
                <w:i/>
                <w:color w:val="000000"/>
              </w:rPr>
              <w:t>posudzovania a schvaľovania (</w:t>
            </w:r>
            <w:r w:rsidRPr="004C72FE" w:rsidR="004C72FE">
              <w:rPr>
                <w:rFonts w:ascii="Times New Roman" w:hAnsi="Times New Roman"/>
                <w:i/>
                <w:color w:val="000000"/>
              </w:rPr>
              <w:t>predíde sa situáciá</w:t>
            </w:r>
            <w:r w:rsidRPr="00AB53C7" w:rsidR="004C72FE">
              <w:rPr>
                <w:rFonts w:ascii="Times New Roman" w:hAnsi="Times New Roman"/>
                <w:i/>
                <w:color w:val="000000"/>
              </w:rPr>
              <w:t xml:space="preserve">m, kedy </w:t>
            </w:r>
            <w:r w:rsidR="004C72FE">
              <w:rPr>
                <w:rFonts w:ascii="Times New Roman" w:hAnsi="Times New Roman"/>
                <w:i/>
                <w:color w:val="000000"/>
              </w:rPr>
              <w:t>jednotlivé členské štáty vznesú rôzne druhy závažných a/alebo rovnakých pripomienok tomu istému žiadateľovi a</w:t>
            </w:r>
            <w:r w:rsidR="00073921">
              <w:rPr>
                <w:rFonts w:ascii="Times New Roman" w:hAnsi="Times New Roman"/>
                <w:i/>
                <w:color w:val="000000"/>
              </w:rPr>
              <w:t> situáciám, kedy jeden členský</w:t>
            </w:r>
            <w:r w:rsidR="004C72FE">
              <w:rPr>
                <w:rFonts w:ascii="Times New Roman" w:hAnsi="Times New Roman"/>
                <w:i/>
                <w:color w:val="000000"/>
              </w:rPr>
              <w:t xml:space="preserve"> štát</w:t>
            </w:r>
            <w:r w:rsidRPr="00AB53C7" w:rsidR="004C72FE">
              <w:rPr>
                <w:rFonts w:ascii="Times New Roman" w:hAnsi="Times New Roman"/>
                <w:i/>
                <w:color w:val="000000"/>
              </w:rPr>
              <w:t xml:space="preserve"> klinické skúšanie </w:t>
            </w:r>
            <w:r w:rsidR="004C72FE">
              <w:rPr>
                <w:rFonts w:ascii="Times New Roman" w:hAnsi="Times New Roman"/>
                <w:i/>
                <w:color w:val="000000"/>
              </w:rPr>
              <w:t>s</w:t>
            </w:r>
            <w:r w:rsidRPr="00AB53C7" w:rsidR="004C72FE">
              <w:rPr>
                <w:rFonts w:ascii="Times New Roman" w:hAnsi="Times New Roman"/>
                <w:i/>
                <w:color w:val="000000"/>
              </w:rPr>
              <w:t xml:space="preserve">chváli a druhý nie) ako aj v lehotách. </w:t>
            </w:r>
          </w:p>
          <w:p w:rsidR="009F7AC2" w:rsidRPr="00AB53C7" w:rsidP="00AB53C7">
            <w:pPr>
              <w:bidi w:val="0"/>
              <w:rPr>
                <w:rFonts w:ascii="Times New Roman" w:hAnsi="Times New Roman"/>
                <w:i/>
                <w:sz w:val="24"/>
                <w:szCs w:val="24"/>
              </w:rPr>
            </w:pPr>
            <w:r w:rsidRPr="00AB53C7" w:rsidR="00FF03C5">
              <w:rPr>
                <w:rFonts w:ascii="Times New Roman" w:hAnsi="Times New Roman"/>
                <w:i/>
                <w:color w:val="000000"/>
              </w:rPr>
              <w:t>Pri vypracovávaní návrhu výše správnych poplatkov bola zohľadnená náročnosť posudzovania klinického skúšania, charakter klinického skúšania ako aj typ skúšaného lieku. Zároveň bolo oddiferencované, či SR plní alebo neplní úlohy spravodajského členské</w:t>
            </w:r>
            <w:r w:rsidRPr="00AB53C7" w:rsidR="00EE7453">
              <w:rPr>
                <w:rFonts w:ascii="Times New Roman" w:hAnsi="Times New Roman"/>
                <w:i/>
                <w:color w:val="000000"/>
              </w:rPr>
              <w:t>ho štátu (odpovedá za koordinova</w:t>
            </w:r>
            <w:r w:rsidRPr="00AB53C7" w:rsidR="00FF03C5">
              <w:rPr>
                <w:rFonts w:ascii="Times New Roman" w:hAnsi="Times New Roman"/>
                <w:i/>
                <w:color w:val="000000"/>
              </w:rPr>
              <w:t>nie celéh</w:t>
            </w:r>
            <w:r w:rsidRPr="00AB53C7" w:rsidR="00EE7453">
              <w:rPr>
                <w:rFonts w:ascii="Times New Roman" w:hAnsi="Times New Roman"/>
                <w:i/>
                <w:color w:val="000000"/>
              </w:rPr>
              <w:t>o</w:t>
            </w:r>
            <w:r w:rsidRPr="00AB53C7" w:rsidR="00FF03C5">
              <w:rPr>
                <w:rFonts w:ascii="Times New Roman" w:hAnsi="Times New Roman"/>
                <w:i/>
                <w:color w:val="000000"/>
              </w:rPr>
              <w:t xml:space="preserve"> pro</w:t>
            </w:r>
            <w:r w:rsidR="00765BF8">
              <w:rPr>
                <w:rFonts w:ascii="Times New Roman" w:hAnsi="Times New Roman"/>
                <w:i/>
                <w:color w:val="000000"/>
              </w:rPr>
              <w:t>c</w:t>
            </w:r>
            <w:r w:rsidRPr="00AB53C7" w:rsidR="00FF03C5">
              <w:rPr>
                <w:rFonts w:ascii="Times New Roman" w:hAnsi="Times New Roman"/>
                <w:i/>
                <w:color w:val="000000"/>
              </w:rPr>
              <w:t>esu medzi štáty EU, ktoré sa účastní daného KH). Tieto rozdiely v náročnosti posudzovania klinického skúšania boli náležite odstupňované prepočtom špecifických sadzieb poplatkov zodpovedajúcimi koeficientmi</w:t>
            </w:r>
            <w:r w:rsidRPr="00AB53C7" w:rsidR="00547988">
              <w:rPr>
                <w:rFonts w:ascii="Times New Roman" w:hAnsi="Times New Roman"/>
                <w:i/>
                <w:color w:val="000000"/>
              </w:rPr>
              <w:t>.</w:t>
            </w:r>
            <w:r w:rsidRPr="00390FF8">
              <w:rPr>
                <w:rFonts w:ascii="Times New Roman" w:hAnsi="Times New Roman"/>
                <w:i/>
                <w:iCs/>
              </w:rPr>
              <w:t xml:space="preserve">Návrh zákona neovplyvní životné prostredie,  pozitívne </w:t>
            </w:r>
            <w:r w:rsidRPr="00390FF8" w:rsidR="007B4B30">
              <w:rPr>
                <w:rFonts w:ascii="Times New Roman" w:hAnsi="Times New Roman"/>
                <w:i/>
                <w:iCs/>
              </w:rPr>
              <w:t xml:space="preserve">ovplyvní </w:t>
            </w:r>
            <w:r w:rsidRPr="00390FF8">
              <w:rPr>
                <w:rFonts w:ascii="Times New Roman" w:hAnsi="Times New Roman"/>
                <w:i/>
                <w:iCs/>
              </w:rPr>
              <w:t>zamestnanosť a</w:t>
            </w:r>
            <w:r w:rsidRPr="00390FF8" w:rsidR="007B4B30">
              <w:rPr>
                <w:rFonts w:ascii="Times New Roman" w:hAnsi="Times New Roman"/>
                <w:i/>
                <w:iCs/>
              </w:rPr>
              <w:t xml:space="preserve">  </w:t>
            </w:r>
            <w:r w:rsidRPr="00390FF8">
              <w:rPr>
                <w:rFonts w:ascii="Times New Roman" w:hAnsi="Times New Roman"/>
                <w:i/>
                <w:iCs/>
              </w:rPr>
              <w:t>informatizáciu spoločnosti.</w:t>
            </w:r>
          </w:p>
          <w:p w:rsidR="00040E43" w:rsidP="00040E43">
            <w:pPr>
              <w:bidi w:val="0"/>
              <w:rPr>
                <w:rFonts w:ascii="Times New Roman" w:hAnsi="Times New Roman"/>
                <w:i/>
              </w:rPr>
            </w:pPr>
          </w:p>
          <w:p w:rsidR="00040E43" w:rsidP="00040E43">
            <w:pPr>
              <w:bidi w:val="0"/>
              <w:rPr>
                <w:rFonts w:ascii="Times New Roman" w:hAnsi="Times New Roman"/>
                <w:i/>
              </w:rPr>
            </w:pPr>
            <w:r>
              <w:rPr>
                <w:rFonts w:ascii="Times New Roman" w:hAnsi="Times New Roman"/>
                <w:i/>
              </w:rPr>
              <w:t>Vplyv na rozpočet verejnej správy budú mať a</w:t>
            </w:r>
            <w:r w:rsidRPr="0085514A">
              <w:rPr>
                <w:rFonts w:ascii="Times New Roman" w:hAnsi="Times New Roman"/>
                <w:i/>
              </w:rPr>
              <w:t xml:space="preserve">dministratívne náklady </w:t>
            </w:r>
            <w:r>
              <w:rPr>
                <w:rFonts w:ascii="Times New Roman" w:hAnsi="Times New Roman"/>
                <w:i/>
              </w:rPr>
              <w:t xml:space="preserve">na MZ SR </w:t>
            </w:r>
            <w:r w:rsidRPr="0085514A">
              <w:rPr>
                <w:rFonts w:ascii="Times New Roman" w:hAnsi="Times New Roman"/>
                <w:i/>
              </w:rPr>
              <w:t>budú na zri</w:t>
            </w:r>
            <w:r>
              <w:rPr>
                <w:rFonts w:ascii="Times New Roman" w:hAnsi="Times New Roman"/>
                <w:i/>
              </w:rPr>
              <w:t>a</w:t>
            </w:r>
            <w:r w:rsidRPr="0085514A">
              <w:rPr>
                <w:rFonts w:ascii="Times New Roman" w:hAnsi="Times New Roman"/>
                <w:i/>
              </w:rPr>
              <w:t>denie sekretariátu etickej komisie</w:t>
            </w:r>
            <w:r>
              <w:rPr>
                <w:rFonts w:ascii="Times New Roman" w:hAnsi="Times New Roman"/>
                <w:i/>
              </w:rPr>
              <w:t>, ktorý bude pri sekcii farmácie a liekovej politiky MZ SR Predpokladá sa, že bude potrebné vytvoriť tri nové pracovné miesta</w:t>
            </w:r>
          </w:p>
          <w:p w:rsidR="00040E43" w:rsidP="00040E43">
            <w:pPr>
              <w:bidi w:val="0"/>
              <w:rPr>
                <w:rFonts w:ascii="Times New Roman" w:hAnsi="Times New Roman"/>
                <w:i/>
              </w:rPr>
            </w:pPr>
            <w:r>
              <w:rPr>
                <w:rFonts w:ascii="Times New Roman" w:hAnsi="Times New Roman"/>
                <w:i/>
              </w:rPr>
              <w:t>ročné náklady na plat budú vo výške 5</w:t>
            </w:r>
            <w:r w:rsidRPr="00FE1ABB">
              <w:rPr>
                <w:rFonts w:ascii="Times New Roman" w:hAnsi="Times New Roman"/>
                <w:i/>
              </w:rPr>
              <w:t>4</w:t>
            </w:r>
            <w:r>
              <w:rPr>
                <w:rFonts w:ascii="Times New Roman" w:hAnsi="Times New Roman"/>
                <w:i/>
              </w:rPr>
              <w:t> 000 eur a na ostatné náklady vo výške 2 000 eur, spolu 56 000 eur..</w:t>
            </w:r>
          </w:p>
          <w:p w:rsidR="00040E43" w:rsidP="00040E43">
            <w:pPr>
              <w:bidi w:val="0"/>
              <w:rPr>
                <w:rFonts w:ascii="Times New Roman" w:hAnsi="Times New Roman"/>
                <w:i/>
              </w:rPr>
            </w:pPr>
            <w:r>
              <w:rPr>
                <w:rFonts w:ascii="Times New Roman" w:hAnsi="Times New Roman"/>
                <w:i/>
              </w:rPr>
              <w:t>Náklady na zriadenie a spravovanie národného elektronického portálu sa odhadujú vo výške 20 000 eur ročne.</w:t>
            </w:r>
          </w:p>
          <w:p w:rsidR="00040E43" w:rsidP="00040E43">
            <w:pPr>
              <w:bidi w:val="0"/>
              <w:rPr>
                <w:rFonts w:ascii="Times New Roman" w:hAnsi="Times New Roman"/>
                <w:i/>
              </w:rPr>
            </w:pPr>
            <w:r>
              <w:rPr>
                <w:rFonts w:ascii="Times New Roman" w:hAnsi="Times New Roman"/>
                <w:i/>
              </w:rPr>
              <w:t>Náklady na odmeny pre členov etickej komisie pre klinické skúšanie sa odhadujú vo výške 420 000 eur.</w:t>
            </w:r>
            <w:r w:rsidRPr="0085514A">
              <w:rPr>
                <w:rFonts w:ascii="Times New Roman" w:hAnsi="Times New Roman"/>
                <w:i/>
              </w:rPr>
              <w:t xml:space="preserve"> </w:t>
            </w:r>
          </w:p>
          <w:p w:rsidR="00874D41" w:rsidRPr="00F46317" w:rsidP="00874D41">
            <w:pPr>
              <w:pBdr>
                <w:top w:val="single" w:sz="4" w:space="1" w:color="auto"/>
                <w:left w:val="single" w:sz="4" w:space="4" w:color="auto"/>
                <w:bottom w:val="single" w:sz="4" w:space="1" w:color="auto"/>
                <w:right w:val="single" w:sz="4" w:space="4" w:color="auto"/>
              </w:pBdr>
              <w:bidi w:val="0"/>
              <w:ind w:firstLine="626"/>
              <w:rPr>
                <w:rFonts w:ascii="Times New Roman" w:hAnsi="Times New Roman"/>
              </w:rPr>
            </w:pPr>
            <w:r>
              <w:rPr>
                <w:rFonts w:ascii="Times New Roman" w:hAnsi="Times New Roman"/>
                <w:i/>
              </w:rPr>
              <w:t>Ministerstvu zdravotníctva SR pribudne nová činnosť - povoľovanie dovozu skúšaných liekov a sprievodných liekov používaných pri povolenom klinickom skúšaní, ktorú bude vykonávať so súčasnými zamestnancami.</w:t>
            </w:r>
          </w:p>
          <w:p w:rsidR="00874D41" w:rsidP="00040E43">
            <w:pPr>
              <w:bidi w:val="0"/>
              <w:rPr>
                <w:rFonts w:ascii="Times New Roman" w:hAnsi="Times New Roman"/>
                <w:i/>
              </w:rPr>
            </w:pPr>
          </w:p>
          <w:p w:rsidR="004F6F1F" w:rsidP="00040E43">
            <w:pPr>
              <w:pStyle w:val="Default"/>
              <w:bidi w:val="0"/>
              <w:jc w:val="both"/>
              <w:rPr>
                <w:rFonts w:ascii="Times New Roman" w:hAnsi="Times New Roman"/>
                <w:i/>
                <w:sz w:val="20"/>
                <w:szCs w:val="20"/>
              </w:rPr>
            </w:pPr>
            <w:r w:rsidRPr="00040E43" w:rsidR="00040E43">
              <w:rPr>
                <w:rFonts w:ascii="Times New Roman" w:hAnsi="Times New Roman"/>
                <w:i/>
                <w:sz w:val="20"/>
                <w:szCs w:val="20"/>
              </w:rPr>
              <w:t>Štátny ústav požaduje zvýšenie počtu pracovníkov o 22. Podrobnosti sú uvedené v prílohe č.2</w:t>
            </w:r>
            <w:r w:rsidR="00040E43">
              <w:rPr>
                <w:rFonts w:ascii="Times New Roman" w:hAnsi="Times New Roman"/>
                <w:i/>
              </w:rPr>
              <w:t xml:space="preserve"> </w:t>
            </w:r>
            <w:r w:rsidRPr="00040E43" w:rsidR="00040E43">
              <w:rPr>
                <w:rFonts w:ascii="Times New Roman" w:hAnsi="Times New Roman"/>
                <w:i/>
                <w:sz w:val="20"/>
                <w:szCs w:val="20"/>
              </w:rPr>
              <w:t>Vplyvy na verejné financie.</w:t>
            </w:r>
            <w:r w:rsidR="00874D41">
              <w:rPr>
                <w:rFonts w:ascii="Times New Roman" w:hAnsi="Times New Roman"/>
                <w:i/>
                <w:sz w:val="20"/>
                <w:szCs w:val="20"/>
              </w:rPr>
              <w:t xml:space="preserve"> </w:t>
            </w:r>
          </w:p>
          <w:p w:rsidR="00874D41" w:rsidRPr="00390FF8" w:rsidP="00040E43">
            <w:pPr>
              <w:pStyle w:val="Default"/>
              <w:bidi w:val="0"/>
              <w:jc w:val="both"/>
              <w:rPr>
                <w:rFonts w:ascii="Times New Roman" w:hAnsi="Times New Roman"/>
                <w:b/>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390FF8" w:rsidP="00D35768">
            <w:pPr>
              <w:pStyle w:val="ListParagraph"/>
              <w:numPr>
                <w:numId w:val="1"/>
              </w:numPr>
              <w:bidi w:val="0"/>
              <w:spacing w:after="0" w:line="240" w:lineRule="auto"/>
              <w:ind w:left="426"/>
              <w:jc w:val="both"/>
              <w:rPr>
                <w:rFonts w:ascii="Times New Roman" w:hAnsi="Times New Roman"/>
                <w:b/>
              </w:rPr>
            </w:pPr>
            <w:r w:rsidRPr="00390FF8">
              <w:rPr>
                <w:rFonts w:ascii="Times New Roman" w:hAnsi="Times New Roman"/>
                <w:b/>
              </w:rPr>
              <w:t>Kontakt na spracovateľa</w:t>
            </w:r>
          </w:p>
        </w:tc>
      </w:tr>
      <w:tr>
        <w:tblPrEx>
          <w:tblW w:w="9176" w:type="dxa"/>
          <w:tblLayout w:type="fixed"/>
          <w:tblLook w:val="04A0"/>
        </w:tblPrEx>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501A1" w:rsidRPr="00390FF8" w:rsidP="00390FF8">
            <w:pPr>
              <w:bidi w:val="0"/>
              <w:jc w:val="both"/>
              <w:rPr>
                <w:rFonts w:ascii="Times New Roman" w:hAnsi="Times New Roman"/>
                <w:i/>
              </w:rPr>
            </w:pPr>
            <w:r w:rsidRPr="00390FF8" w:rsidR="00D13B6F">
              <w:rPr>
                <w:rFonts w:ascii="Times New Roman" w:hAnsi="Times New Roman"/>
                <w:i/>
              </w:rPr>
              <w:t>Uveďte údaje na kontaktnú osobu, ktorú je možné kontaktovať v súvislos</w:t>
            </w:r>
            <w:r w:rsidRPr="00390FF8" w:rsidR="00B95A4B">
              <w:rPr>
                <w:rFonts w:ascii="Times New Roman" w:hAnsi="Times New Roman"/>
                <w:i/>
              </w:rPr>
              <w:t>ti s posúdením vybraných vplyvov.</w:t>
            </w: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390FF8" w:rsidP="00D35768">
            <w:pPr>
              <w:pStyle w:val="ListParagraph"/>
              <w:numPr>
                <w:numId w:val="1"/>
              </w:numPr>
              <w:bidi w:val="0"/>
              <w:spacing w:after="0" w:line="240" w:lineRule="auto"/>
              <w:ind w:left="426"/>
              <w:jc w:val="both"/>
              <w:rPr>
                <w:rFonts w:ascii="Times New Roman" w:hAnsi="Times New Roman"/>
                <w:b/>
              </w:rPr>
            </w:pPr>
            <w:r w:rsidRPr="00390FF8">
              <w:rPr>
                <w:rFonts w:ascii="Times New Roman" w:hAnsi="Times New Roman"/>
                <w:b/>
              </w:rPr>
              <w:t>Zdroje</w:t>
            </w:r>
          </w:p>
        </w:tc>
      </w:tr>
      <w:tr>
        <w:tblPrEx>
          <w:tblW w:w="9176" w:type="dxa"/>
          <w:tblLayout w:type="fixed"/>
          <w:tblLook w:val="04A0"/>
        </w:tblPrEx>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501A1" w:rsidRPr="00390FF8" w:rsidP="00390FF8">
            <w:pPr>
              <w:bidi w:val="0"/>
              <w:jc w:val="both"/>
              <w:rPr>
                <w:rFonts w:ascii="Times New Roman" w:hAnsi="Times New Roman"/>
                <w:i/>
              </w:rPr>
            </w:pPr>
            <w:r w:rsidRPr="00390FF8">
              <w:rPr>
                <w:rFonts w:ascii="Times New Roman" w:hAnsi="Times New Roman"/>
                <w:i/>
              </w:rPr>
              <w:t>Uveďte zdroje</w:t>
            </w:r>
            <w:r w:rsidRPr="00390FF8" w:rsidR="00EB59E3">
              <w:rPr>
                <w:rFonts w:ascii="Times New Roman" w:hAnsi="Times New Roman"/>
                <w:i/>
              </w:rPr>
              <w:t xml:space="preserve"> </w:t>
            </w:r>
            <w:r w:rsidRPr="00390FF8" w:rsidR="00D75D35">
              <w:rPr>
                <w:rFonts w:ascii="Times New Roman" w:hAnsi="Times New Roman"/>
                <w:i/>
              </w:rPr>
              <w:t>(štatistiky, prieskumy, spoluprácu s odborníkmi a iné)</w:t>
            </w:r>
            <w:r w:rsidRPr="00390FF8">
              <w:rPr>
                <w:rFonts w:ascii="Times New Roman" w:hAnsi="Times New Roman"/>
                <w:i/>
              </w:rPr>
              <w:t>, z ktorých ste pri vypracovávaní doložky, príp. analýz vplyvov vychádzali.</w:t>
            </w:r>
          </w:p>
          <w:p w:rsidR="003501A1" w:rsidRPr="00390FF8" w:rsidP="00390FF8">
            <w:pPr>
              <w:bidi w:val="0"/>
              <w:jc w:val="both"/>
              <w:rPr>
                <w:rFonts w:ascii="Times New Roman" w:hAnsi="Times New Roman"/>
                <w:b/>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390FF8" w:rsidP="00D35768">
            <w:pPr>
              <w:pStyle w:val="ListParagraph"/>
              <w:numPr>
                <w:numId w:val="1"/>
              </w:numPr>
              <w:bidi w:val="0"/>
              <w:spacing w:after="0" w:line="240" w:lineRule="auto"/>
              <w:ind w:left="426"/>
              <w:jc w:val="both"/>
              <w:rPr>
                <w:rFonts w:ascii="Times New Roman" w:hAnsi="Times New Roman"/>
                <w:b/>
              </w:rPr>
            </w:pPr>
            <w:r w:rsidRPr="00390FF8">
              <w:rPr>
                <w:rFonts w:ascii="Times New Roman" w:hAnsi="Times New Roman"/>
                <w:b/>
              </w:rPr>
              <w:t>Stanovisko Komisie pre posudzovanie vybraných vplyvov z PPK</w:t>
            </w:r>
          </w:p>
        </w:tc>
      </w:tr>
      <w:tr>
        <w:tblPrEx>
          <w:tblW w:w="9176" w:type="dxa"/>
          <w:tblLayout w:type="fixed"/>
          <w:tblLook w:val="04A0"/>
        </w:tblPrEx>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501A1" w:rsidRPr="00540DA4" w:rsidP="00390FF8">
            <w:pPr>
              <w:bidi w:val="0"/>
              <w:jc w:val="both"/>
              <w:rPr>
                <w:rFonts w:ascii="Times New Roman" w:hAnsi="Times New Roman"/>
                <w:i/>
              </w:rPr>
            </w:pPr>
            <w:r w:rsidRPr="00540DA4">
              <w:rPr>
                <w:rFonts w:ascii="Times New Roman" w:hAnsi="Times New Roman"/>
                <w:i/>
              </w:rPr>
              <w:t>Uveďte stanovisko Komisie pre posudzovanie vybraných vplyvov, ktoré Vám bolo zaslané v rámci predbežného pripomienkového konania</w:t>
            </w:r>
          </w:p>
          <w:p w:rsidR="003501A1" w:rsidRPr="00540DA4" w:rsidP="00390FF8">
            <w:pPr>
              <w:bidi w:val="0"/>
              <w:jc w:val="both"/>
              <w:rPr>
                <w:rFonts w:ascii="Times New Roman" w:hAnsi="Times New Roman"/>
                <w:b/>
              </w:rPr>
            </w:pPr>
          </w:p>
          <w:p w:rsidR="00540DA4" w:rsidRPr="00540DA4" w:rsidP="00540DA4">
            <w:pPr>
              <w:tabs>
                <w:tab w:val="center" w:pos="6379"/>
              </w:tabs>
              <w:bidi w:val="0"/>
              <w:ind w:right="-2"/>
              <w:jc w:val="both"/>
              <w:rPr>
                <w:rFonts w:ascii="Times New Roman" w:hAnsi="Times New Roman"/>
                <w:bCs/>
              </w:rPr>
            </w:pPr>
            <w:r w:rsidRPr="00513114" w:rsidR="00513114">
              <w:rPr>
                <w:rFonts w:ascii="Times New Roman" w:hAnsi="Times New Roman"/>
                <w:b/>
                <w:bCs/>
              </w:rPr>
              <w:t>II. P</w:t>
            </w:r>
            <w:r w:rsidRPr="00513114" w:rsidR="00513114">
              <w:rPr>
                <w:rFonts w:ascii="Times New Roman" w:hAnsi="Times New Roman"/>
                <w:b/>
              </w:rPr>
              <w:t>r</w:t>
            </w:r>
            <w:r w:rsidRPr="00513114" w:rsidR="00513114">
              <w:rPr>
                <w:rFonts w:ascii="Times New Roman" w:hAnsi="Times New Roman"/>
                <w:b/>
                <w:bCs/>
              </w:rPr>
              <w:t>ipomienky a návrhy zm</w:t>
            </w:r>
            <w:r w:rsidRPr="00513114" w:rsidR="00513114">
              <w:rPr>
                <w:rFonts w:ascii="Times New Roman" w:hAnsi="Times New Roman"/>
                <w:b/>
              </w:rPr>
              <w:t>ie</w:t>
            </w:r>
            <w:r w:rsidRPr="00513114" w:rsidR="00513114">
              <w:rPr>
                <w:rFonts w:ascii="Times New Roman" w:hAnsi="Times New Roman"/>
                <w:b/>
                <w:bCs/>
              </w:rPr>
              <w:t xml:space="preserve">n: </w:t>
            </w:r>
            <w:r w:rsidRPr="00540DA4">
              <w:rPr>
                <w:rFonts w:ascii="Times New Roman" w:hAnsi="Times New Roman"/>
                <w:bCs/>
              </w:rPr>
              <w:t>Komisia uplatňuje k materiálu nasledovné pripomienky a odporúčania:</w:t>
            </w:r>
          </w:p>
          <w:p w:rsidR="00540DA4" w:rsidRPr="00540DA4" w:rsidP="00540DA4">
            <w:pPr>
              <w:tabs>
                <w:tab w:val="center" w:pos="6379"/>
              </w:tabs>
              <w:bidi w:val="0"/>
              <w:ind w:right="-2"/>
              <w:jc w:val="both"/>
              <w:rPr>
                <w:rFonts w:ascii="Times New Roman" w:hAnsi="Times New Roman"/>
                <w:bCs/>
              </w:rPr>
            </w:pPr>
          </w:p>
          <w:p w:rsidR="00540DA4" w:rsidRPr="00540DA4" w:rsidP="00540DA4">
            <w:pPr>
              <w:bidi w:val="0"/>
              <w:ind w:right="-2"/>
              <w:jc w:val="both"/>
              <w:rPr>
                <w:rFonts w:ascii="Times New Roman" w:hAnsi="Times New Roman"/>
                <w:b/>
                <w:bCs/>
              </w:rPr>
            </w:pPr>
            <w:r w:rsidRPr="00540DA4">
              <w:rPr>
                <w:rFonts w:ascii="Times New Roman" w:hAnsi="Times New Roman"/>
                <w:b/>
                <w:bCs/>
              </w:rPr>
              <w:t xml:space="preserve">K doložke vybraných vplyvov </w:t>
            </w:r>
          </w:p>
          <w:p w:rsidR="00540DA4" w:rsidRPr="00540DA4" w:rsidP="00540DA4">
            <w:pPr>
              <w:bidi w:val="0"/>
              <w:ind w:right="-2"/>
              <w:jc w:val="both"/>
              <w:rPr>
                <w:rFonts w:ascii="Times New Roman" w:hAnsi="Times New Roman"/>
                <w:bCs/>
              </w:rPr>
            </w:pPr>
            <w:r w:rsidRPr="00540DA4">
              <w:rPr>
                <w:rFonts w:ascii="Times New Roman" w:hAnsi="Times New Roman"/>
                <w:bCs/>
              </w:rPr>
              <w:t>V časti „1. Základné údaje“ žiada Komisia predkladateľa o úpravu predpisu na celý kompletný názov. Komisia takisto odporúča, aby predkladateľ použil doložku vybraných vplyvov účinnú od 01. apríla 2016, ktorej súčasťou sú aj vplyvy na služby verejnej správy pre občana a zároveň vyznačil žiadny vplyv ako na služby verejnej správy na občana, tak aj na procesy služieb vo verejnej správe.</w:t>
            </w:r>
          </w:p>
          <w:p w:rsidR="00540DA4" w:rsidRPr="00540DA4" w:rsidP="00540DA4">
            <w:pPr>
              <w:bidi w:val="0"/>
              <w:ind w:right="-2"/>
              <w:jc w:val="both"/>
              <w:rPr>
                <w:rFonts w:ascii="Times New Roman" w:hAnsi="Times New Roman"/>
                <w:bCs/>
              </w:rPr>
            </w:pPr>
          </w:p>
          <w:p w:rsidR="00540DA4" w:rsidRPr="00540DA4" w:rsidP="00540DA4">
            <w:pPr>
              <w:bidi w:val="0"/>
              <w:ind w:right="-2"/>
              <w:jc w:val="both"/>
              <w:rPr>
                <w:rFonts w:ascii="Times New Roman" w:hAnsi="Times New Roman"/>
                <w:b/>
                <w:bCs/>
              </w:rPr>
            </w:pPr>
            <w:r w:rsidRPr="00540DA4">
              <w:rPr>
                <w:rFonts w:ascii="Times New Roman" w:hAnsi="Times New Roman"/>
                <w:b/>
                <w:bCs/>
              </w:rPr>
              <w:t>K analýze vplyvov na podnikateľské prostredie</w:t>
            </w:r>
          </w:p>
          <w:p w:rsidR="00540DA4" w:rsidRPr="00540DA4" w:rsidP="00540DA4">
            <w:pPr>
              <w:pStyle w:val="ListParagraph"/>
              <w:numPr>
                <w:numId w:val="4"/>
              </w:numPr>
              <w:bidi w:val="0"/>
              <w:spacing w:after="0" w:line="240" w:lineRule="auto"/>
              <w:contextualSpacing w:val="0"/>
              <w:jc w:val="both"/>
              <w:rPr>
                <w:rFonts w:ascii="Times New Roman" w:hAnsi="Times New Roman"/>
                <w:bCs/>
                <w:sz w:val="20"/>
                <w:szCs w:val="20"/>
                <w:u w:val="single"/>
              </w:rPr>
            </w:pPr>
            <w:r w:rsidRPr="00540DA4">
              <w:rPr>
                <w:rFonts w:ascii="Times New Roman" w:hAnsi="Times New Roman"/>
                <w:bCs/>
                <w:sz w:val="20"/>
                <w:szCs w:val="20"/>
              </w:rPr>
              <w:t xml:space="preserve">V časti 3.3.1 Priame finančné náklady je a síce kvalitatívne popísaný dopad </w:t>
            </w:r>
            <w:r w:rsidRPr="00540DA4">
              <w:rPr>
                <w:rFonts w:ascii="Times New Roman" w:hAnsi="Times New Roman"/>
                <w:bCs/>
                <w:sz w:val="20"/>
                <w:szCs w:val="20"/>
                <w:u w:val="single"/>
              </w:rPr>
              <w:t>zavádzania nových poplatkov za žiadosti na úseku klinického skúšania liekov</w:t>
            </w:r>
            <w:r w:rsidRPr="00540DA4">
              <w:rPr>
                <w:rFonts w:ascii="Times New Roman" w:hAnsi="Times New Roman"/>
                <w:bCs/>
                <w:sz w:val="20"/>
                <w:szCs w:val="20"/>
              </w:rPr>
              <w:t xml:space="preserve"> na farmaceutické spoločnosti a laboratória pre klinické skúšanie liekov, avšak </w:t>
            </w:r>
            <w:r w:rsidRPr="00540DA4">
              <w:rPr>
                <w:rFonts w:ascii="Times New Roman" w:hAnsi="Times New Roman"/>
                <w:bCs/>
                <w:sz w:val="20"/>
                <w:szCs w:val="20"/>
                <w:u w:val="single"/>
              </w:rPr>
              <w:t>absentuje:</w:t>
            </w:r>
          </w:p>
          <w:p w:rsidR="00540DA4" w:rsidRPr="00540DA4" w:rsidP="00540DA4">
            <w:pPr>
              <w:pStyle w:val="ListParagraph"/>
              <w:numPr>
                <w:numId w:val="5"/>
              </w:numPr>
              <w:bidi w:val="0"/>
              <w:spacing w:after="0" w:line="240" w:lineRule="auto"/>
              <w:contextualSpacing w:val="0"/>
              <w:jc w:val="both"/>
              <w:rPr>
                <w:rFonts w:ascii="Times New Roman" w:hAnsi="Times New Roman"/>
                <w:bCs/>
                <w:sz w:val="20"/>
                <w:szCs w:val="20"/>
              </w:rPr>
            </w:pPr>
            <w:r w:rsidRPr="00540DA4">
              <w:rPr>
                <w:rFonts w:ascii="Times New Roman" w:hAnsi="Times New Roman"/>
                <w:bCs/>
                <w:sz w:val="20"/>
                <w:szCs w:val="20"/>
              </w:rPr>
              <w:t xml:space="preserve"> kvalitatívny popis v dôsledku významného zvýšenia týchto poplatkov v porovnaní so súčasne ustanovenou výškou jedného druhu poplatku (pre porovnanie – dnes sa uhrádza poplatok za rozhodnutie o povolení klinického skúšania humánneho lieku vo výške 331,50 eur, tento sa ruší a po novom sa ustanovuje viacero žiadostí na úseku klinického skúšania lieku s rôznou výškou poplatku, ktoré sa pohybujú v tisíckach eur, napr. poplatok za žiadosť o povolenie klinického skúšania lieku, okrem nízkointervenčného klinického skúšania, ak SR nie je spravodajským členským štátom a klinické skúšanie nezahŕňa lieky na inovatívnu liečbu alebo lieky uvedené v osobitnom predpise sa ustanovuje vo výške 3 500 eur),</w:t>
            </w:r>
          </w:p>
          <w:p w:rsidR="00540DA4" w:rsidRPr="00540DA4" w:rsidP="00540DA4">
            <w:pPr>
              <w:pStyle w:val="ListParagraph"/>
              <w:numPr>
                <w:numId w:val="5"/>
              </w:numPr>
              <w:bidi w:val="0"/>
              <w:spacing w:after="0" w:line="240" w:lineRule="auto"/>
              <w:contextualSpacing w:val="0"/>
              <w:jc w:val="both"/>
              <w:rPr>
                <w:rFonts w:ascii="Times New Roman" w:hAnsi="Times New Roman"/>
                <w:bCs/>
                <w:sz w:val="20"/>
                <w:szCs w:val="20"/>
              </w:rPr>
            </w:pPr>
            <w:r w:rsidRPr="00540DA4">
              <w:rPr>
                <w:rFonts w:ascii="Times New Roman" w:hAnsi="Times New Roman"/>
                <w:bCs/>
                <w:sz w:val="20"/>
                <w:szCs w:val="20"/>
              </w:rPr>
              <w:t>vyčíslenie priamych nákladov aspoň formou príkladu na 1 podnikateľa v dôsledku zvýšenia správnych poplatkov na úseku klinického skúšania liekov,</w:t>
            </w:r>
            <w:r w:rsidRPr="00540DA4">
              <w:rPr>
                <w:rFonts w:ascii="Times New Roman" w:hAnsi="Times New Roman"/>
                <w:sz w:val="20"/>
                <w:szCs w:val="20"/>
              </w:rPr>
              <w:t xml:space="preserve"> a </w:t>
            </w:r>
            <w:r w:rsidRPr="00540DA4">
              <w:rPr>
                <w:rFonts w:ascii="Times New Roman" w:hAnsi="Times New Roman"/>
                <w:bCs/>
                <w:sz w:val="20"/>
                <w:szCs w:val="20"/>
              </w:rPr>
              <w:t xml:space="preserve">aby z Analýzy vplyvov na podnikateľské prostredie bolo zároveň zrejmé, v akom finančnom rozpätí sa budúce správne poplatky môžu pohybovať, teda suma poplatku od – do pre 1 podnikateľa v závislosti od druhu žiadosti a toho, či SR je spravodajským štátom alebo nie. </w:t>
            </w:r>
          </w:p>
          <w:p w:rsidR="00540DA4" w:rsidRPr="00540DA4" w:rsidP="00540DA4">
            <w:pPr>
              <w:pStyle w:val="ListParagraph"/>
              <w:bidi w:val="0"/>
              <w:ind w:left="1500"/>
              <w:jc w:val="both"/>
              <w:rPr>
                <w:rFonts w:ascii="Times New Roman" w:hAnsi="Times New Roman"/>
                <w:bCs/>
                <w:sz w:val="20"/>
                <w:szCs w:val="20"/>
              </w:rPr>
            </w:pPr>
          </w:p>
          <w:p w:rsidR="00540DA4" w:rsidRPr="00540DA4" w:rsidP="00540DA4">
            <w:pPr>
              <w:pStyle w:val="ListParagraph"/>
              <w:numPr>
                <w:numId w:val="4"/>
              </w:numPr>
              <w:bidi w:val="0"/>
              <w:spacing w:after="0" w:line="240" w:lineRule="auto"/>
              <w:contextualSpacing w:val="0"/>
              <w:jc w:val="both"/>
              <w:rPr>
                <w:rFonts w:ascii="Times New Roman" w:hAnsi="Times New Roman"/>
                <w:bCs/>
                <w:sz w:val="20"/>
                <w:szCs w:val="20"/>
              </w:rPr>
            </w:pPr>
            <w:r w:rsidRPr="00540DA4">
              <w:rPr>
                <w:rFonts w:ascii="Times New Roman" w:hAnsi="Times New Roman"/>
                <w:bCs/>
                <w:sz w:val="20"/>
                <w:szCs w:val="20"/>
              </w:rPr>
              <w:t xml:space="preserve">V časti 3.3.2 Nepriame finančné náklady v dôsledku </w:t>
            </w:r>
            <w:r w:rsidRPr="00540DA4">
              <w:rPr>
                <w:rFonts w:ascii="Times New Roman" w:hAnsi="Times New Roman"/>
                <w:bCs/>
                <w:sz w:val="20"/>
                <w:szCs w:val="20"/>
                <w:u w:val="single"/>
              </w:rPr>
              <w:t>zavedenia povinnosti u nemocničných lekární zriadiť oddelenie prípravy cytostatík</w:t>
            </w:r>
            <w:r w:rsidRPr="00540DA4">
              <w:rPr>
                <w:rFonts w:ascii="Times New Roman" w:hAnsi="Times New Roman"/>
                <w:bCs/>
                <w:sz w:val="20"/>
                <w:szCs w:val="20"/>
              </w:rPr>
              <w:t xml:space="preserve"> </w:t>
            </w:r>
            <w:r w:rsidRPr="00540DA4">
              <w:rPr>
                <w:rFonts w:ascii="Times New Roman" w:hAnsi="Times New Roman"/>
                <w:bCs/>
                <w:sz w:val="20"/>
                <w:szCs w:val="20"/>
                <w:u w:val="single"/>
              </w:rPr>
              <w:t>absentuje:</w:t>
            </w:r>
          </w:p>
          <w:p w:rsidR="00540DA4" w:rsidRPr="00540DA4" w:rsidP="00540DA4">
            <w:pPr>
              <w:pStyle w:val="ListParagraph"/>
              <w:numPr>
                <w:numId w:val="6"/>
              </w:numPr>
              <w:bidi w:val="0"/>
              <w:spacing w:after="0" w:line="240" w:lineRule="auto"/>
              <w:contextualSpacing w:val="0"/>
              <w:jc w:val="both"/>
              <w:rPr>
                <w:rFonts w:ascii="Times New Roman" w:hAnsi="Times New Roman"/>
                <w:bCs/>
                <w:sz w:val="20"/>
                <w:szCs w:val="20"/>
              </w:rPr>
            </w:pPr>
            <w:r w:rsidRPr="00540DA4">
              <w:rPr>
                <w:rFonts w:ascii="Times New Roman" w:hAnsi="Times New Roman"/>
                <w:bCs/>
                <w:sz w:val="20"/>
                <w:szCs w:val="20"/>
              </w:rPr>
              <w:t xml:space="preserve"> kvalitatívny popis dopadov v dôsledku tejto zmeny,</w:t>
            </w:r>
          </w:p>
          <w:p w:rsidR="00540DA4" w:rsidRPr="00540DA4" w:rsidP="00540DA4">
            <w:pPr>
              <w:pStyle w:val="ListParagraph"/>
              <w:numPr>
                <w:numId w:val="6"/>
              </w:numPr>
              <w:bidi w:val="0"/>
              <w:spacing w:after="0" w:line="240" w:lineRule="auto"/>
              <w:contextualSpacing w:val="0"/>
              <w:jc w:val="both"/>
              <w:rPr>
                <w:rFonts w:ascii="Times New Roman" w:hAnsi="Times New Roman"/>
                <w:bCs/>
                <w:sz w:val="20"/>
                <w:szCs w:val="20"/>
              </w:rPr>
            </w:pPr>
            <w:r w:rsidRPr="00540DA4">
              <w:rPr>
                <w:rFonts w:ascii="Times New Roman" w:hAnsi="Times New Roman"/>
                <w:bCs/>
                <w:sz w:val="20"/>
                <w:szCs w:val="20"/>
              </w:rPr>
              <w:t xml:space="preserve"> vyčíslenie nepriamych nákladov aspoň formou príkladu na 1 podnikateľa v dôsledku zavedenia danej povinnosti.</w:t>
            </w:r>
          </w:p>
          <w:p w:rsidR="00540DA4" w:rsidRPr="00540DA4" w:rsidP="00540DA4">
            <w:pPr>
              <w:pStyle w:val="ListParagraph"/>
              <w:bidi w:val="0"/>
              <w:ind w:left="1440"/>
              <w:jc w:val="both"/>
              <w:rPr>
                <w:rFonts w:ascii="Times New Roman" w:hAnsi="Times New Roman"/>
                <w:bCs/>
                <w:sz w:val="20"/>
                <w:szCs w:val="20"/>
              </w:rPr>
            </w:pPr>
          </w:p>
          <w:p w:rsidR="00540DA4" w:rsidRPr="00540DA4" w:rsidP="00540DA4">
            <w:pPr>
              <w:pStyle w:val="ListParagraph"/>
              <w:numPr>
                <w:numId w:val="4"/>
              </w:numPr>
              <w:bidi w:val="0"/>
              <w:spacing w:after="0" w:line="240" w:lineRule="auto"/>
              <w:contextualSpacing w:val="0"/>
              <w:jc w:val="both"/>
              <w:rPr>
                <w:rFonts w:ascii="Times New Roman" w:hAnsi="Times New Roman"/>
                <w:bCs/>
                <w:sz w:val="20"/>
                <w:szCs w:val="20"/>
              </w:rPr>
            </w:pPr>
            <w:r w:rsidRPr="00540DA4">
              <w:rPr>
                <w:rFonts w:ascii="Times New Roman" w:hAnsi="Times New Roman"/>
                <w:bCs/>
                <w:sz w:val="20"/>
                <w:szCs w:val="20"/>
              </w:rPr>
              <w:t>V časti 3.3.3 Administratívne náklady sú uvedené údaje, ktoré patria do Analýzy vplyvov na rozpočet VS, pričom akýkoľvek výpočet ako aj kvalitatívny popis nákladov, ktoré vznikajú v súvislosti so zvýšením správnych poplatkov patrí do časti 3.3.1 Priame náklady (viď. pripomienku č. 1.).</w:t>
            </w:r>
          </w:p>
          <w:p w:rsidR="00540DA4" w:rsidRPr="00540DA4" w:rsidP="00540DA4">
            <w:pPr>
              <w:pStyle w:val="ListParagraph"/>
              <w:bidi w:val="0"/>
              <w:jc w:val="both"/>
              <w:rPr>
                <w:rFonts w:ascii="Times New Roman" w:hAnsi="Times New Roman"/>
                <w:bCs/>
                <w:sz w:val="20"/>
                <w:szCs w:val="20"/>
              </w:rPr>
            </w:pPr>
          </w:p>
          <w:p w:rsidR="00540DA4" w:rsidRPr="00540DA4" w:rsidP="00540DA4">
            <w:pPr>
              <w:pStyle w:val="ListParagraph"/>
              <w:numPr>
                <w:numId w:val="4"/>
              </w:numPr>
              <w:bidi w:val="0"/>
              <w:spacing w:after="0" w:line="240" w:lineRule="auto"/>
              <w:contextualSpacing w:val="0"/>
              <w:jc w:val="both"/>
              <w:rPr>
                <w:rFonts w:ascii="Times New Roman" w:hAnsi="Times New Roman"/>
                <w:bCs/>
                <w:sz w:val="20"/>
                <w:szCs w:val="20"/>
              </w:rPr>
            </w:pPr>
            <w:r w:rsidRPr="00540DA4">
              <w:rPr>
                <w:rFonts w:ascii="Times New Roman" w:hAnsi="Times New Roman"/>
                <w:bCs/>
                <w:sz w:val="20"/>
                <w:szCs w:val="20"/>
              </w:rPr>
              <w:t>V časti 3.4. Konkurencieschopnosť a správanie sa podnikov na trhu predkladateľ uvádza</w:t>
            </w:r>
            <w:r w:rsidRPr="00540DA4">
              <w:rPr>
                <w:rFonts w:ascii="Times New Roman" w:hAnsi="Times New Roman"/>
                <w:sz w:val="20"/>
                <w:szCs w:val="20"/>
              </w:rPr>
              <w:t xml:space="preserve"> </w:t>
            </w:r>
            <w:r w:rsidRPr="00540DA4">
              <w:rPr>
                <w:rFonts w:ascii="Times New Roman" w:hAnsi="Times New Roman"/>
                <w:bCs/>
                <w:sz w:val="20"/>
                <w:szCs w:val="20"/>
              </w:rPr>
              <w:t xml:space="preserve">vytvorenie bariér </w:t>
            </w:r>
            <w:r w:rsidRPr="00540DA4">
              <w:rPr>
                <w:rFonts w:ascii="Times New Roman" w:hAnsi="Times New Roman"/>
                <w:bCs/>
                <w:i/>
                <w:sz w:val="20"/>
                <w:szCs w:val="20"/>
              </w:rPr>
              <w:t xml:space="preserve">„pre právnické osoby, ktoré majú záujem prevádzkovať verejné lekárne a pobočky verejných lekární, resp. fyzickým osobám, ktoré nespĺňajú požiadavky na odbornú spôsobilosť  pre poskytovanie lekárenskej starostlivosti“, </w:t>
            </w:r>
            <w:r w:rsidRPr="00540DA4">
              <w:rPr>
                <w:rFonts w:ascii="Times New Roman" w:hAnsi="Times New Roman"/>
                <w:bCs/>
                <w:sz w:val="20"/>
                <w:szCs w:val="20"/>
              </w:rPr>
              <w:t xml:space="preserve">ktoré podľa vlastného materiálu spočívajú </w:t>
            </w:r>
            <w:r w:rsidRPr="00540DA4">
              <w:rPr>
                <w:rFonts w:ascii="Times New Roman" w:hAnsi="Times New Roman"/>
                <w:bCs/>
                <w:sz w:val="20"/>
                <w:szCs w:val="20"/>
                <w:u w:val="single"/>
              </w:rPr>
              <w:t>v zavedení povinnosti odborného zástupcu firmy prevádzkujúcej verejnú lekáreň byť zároveň aj štatutárom tejto firmy</w:t>
            </w:r>
            <w:r w:rsidRPr="00540DA4">
              <w:rPr>
                <w:rFonts w:ascii="Times New Roman" w:hAnsi="Times New Roman"/>
                <w:bCs/>
                <w:sz w:val="20"/>
                <w:szCs w:val="20"/>
              </w:rPr>
              <w:t>. V dôsledku tejto zmeny v častiach 3.3.2 Nepriame finančné náklady  a 3.3.3 Administratívne náklady absentuje:</w:t>
            </w:r>
          </w:p>
          <w:p w:rsidR="00540DA4" w:rsidRPr="00540DA4" w:rsidP="00540DA4">
            <w:pPr>
              <w:pStyle w:val="ListParagraph"/>
              <w:numPr>
                <w:numId w:val="7"/>
              </w:numPr>
              <w:bidi w:val="0"/>
              <w:spacing w:after="0" w:line="240" w:lineRule="auto"/>
              <w:contextualSpacing w:val="0"/>
              <w:jc w:val="both"/>
              <w:rPr>
                <w:rFonts w:ascii="Times New Roman" w:hAnsi="Times New Roman"/>
                <w:bCs/>
                <w:sz w:val="20"/>
                <w:szCs w:val="20"/>
              </w:rPr>
            </w:pPr>
            <w:r w:rsidRPr="00540DA4">
              <w:rPr>
                <w:rFonts w:ascii="Times New Roman" w:hAnsi="Times New Roman"/>
                <w:bCs/>
                <w:sz w:val="20"/>
                <w:szCs w:val="20"/>
              </w:rPr>
              <w:t xml:space="preserve"> kvalitatívny popis dopadov v dôsledku tejto zmeny, </w:t>
            </w:r>
          </w:p>
          <w:p w:rsidR="00540DA4" w:rsidRPr="00540DA4" w:rsidP="00540DA4">
            <w:pPr>
              <w:pStyle w:val="ListParagraph"/>
              <w:numPr>
                <w:numId w:val="7"/>
              </w:numPr>
              <w:bidi w:val="0"/>
              <w:spacing w:after="0" w:line="240" w:lineRule="auto"/>
              <w:contextualSpacing w:val="0"/>
              <w:jc w:val="both"/>
              <w:rPr>
                <w:rFonts w:ascii="Times New Roman" w:hAnsi="Times New Roman"/>
                <w:bCs/>
                <w:sz w:val="20"/>
                <w:szCs w:val="20"/>
              </w:rPr>
            </w:pPr>
            <w:r w:rsidRPr="00540DA4">
              <w:rPr>
                <w:rFonts w:ascii="Times New Roman" w:hAnsi="Times New Roman"/>
                <w:bCs/>
                <w:sz w:val="20"/>
                <w:szCs w:val="20"/>
              </w:rPr>
              <w:t xml:space="preserve"> vyčíslenie nepriamych finančných ako aj administratívnych  nákladov aspoň formou príkladu na 1 podnikateľa v dôsledku zavedenia danej povinnosti.</w:t>
            </w:r>
          </w:p>
          <w:p w:rsidR="00540DA4" w:rsidRPr="00540DA4" w:rsidP="00540DA4">
            <w:pPr>
              <w:bidi w:val="0"/>
              <w:jc w:val="both"/>
              <w:rPr>
                <w:rFonts w:ascii="Times New Roman" w:hAnsi="Times New Roman"/>
                <w:bCs/>
              </w:rPr>
            </w:pPr>
          </w:p>
          <w:p w:rsidR="00540DA4" w:rsidRPr="00540DA4" w:rsidP="00540DA4">
            <w:pPr>
              <w:bidi w:val="0"/>
              <w:ind w:left="708"/>
              <w:jc w:val="both"/>
              <w:rPr>
                <w:rFonts w:ascii="Times New Roman" w:hAnsi="Times New Roman"/>
                <w:bCs/>
              </w:rPr>
            </w:pPr>
            <w:r w:rsidRPr="00540DA4">
              <w:rPr>
                <w:rFonts w:ascii="Times New Roman" w:hAnsi="Times New Roman"/>
                <w:bCs/>
              </w:rPr>
              <w:t>V súvislosti s touto zmenou má Komisia za to, že zdôvodnenie v osobitnej časti Dôvodovej správy k bodu 26, ktoré</w:t>
            </w:r>
            <w:r w:rsidRPr="00540DA4">
              <w:rPr>
                <w:rFonts w:ascii="Times New Roman" w:hAnsi="Times New Roman"/>
              </w:rPr>
              <w:t xml:space="preserve"> </w:t>
            </w:r>
            <w:r w:rsidRPr="00540DA4">
              <w:rPr>
                <w:rFonts w:ascii="Times New Roman" w:hAnsi="Times New Roman"/>
                <w:bCs/>
              </w:rPr>
              <w:t>zároveň dodáva aj podmienku</w:t>
            </w:r>
            <w:r w:rsidRPr="00540DA4">
              <w:rPr>
                <w:rFonts w:ascii="Times New Roman" w:hAnsi="Times New Roman"/>
                <w:bCs/>
                <w:i/>
              </w:rPr>
              <w:t xml:space="preserve"> „...väčšinoví spoločníci sú farmaceuti“ </w:t>
            </w:r>
            <w:r w:rsidRPr="00540DA4">
              <w:rPr>
                <w:rFonts w:ascii="Times New Roman" w:hAnsi="Times New Roman"/>
                <w:bCs/>
              </w:rPr>
              <w:t xml:space="preserve">nekorešponduje s vlastným materiálom, nakoľko v ňom daná zmena v podobe § znenia nie je uvedená. Komisia odporúča predkladateľovi odstrániť tento nesúlad a zároveň vyjasniť, či sa podmienka väčšiny spoločníkov byť farmaceutmi zavádza alebo nie. </w:t>
            </w:r>
          </w:p>
          <w:p w:rsidR="00540DA4" w:rsidRPr="00540DA4" w:rsidP="00540DA4">
            <w:pPr>
              <w:bidi w:val="0"/>
              <w:jc w:val="both"/>
              <w:rPr>
                <w:rFonts w:ascii="Times New Roman" w:hAnsi="Times New Roman"/>
                <w:bCs/>
              </w:rPr>
            </w:pPr>
          </w:p>
          <w:p w:rsidR="00540DA4" w:rsidRPr="00540DA4" w:rsidP="00540DA4">
            <w:pPr>
              <w:bidi w:val="0"/>
              <w:jc w:val="both"/>
              <w:rPr>
                <w:rFonts w:ascii="Times New Roman" w:hAnsi="Times New Roman"/>
                <w:bCs/>
              </w:rPr>
            </w:pPr>
            <w:r w:rsidRPr="00540DA4">
              <w:rPr>
                <w:rFonts w:ascii="Times New Roman" w:hAnsi="Times New Roman"/>
                <w:bCs/>
              </w:rPr>
              <w:t xml:space="preserve">Komisia odporúča predkladateľovi upraviť príslušnú Analýzu vplyvov na podnikateľské prostredie v súlade s horeuvedenými zmenami. </w:t>
            </w:r>
          </w:p>
          <w:p w:rsidR="00540DA4" w:rsidRPr="00540DA4" w:rsidP="00540DA4">
            <w:pPr>
              <w:bidi w:val="0"/>
              <w:jc w:val="both"/>
              <w:rPr>
                <w:rFonts w:ascii="Times New Roman" w:hAnsi="Times New Roman"/>
                <w:bCs/>
              </w:rPr>
            </w:pPr>
          </w:p>
          <w:p w:rsidR="00540DA4" w:rsidRPr="00540DA4" w:rsidP="00540DA4">
            <w:pPr>
              <w:bidi w:val="0"/>
              <w:jc w:val="both"/>
              <w:rPr>
                <w:rFonts w:ascii="Times New Roman" w:hAnsi="Times New Roman"/>
                <w:b/>
                <w:bCs/>
              </w:rPr>
            </w:pPr>
            <w:r w:rsidRPr="00540DA4">
              <w:rPr>
                <w:rFonts w:ascii="Times New Roman" w:hAnsi="Times New Roman"/>
                <w:b/>
                <w:bCs/>
              </w:rPr>
              <w:t>K analýze vplyvov na rozpočet verejnej správy</w:t>
            </w:r>
          </w:p>
          <w:p w:rsidR="00540DA4" w:rsidRPr="00540DA4" w:rsidP="00540DA4">
            <w:pPr>
              <w:bidi w:val="0"/>
              <w:jc w:val="both"/>
              <w:rPr>
                <w:rFonts w:ascii="Times New Roman" w:hAnsi="Times New Roman"/>
                <w:bCs/>
              </w:rPr>
            </w:pPr>
            <w:r w:rsidRPr="00540DA4">
              <w:rPr>
                <w:rFonts w:ascii="Times New Roman" w:hAnsi="Times New Roman"/>
                <w:bCs/>
              </w:rPr>
              <w:t xml:space="preserve">Z doložky vybraných vplyvov vyplýva, že návrh zákona bude mať pozitívny aj negatívny vplyv na rozpočet verejnej správy, ale nie je vyznačená zabezpečenosť v rozpočte. Pozitívny vplyv sa predpokladá zo správnych poplatkov a negatívny vplyv z dôvodu zvýšených výdavkov ŠUKL a MZ SR na zabezpečenie nových úloh v zmysle zákona. V časti 2. 2 Financovanie návrhu uvádza, že zvýšené výdavky budú od roku 2019 zabezpečené zo zvýšených príjmov rozpočtu verejnej správy a že si MZ SR bude v rokoch 2018 až 2020 uplatňovať navýšenie výdavkov do rozpočtu kapitoly. </w:t>
            </w:r>
          </w:p>
          <w:p w:rsidR="00540DA4" w:rsidRPr="00540DA4" w:rsidP="00540DA4">
            <w:pPr>
              <w:bidi w:val="0"/>
              <w:jc w:val="both"/>
              <w:rPr>
                <w:rFonts w:ascii="Times New Roman" w:hAnsi="Times New Roman"/>
                <w:bCs/>
              </w:rPr>
            </w:pPr>
          </w:p>
          <w:p w:rsidR="00540DA4" w:rsidRPr="00540DA4" w:rsidP="00540DA4">
            <w:pPr>
              <w:bidi w:val="0"/>
              <w:jc w:val="both"/>
              <w:rPr>
                <w:rFonts w:ascii="Times New Roman" w:hAnsi="Times New Roman"/>
                <w:bCs/>
              </w:rPr>
            </w:pPr>
            <w:r w:rsidRPr="00540DA4">
              <w:rPr>
                <w:rFonts w:ascii="Times New Roman" w:hAnsi="Times New Roman"/>
                <w:bCs/>
              </w:rPr>
              <w:t xml:space="preserve">V časti 2. 2 Financovanie návrhu sa uvádza, že výška predpokladaných príjmov v rokoch 2019 a 2020 (763 tis. Eur) je značne vyššia oproti roku 2018 (198 tis. eur), čo žiada Komisia bližšie špecifikovať. Predkladateľ toto navýšenie odôvodňuje v časti 2. 3. 4. Výpočty vplyvov na verejné financie len tým, že účinnosť návrhu zákona sa predpokladá od 1. 10. 2018, čo však nekorešponduje s textom v čl. IV návrhu zákona, kde sa uvádza účinnosť zákona od 1. 3. 2018, resp. pre vybrané ustanovenia od 1. 7. 2019. </w:t>
            </w:r>
          </w:p>
          <w:p w:rsidR="00540DA4" w:rsidRPr="00540DA4" w:rsidP="00540DA4">
            <w:pPr>
              <w:bidi w:val="0"/>
              <w:jc w:val="both"/>
              <w:rPr>
                <w:rFonts w:ascii="Times New Roman" w:hAnsi="Times New Roman"/>
                <w:bCs/>
              </w:rPr>
            </w:pPr>
            <w:r w:rsidRPr="00540DA4">
              <w:rPr>
                <w:rFonts w:ascii="Times New Roman" w:hAnsi="Times New Roman"/>
                <w:bCs/>
              </w:rPr>
              <w:t xml:space="preserve">V nadväznosti na uvedené žiada Komisia doložku prepracovať tak, aby z nej nevyplýval rozpočtovo nekrytý vplyv. Zároveň žiada prepracovať analýzu vplyvov v zmysle súčasne platnej Jednotnej metodiky na posudzovanie vybraných vplyvov, ktorá bola schválená uznesením vlády SR č. 24/2015 a nadobudla účinnosť od 1. 10. 2015. </w:t>
            </w:r>
          </w:p>
          <w:p w:rsidR="00540DA4" w:rsidRPr="00540DA4" w:rsidP="00540DA4">
            <w:pPr>
              <w:bidi w:val="0"/>
              <w:jc w:val="both"/>
              <w:rPr>
                <w:rFonts w:ascii="Times New Roman" w:hAnsi="Times New Roman"/>
                <w:bCs/>
              </w:rPr>
            </w:pPr>
            <w:r w:rsidRPr="00540DA4">
              <w:rPr>
                <w:rFonts w:ascii="Times New Roman" w:hAnsi="Times New Roman"/>
                <w:bCs/>
              </w:rPr>
              <w:t>Za oblasť zamestnanosti žiada Komisia osobné výdavky a počty zamestnancov vyplývajúce z návrhu zákona zabezpečiť v rámci záväzných limitov kapitoly MZ SR na príslušné rozpočtové roky. Z formálneho hľadiska tiež upozorňuje na preklep v počte zamestnancov v tabuľke č. 1 v roku 2020 v riadku „Celková zamestnanosť“, kde je uvedený počet 225 namiesto 25.</w:t>
            </w:r>
          </w:p>
          <w:p w:rsidR="00540DA4" w:rsidRPr="00540DA4" w:rsidP="00540DA4">
            <w:pPr>
              <w:bidi w:val="0"/>
              <w:ind w:right="-2"/>
              <w:jc w:val="both"/>
              <w:rPr>
                <w:rFonts w:ascii="Times New Roman" w:hAnsi="Times New Roman"/>
                <w:bCs/>
              </w:rPr>
            </w:pPr>
          </w:p>
          <w:p w:rsidR="00540DA4" w:rsidRPr="00540DA4" w:rsidP="008B03DD">
            <w:pPr>
              <w:bidi w:val="0"/>
              <w:ind w:right="-2"/>
              <w:jc w:val="both"/>
              <w:rPr>
                <w:rFonts w:ascii="Times New Roman" w:hAnsi="Times New Roman"/>
                <w:b/>
                <w:bCs/>
                <w:lang w:eastAsia="en-US"/>
              </w:rPr>
            </w:pPr>
            <w:r w:rsidRPr="00540DA4">
              <w:rPr>
                <w:rFonts w:ascii="Times New Roman" w:hAnsi="Times New Roman"/>
                <w:b/>
                <w:bCs/>
              </w:rPr>
              <w:t xml:space="preserve">III. Záver: </w:t>
            </w:r>
            <w:r w:rsidRPr="00540DA4">
              <w:rPr>
                <w:rFonts w:ascii="Times New Roman" w:hAnsi="Times New Roman"/>
                <w:bCs/>
              </w:rPr>
              <w:t xml:space="preserve">Stála pracovná komisia na posudzovanie vybraných vplyvov vyjadruje </w:t>
            </w:r>
          </w:p>
          <w:p w:rsidR="00540DA4" w:rsidRPr="00540DA4" w:rsidP="008B03DD">
            <w:pPr>
              <w:tabs>
                <w:tab w:val="center" w:pos="6379"/>
              </w:tabs>
              <w:bidi w:val="0"/>
              <w:ind w:right="-2"/>
              <w:jc w:val="center"/>
              <w:rPr>
                <w:rFonts w:ascii="Times New Roman" w:hAnsi="Times New Roman"/>
                <w:bCs/>
              </w:rPr>
            </w:pPr>
            <w:r w:rsidRPr="00540DA4">
              <w:rPr>
                <w:rFonts w:ascii="Times New Roman" w:hAnsi="Times New Roman"/>
                <w:b/>
                <w:bCs/>
                <w:lang w:eastAsia="en-US"/>
              </w:rPr>
              <w:t>nesúhlasné stanovisko</w:t>
            </w:r>
          </w:p>
          <w:p w:rsidR="003501A1" w:rsidRPr="00540DA4" w:rsidP="00513114">
            <w:pPr>
              <w:bidi w:val="0"/>
              <w:jc w:val="both"/>
              <w:rPr>
                <w:rFonts w:ascii="Times New Roman" w:hAnsi="Times New Roman"/>
                <w:b/>
              </w:rPr>
            </w:pPr>
            <w:r w:rsidRPr="00540DA4" w:rsidR="00540DA4">
              <w:rPr>
                <w:rFonts w:ascii="Times New Roman" w:hAnsi="Times New Roman"/>
                <w:bCs/>
              </w:rPr>
              <w:t xml:space="preserve">s materiálom predloženým na predbežné pripomienkové konanie s odporúčaním na jeho dopracovanie podľa pripomienok v bode II. </w:t>
            </w:r>
            <w:r w:rsidRPr="00540DA4" w:rsidR="00540DA4">
              <w:rPr>
                <w:rFonts w:ascii="Times New Roman" w:hAnsi="Times New Roman"/>
                <w:bCs/>
                <w:lang w:eastAsia="en-US"/>
              </w:rPr>
              <w:t xml:space="preserve"> </w:t>
            </w:r>
          </w:p>
        </w:tc>
      </w:tr>
    </w:tbl>
    <w:p w:rsidR="003501A1" w:rsidP="003501A1">
      <w:pPr>
        <w:bidi w:val="0"/>
        <w:rPr>
          <w:rFonts w:ascii="Times New Roman" w:hAnsi="Times New Roman"/>
          <w:b/>
        </w:rPr>
      </w:pPr>
    </w:p>
    <w:sectPr w:rsidSect="003F4EC6">
      <w:headerReference w:type="default" r:id="rId7"/>
      <w:pgSz w:w="11906" w:h="16838"/>
      <w:pgMar w:top="1417" w:right="1417" w:bottom="1134"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Mincho">
    <w:altName w:val="Yu Gothic UI"/>
    <w:panose1 w:val="02020609040205080304"/>
    <w:charset w:val="80"/>
    <w:family w:val="roman"/>
    <w:pitch w:val="fixed"/>
    <w:sig w:usb0="00000000" w:usb1="00000000" w:usb2="00000000" w:usb3="00000000" w:csb0="00020000" w:csb1="00000000"/>
  </w:font>
  <w:font w:name="MS Gothic">
    <w:altName w:val="?l?r SVbN"/>
    <w:panose1 w:val="020B06090702050802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FF" w:csb1="00000000"/>
  </w:font>
  <w:font w:name="Segoe UI">
    <w:altName w:val="Century Gothic"/>
    <w:panose1 w:val="00000000000000000000"/>
    <w:charset w:val="EE"/>
    <w:family w:val="swiss"/>
    <w:pitch w:val="variable"/>
    <w:sig w:usb0="00000000" w:usb1="00000000" w:usb2="00000000" w:usb3="00000000" w:csb0="000001FF" w:csb1="00000000"/>
  </w:font>
  <w:font w:name="Times">
    <w:panose1 w:val="02020603050405020304"/>
    <w:charset w:val="EE"/>
    <w:family w:val="roman"/>
    <w:pitch w:val="variable"/>
    <w:sig w:usb0="00000000" w:usb1="00000000" w:usb2="00000000" w:usb3="00000000" w:csb0="000001FF" w:csb1="00000000"/>
  </w:font>
  <w:font w:name="Times New Roman Bold">
    <w:altName w:val="Times New Roman"/>
    <w:panose1 w:val="00000000000000000000"/>
    <w:charset w:val="00"/>
    <w:family w:val="roman"/>
    <w:pitch w:val="default"/>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Segoe UI Symbol">
    <w:panose1 w:val="020B0502040204020203"/>
    <w:charset w:val="00"/>
    <w:family w:val="swiss"/>
    <w:pitch w:val="variable"/>
    <w:sig w:usb0="00000000" w:usb1="00000000" w:usb2="00000000" w:usb3="00000000" w:csb0="00000001" w:csb1="00000000"/>
  </w:font>
  <w:font w:name="Tahoma">
    <w:altName w:val="Tahoma"/>
    <w:panose1 w:val="020B0604030504040204"/>
    <w:charset w:val="EE"/>
    <w:family w:val="swiss"/>
    <w:pitch w:val="variable"/>
    <w:sig w:usb0="00000000" w:usb1="00000000" w:usb2="00000000" w:usb3="00000000" w:csb0="000101FF" w:csb1="00000000"/>
  </w:font>
  <w:font w:name="Wingdings 2">
    <w:panose1 w:val="05020102010507070707"/>
    <w:charset w:val="02"/>
    <w:family w:val="roman"/>
    <w:pitch w:val="variable"/>
    <w:sig w:usb0="00000000" w:usb1="00000000" w:usb2="00000000" w:usb3="00000000" w:csb0="80000000" w:csb1="00000000"/>
  </w:font>
  <w:font w:name="@MS Mincho">
    <w:panose1 w:val="02020609040205080304"/>
    <w:charset w:val="80"/>
    <w:family w:val="roman"/>
    <w:pitch w:val="fixed"/>
    <w:sig w:usb0="00000000" w:usb1="00000000" w:usb2="00000000" w:usb3="00000000" w:csb0="00020000" w:csb1="00000000"/>
  </w:font>
  <w:font w:name="Calibri Light">
    <w:panose1 w:val="020F0302020204030204"/>
    <w:charset w:val="EE"/>
    <w:family w:val="swiss"/>
    <w:pitch w:val="variable"/>
    <w:sig w:usb0="00000000" w:usb1="00000000" w:usb2="00000000" w:usb3="00000000" w:csb0="000001F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A8E">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85C95"/>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abstractNum w:abstractNumId="1">
    <w:nsid w:val="1C232A5A"/>
    <w:multiLevelType w:val="hybridMultilevel"/>
    <w:tmpl w:val="D23E3D9E"/>
    <w:lvl w:ilvl="0">
      <w:start w:val="1"/>
      <w:numFmt w:val="lowerLetter"/>
      <w:lvlText w:val="%1)"/>
      <w:lvlJc w:val="left"/>
      <w:pPr>
        <w:ind w:left="1500" w:hanging="360"/>
      </w:pPr>
      <w:rPr>
        <w:rFonts w:cs="Times New Roman"/>
        <w:rtl w:val="0"/>
        <w:cs w:val="0"/>
      </w:rPr>
    </w:lvl>
    <w:lvl w:ilvl="1">
      <w:start w:val="1"/>
      <w:numFmt w:val="lowerLetter"/>
      <w:lvlText w:val="%2."/>
      <w:lvlJc w:val="left"/>
      <w:pPr>
        <w:ind w:left="2220" w:hanging="360"/>
      </w:pPr>
      <w:rPr>
        <w:rFonts w:cs="Times New Roman"/>
        <w:rtl w:val="0"/>
        <w:cs w:val="0"/>
      </w:rPr>
    </w:lvl>
    <w:lvl w:ilvl="2">
      <w:start w:val="1"/>
      <w:numFmt w:val="lowerRoman"/>
      <w:lvlText w:val="%3."/>
      <w:lvlJc w:val="right"/>
      <w:pPr>
        <w:ind w:left="2940" w:hanging="180"/>
      </w:pPr>
      <w:rPr>
        <w:rFonts w:cs="Times New Roman"/>
        <w:rtl w:val="0"/>
        <w:cs w:val="0"/>
      </w:rPr>
    </w:lvl>
    <w:lvl w:ilvl="3">
      <w:start w:val="1"/>
      <w:numFmt w:val="decimal"/>
      <w:lvlText w:val="%4."/>
      <w:lvlJc w:val="left"/>
      <w:pPr>
        <w:ind w:left="3660" w:hanging="360"/>
      </w:pPr>
      <w:rPr>
        <w:rFonts w:cs="Times New Roman"/>
        <w:rtl w:val="0"/>
        <w:cs w:val="0"/>
      </w:rPr>
    </w:lvl>
    <w:lvl w:ilvl="4">
      <w:start w:val="1"/>
      <w:numFmt w:val="lowerLetter"/>
      <w:lvlText w:val="%5."/>
      <w:lvlJc w:val="left"/>
      <w:pPr>
        <w:ind w:left="4380" w:hanging="360"/>
      </w:pPr>
      <w:rPr>
        <w:rFonts w:cs="Times New Roman"/>
        <w:rtl w:val="0"/>
        <w:cs w:val="0"/>
      </w:rPr>
    </w:lvl>
    <w:lvl w:ilvl="5">
      <w:start w:val="1"/>
      <w:numFmt w:val="lowerRoman"/>
      <w:lvlText w:val="%6."/>
      <w:lvlJc w:val="right"/>
      <w:pPr>
        <w:ind w:left="5100" w:hanging="180"/>
      </w:pPr>
      <w:rPr>
        <w:rFonts w:cs="Times New Roman"/>
        <w:rtl w:val="0"/>
        <w:cs w:val="0"/>
      </w:rPr>
    </w:lvl>
    <w:lvl w:ilvl="6">
      <w:start w:val="1"/>
      <w:numFmt w:val="decimal"/>
      <w:lvlText w:val="%7."/>
      <w:lvlJc w:val="left"/>
      <w:pPr>
        <w:ind w:left="5820" w:hanging="360"/>
      </w:pPr>
      <w:rPr>
        <w:rFonts w:cs="Times New Roman"/>
        <w:rtl w:val="0"/>
        <w:cs w:val="0"/>
      </w:rPr>
    </w:lvl>
    <w:lvl w:ilvl="7">
      <w:start w:val="1"/>
      <w:numFmt w:val="lowerLetter"/>
      <w:lvlText w:val="%8."/>
      <w:lvlJc w:val="left"/>
      <w:pPr>
        <w:ind w:left="6540" w:hanging="360"/>
      </w:pPr>
      <w:rPr>
        <w:rFonts w:cs="Times New Roman"/>
        <w:rtl w:val="0"/>
        <w:cs w:val="0"/>
      </w:rPr>
    </w:lvl>
    <w:lvl w:ilvl="8">
      <w:start w:val="1"/>
      <w:numFmt w:val="lowerRoman"/>
      <w:lvlText w:val="%9."/>
      <w:lvlJc w:val="right"/>
      <w:pPr>
        <w:ind w:left="7260" w:hanging="180"/>
      </w:pPr>
      <w:rPr>
        <w:rFonts w:cs="Times New Roman"/>
        <w:rtl w:val="0"/>
        <w:cs w:val="0"/>
      </w:rPr>
    </w:lvl>
  </w:abstractNum>
  <w:abstractNum w:abstractNumId="2">
    <w:nsid w:val="213C23B2"/>
    <w:multiLevelType w:val="hybridMultilevel"/>
    <w:tmpl w:val="4D308278"/>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B0452F1"/>
    <w:multiLevelType w:val="hybridMultilevel"/>
    <w:tmpl w:val="3E1AF59A"/>
    <w:lvl w:ilvl="0">
      <w:start w:val="1"/>
      <w:numFmt w:val="lowerLetter"/>
      <w:lvlText w:val="%1)"/>
      <w:lvlJc w:val="left"/>
      <w:pPr>
        <w:ind w:left="1500" w:hanging="360"/>
      </w:pPr>
      <w:rPr>
        <w:rFonts w:cs="Times New Roman"/>
        <w:rtl w:val="0"/>
        <w:cs w:val="0"/>
      </w:rPr>
    </w:lvl>
    <w:lvl w:ilvl="1">
      <w:start w:val="1"/>
      <w:numFmt w:val="lowerLetter"/>
      <w:lvlText w:val="%2."/>
      <w:lvlJc w:val="left"/>
      <w:pPr>
        <w:ind w:left="2220" w:hanging="360"/>
      </w:pPr>
      <w:rPr>
        <w:rFonts w:cs="Times New Roman"/>
        <w:rtl w:val="0"/>
        <w:cs w:val="0"/>
      </w:rPr>
    </w:lvl>
    <w:lvl w:ilvl="2">
      <w:start w:val="1"/>
      <w:numFmt w:val="lowerRoman"/>
      <w:lvlText w:val="%3."/>
      <w:lvlJc w:val="right"/>
      <w:pPr>
        <w:ind w:left="2940" w:hanging="180"/>
      </w:pPr>
      <w:rPr>
        <w:rFonts w:cs="Times New Roman"/>
        <w:rtl w:val="0"/>
        <w:cs w:val="0"/>
      </w:rPr>
    </w:lvl>
    <w:lvl w:ilvl="3">
      <w:start w:val="1"/>
      <w:numFmt w:val="decimal"/>
      <w:lvlText w:val="%4."/>
      <w:lvlJc w:val="left"/>
      <w:pPr>
        <w:ind w:left="3660" w:hanging="360"/>
      </w:pPr>
      <w:rPr>
        <w:rFonts w:cs="Times New Roman"/>
        <w:rtl w:val="0"/>
        <w:cs w:val="0"/>
      </w:rPr>
    </w:lvl>
    <w:lvl w:ilvl="4">
      <w:start w:val="1"/>
      <w:numFmt w:val="lowerLetter"/>
      <w:lvlText w:val="%5."/>
      <w:lvlJc w:val="left"/>
      <w:pPr>
        <w:ind w:left="4380" w:hanging="360"/>
      </w:pPr>
      <w:rPr>
        <w:rFonts w:cs="Times New Roman"/>
        <w:rtl w:val="0"/>
        <w:cs w:val="0"/>
      </w:rPr>
    </w:lvl>
    <w:lvl w:ilvl="5">
      <w:start w:val="1"/>
      <w:numFmt w:val="lowerRoman"/>
      <w:lvlText w:val="%6."/>
      <w:lvlJc w:val="right"/>
      <w:pPr>
        <w:ind w:left="5100" w:hanging="180"/>
      </w:pPr>
      <w:rPr>
        <w:rFonts w:cs="Times New Roman"/>
        <w:rtl w:val="0"/>
        <w:cs w:val="0"/>
      </w:rPr>
    </w:lvl>
    <w:lvl w:ilvl="6">
      <w:start w:val="1"/>
      <w:numFmt w:val="decimal"/>
      <w:lvlText w:val="%7."/>
      <w:lvlJc w:val="left"/>
      <w:pPr>
        <w:ind w:left="5820" w:hanging="360"/>
      </w:pPr>
      <w:rPr>
        <w:rFonts w:cs="Times New Roman"/>
        <w:rtl w:val="0"/>
        <w:cs w:val="0"/>
      </w:rPr>
    </w:lvl>
    <w:lvl w:ilvl="7">
      <w:start w:val="1"/>
      <w:numFmt w:val="lowerLetter"/>
      <w:lvlText w:val="%8."/>
      <w:lvlJc w:val="left"/>
      <w:pPr>
        <w:ind w:left="6540" w:hanging="360"/>
      </w:pPr>
      <w:rPr>
        <w:rFonts w:cs="Times New Roman"/>
        <w:rtl w:val="0"/>
        <w:cs w:val="0"/>
      </w:rPr>
    </w:lvl>
    <w:lvl w:ilvl="8">
      <w:start w:val="1"/>
      <w:numFmt w:val="lowerRoman"/>
      <w:lvlText w:val="%9."/>
      <w:lvlJc w:val="right"/>
      <w:pPr>
        <w:ind w:left="7260" w:hanging="180"/>
      </w:pPr>
      <w:rPr>
        <w:rFonts w:cs="Times New Roman"/>
        <w:rtl w:val="0"/>
        <w:cs w:val="0"/>
      </w:rPr>
    </w:lvl>
  </w:abstractNum>
  <w:abstractNum w:abstractNumId="4">
    <w:nsid w:val="4FCB5C9B"/>
    <w:multiLevelType w:val="hybridMultilevel"/>
    <w:tmpl w:val="EAF091F2"/>
    <w:lvl w:ilvl="0">
      <w:start w:val="1"/>
      <w:numFmt w:val="decimal"/>
      <w:lvlText w:val="%1."/>
      <w:lvlJc w:val="left"/>
      <w:pPr>
        <w:ind w:left="720" w:hanging="360"/>
      </w:pPr>
      <w:rPr>
        <w:rFonts w:cs="Times New Roman"/>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557D561A"/>
    <w:multiLevelType w:val="hybridMultilevel"/>
    <w:tmpl w:val="DADEF33A"/>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6">
    <w:nsid w:val="688D3360"/>
    <w:multiLevelType w:val="multilevel"/>
    <w:tmpl w:val="BA9ECA72"/>
    <w:lvl w:ilvl="0">
      <w:start w:val="1"/>
      <w:numFmt w:val="decimal"/>
      <w:pStyle w:val="Heading1"/>
      <w:lvlText w:val="%1"/>
      <w:lvlJc w:val="left"/>
      <w:pPr>
        <w:tabs>
          <w:tab w:val="num" w:pos="432"/>
        </w:tabs>
        <w:ind w:left="432" w:hanging="432"/>
      </w:pPr>
      <w:rPr>
        <w:rFonts w:cs="Times New Roman" w:hint="default"/>
        <w:b/>
        <w:rtl w:val="0"/>
        <w:cs w:val="0"/>
      </w:rPr>
    </w:lvl>
    <w:lvl w:ilvl="1">
      <w:start w:val="1"/>
      <w:numFmt w:val="decimal"/>
      <w:pStyle w:val="Heading2"/>
      <w:lvlText w:val="%1.%2"/>
      <w:lvlJc w:val="left"/>
      <w:pPr>
        <w:tabs>
          <w:tab w:val="num" w:pos="718"/>
        </w:tabs>
        <w:ind w:left="567" w:hanging="567"/>
      </w:pPr>
      <w:rPr>
        <w:rFonts w:cs="Times New Roman" w:hint="default"/>
        <w:rtl w:val="0"/>
        <w:cs w:val="0"/>
      </w:rPr>
    </w:lvl>
    <w:lvl w:ilvl="2">
      <w:start w:val="1"/>
      <w:numFmt w:val="decimal"/>
      <w:pStyle w:val="Heading3"/>
      <w:lvlText w:val="%1.%2.%3"/>
      <w:lvlJc w:val="left"/>
      <w:pPr>
        <w:tabs>
          <w:tab w:val="num" w:pos="720"/>
        </w:tabs>
        <w:ind w:left="720" w:hanging="720"/>
      </w:pPr>
      <w:rPr>
        <w:rFonts w:cs="Times New Roman" w:hint="default"/>
        <w:rtl w:val="0"/>
        <w:cs w:val="0"/>
      </w:rPr>
    </w:lvl>
    <w:lvl w:ilvl="3">
      <w:start w:val="1"/>
      <w:numFmt w:val="decimal"/>
      <w:pStyle w:val="Heading4"/>
      <w:lvlText w:val="%1.%2.%3.%4"/>
      <w:lvlJc w:val="left"/>
      <w:pPr>
        <w:tabs>
          <w:tab w:val="num" w:pos="864"/>
        </w:tabs>
        <w:ind w:left="864" w:hanging="864"/>
      </w:pPr>
      <w:rPr>
        <w:rFonts w:cs="Times New Roman" w:hint="default"/>
        <w:rtl w:val="0"/>
        <w:cs w:val="0"/>
      </w:rPr>
    </w:lvl>
    <w:lvl w:ilvl="4">
      <w:start w:val="1"/>
      <w:numFmt w:val="decimal"/>
      <w:pStyle w:val="Heading5"/>
      <w:lvlText w:val="%1.%2.%3.%4.%5"/>
      <w:lvlJc w:val="left"/>
      <w:pPr>
        <w:tabs>
          <w:tab w:val="num" w:pos="1008"/>
        </w:tabs>
        <w:ind w:left="1008" w:hanging="1008"/>
      </w:pPr>
      <w:rPr>
        <w:rFonts w:cs="Times New Roman" w:hint="default"/>
        <w:rtl w:val="0"/>
        <w:cs w:val="0"/>
      </w:rPr>
    </w:lvl>
    <w:lvl w:ilvl="5">
      <w:start w:val="1"/>
      <w:numFmt w:val="decimal"/>
      <w:pStyle w:val="Heading6"/>
      <w:lvlText w:val="%1.%2.%3.%4.%5.%6"/>
      <w:lvlJc w:val="left"/>
      <w:pPr>
        <w:tabs>
          <w:tab w:val="num" w:pos="1152"/>
        </w:tabs>
        <w:ind w:left="1152" w:hanging="1152"/>
      </w:pPr>
      <w:rPr>
        <w:rFonts w:cs="Times New Roman" w:hint="default"/>
        <w:rtl w:val="0"/>
        <w:cs w:val="0"/>
      </w:rPr>
    </w:lvl>
    <w:lvl w:ilvl="6">
      <w:start w:val="1"/>
      <w:numFmt w:val="decimal"/>
      <w:pStyle w:val="Heading7"/>
      <w:lvlText w:val="%1.%2.%3.%4.%5.%6.%7"/>
      <w:lvlJc w:val="left"/>
      <w:pPr>
        <w:tabs>
          <w:tab w:val="num" w:pos="1296"/>
        </w:tabs>
        <w:ind w:left="1296" w:hanging="1296"/>
      </w:pPr>
      <w:rPr>
        <w:rFonts w:cs="Times New Roman" w:hint="default"/>
        <w:rtl w:val="0"/>
        <w:cs w:val="0"/>
      </w:rPr>
    </w:lvl>
    <w:lvl w:ilvl="7">
      <w:start w:val="1"/>
      <w:numFmt w:val="decimal"/>
      <w:pStyle w:val="Heading8"/>
      <w:lvlText w:val="%1.%2.%3.%4.%5.%6.%7.%8"/>
      <w:lvlJc w:val="left"/>
      <w:pPr>
        <w:tabs>
          <w:tab w:val="num" w:pos="1440"/>
        </w:tabs>
        <w:ind w:left="1440" w:hanging="1440"/>
      </w:pPr>
      <w:rPr>
        <w:rFonts w:cs="Times New Roman" w:hint="default"/>
        <w:rtl w:val="0"/>
        <w:cs w:val="0"/>
      </w:rPr>
    </w:lvl>
    <w:lvl w:ilvl="8">
      <w:start w:val="1"/>
      <w:numFmt w:val="decimal"/>
      <w:pStyle w:val="Heading9"/>
      <w:lvlText w:val="%1.%2.%3.%4.%5.%6.%7.%8.%9"/>
      <w:lvlJc w:val="left"/>
      <w:pPr>
        <w:tabs>
          <w:tab w:val="num" w:pos="1584"/>
        </w:tabs>
        <w:ind w:left="1584" w:hanging="1584"/>
      </w:pPr>
      <w:rPr>
        <w:rFonts w:cs="Times New Roman" w:hint="default"/>
        <w:rtl w:val="0"/>
        <w:cs w:val="0"/>
      </w:rPr>
    </w:lvl>
  </w:abstractNum>
  <w:abstractNum w:abstractNumId="7">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num w:numId="1">
    <w:abstractNumId w:val="7"/>
  </w:num>
  <w:num w:numId="2">
    <w:abstractNumId w:val="6"/>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B65A86"/>
    <w:rsid w:val="00003D1D"/>
    <w:rsid w:val="0000498C"/>
    <w:rsid w:val="00025B79"/>
    <w:rsid w:val="00040E43"/>
    <w:rsid w:val="00061FFD"/>
    <w:rsid w:val="00063227"/>
    <w:rsid w:val="00070A71"/>
    <w:rsid w:val="000726C4"/>
    <w:rsid w:val="00073921"/>
    <w:rsid w:val="00087938"/>
    <w:rsid w:val="0009386D"/>
    <w:rsid w:val="000945C3"/>
    <w:rsid w:val="000A15AE"/>
    <w:rsid w:val="000B28A7"/>
    <w:rsid w:val="000B675B"/>
    <w:rsid w:val="000B7929"/>
    <w:rsid w:val="000C52CC"/>
    <w:rsid w:val="000E6EE6"/>
    <w:rsid w:val="00103B88"/>
    <w:rsid w:val="00116900"/>
    <w:rsid w:val="00127DAC"/>
    <w:rsid w:val="00161902"/>
    <w:rsid w:val="00161A9A"/>
    <w:rsid w:val="001716BD"/>
    <w:rsid w:val="001735B6"/>
    <w:rsid w:val="00175FD8"/>
    <w:rsid w:val="001C026E"/>
    <w:rsid w:val="001D7468"/>
    <w:rsid w:val="001F42AB"/>
    <w:rsid w:val="002074B7"/>
    <w:rsid w:val="002520D5"/>
    <w:rsid w:val="00267F3C"/>
    <w:rsid w:val="00274210"/>
    <w:rsid w:val="002910F9"/>
    <w:rsid w:val="0029160D"/>
    <w:rsid w:val="00293333"/>
    <w:rsid w:val="00297ADB"/>
    <w:rsid w:val="002B3C13"/>
    <w:rsid w:val="003501A1"/>
    <w:rsid w:val="00390FF8"/>
    <w:rsid w:val="00395098"/>
    <w:rsid w:val="003A6C6B"/>
    <w:rsid w:val="003C5F58"/>
    <w:rsid w:val="003D22C2"/>
    <w:rsid w:val="003F1618"/>
    <w:rsid w:val="003F4EC6"/>
    <w:rsid w:val="00405B19"/>
    <w:rsid w:val="0041395D"/>
    <w:rsid w:val="00426DE9"/>
    <w:rsid w:val="00431FA6"/>
    <w:rsid w:val="0045136B"/>
    <w:rsid w:val="00486862"/>
    <w:rsid w:val="004C60B8"/>
    <w:rsid w:val="004C72FE"/>
    <w:rsid w:val="004C794A"/>
    <w:rsid w:val="004F6F1F"/>
    <w:rsid w:val="00506217"/>
    <w:rsid w:val="00513114"/>
    <w:rsid w:val="00514A54"/>
    <w:rsid w:val="005323C5"/>
    <w:rsid w:val="00540DA4"/>
    <w:rsid w:val="00541BD0"/>
    <w:rsid w:val="00547988"/>
    <w:rsid w:val="00576535"/>
    <w:rsid w:val="00595D97"/>
    <w:rsid w:val="00597263"/>
    <w:rsid w:val="005976FD"/>
    <w:rsid w:val="005B7A8D"/>
    <w:rsid w:val="005C25F1"/>
    <w:rsid w:val="005C2A8E"/>
    <w:rsid w:val="005C3073"/>
    <w:rsid w:val="005D106C"/>
    <w:rsid w:val="005D771C"/>
    <w:rsid w:val="005E04FA"/>
    <w:rsid w:val="005F4608"/>
    <w:rsid w:val="006122A1"/>
    <w:rsid w:val="00653ADA"/>
    <w:rsid w:val="006C3B7D"/>
    <w:rsid w:val="007028A2"/>
    <w:rsid w:val="00704C0D"/>
    <w:rsid w:val="0072110D"/>
    <w:rsid w:val="00727C2A"/>
    <w:rsid w:val="00736D6A"/>
    <w:rsid w:val="00765BF8"/>
    <w:rsid w:val="00784128"/>
    <w:rsid w:val="007907EC"/>
    <w:rsid w:val="007A2CE6"/>
    <w:rsid w:val="007B05A7"/>
    <w:rsid w:val="007B4B30"/>
    <w:rsid w:val="0080206A"/>
    <w:rsid w:val="00825B28"/>
    <w:rsid w:val="0085514A"/>
    <w:rsid w:val="0087060A"/>
    <w:rsid w:val="00874D41"/>
    <w:rsid w:val="008807DA"/>
    <w:rsid w:val="008B03DD"/>
    <w:rsid w:val="008B1452"/>
    <w:rsid w:val="00903085"/>
    <w:rsid w:val="009073B9"/>
    <w:rsid w:val="00923588"/>
    <w:rsid w:val="00936F40"/>
    <w:rsid w:val="009634B3"/>
    <w:rsid w:val="009668E1"/>
    <w:rsid w:val="00975D90"/>
    <w:rsid w:val="0098177E"/>
    <w:rsid w:val="00997487"/>
    <w:rsid w:val="009D614A"/>
    <w:rsid w:val="009E046B"/>
    <w:rsid w:val="009E4E6C"/>
    <w:rsid w:val="009F7AC2"/>
    <w:rsid w:val="00A133FF"/>
    <w:rsid w:val="00A16366"/>
    <w:rsid w:val="00A179AE"/>
    <w:rsid w:val="00A702F6"/>
    <w:rsid w:val="00A8103A"/>
    <w:rsid w:val="00A846E4"/>
    <w:rsid w:val="00A932DA"/>
    <w:rsid w:val="00A96EAA"/>
    <w:rsid w:val="00AA652D"/>
    <w:rsid w:val="00AB53C7"/>
    <w:rsid w:val="00AE730E"/>
    <w:rsid w:val="00AF4AC3"/>
    <w:rsid w:val="00B164B5"/>
    <w:rsid w:val="00B65A86"/>
    <w:rsid w:val="00B80C2A"/>
    <w:rsid w:val="00B95A4B"/>
    <w:rsid w:val="00BB36B9"/>
    <w:rsid w:val="00BB697B"/>
    <w:rsid w:val="00BE30ED"/>
    <w:rsid w:val="00BE5830"/>
    <w:rsid w:val="00BE5FB5"/>
    <w:rsid w:val="00BF3078"/>
    <w:rsid w:val="00BF529C"/>
    <w:rsid w:val="00C11AB6"/>
    <w:rsid w:val="00C341FF"/>
    <w:rsid w:val="00C54F8D"/>
    <w:rsid w:val="00C60DD8"/>
    <w:rsid w:val="00C65DED"/>
    <w:rsid w:val="00C715E1"/>
    <w:rsid w:val="00C82F8D"/>
    <w:rsid w:val="00CA0B51"/>
    <w:rsid w:val="00CB3623"/>
    <w:rsid w:val="00CC4384"/>
    <w:rsid w:val="00CD109F"/>
    <w:rsid w:val="00CE15BF"/>
    <w:rsid w:val="00CF0FEF"/>
    <w:rsid w:val="00CF22C4"/>
    <w:rsid w:val="00D12AD9"/>
    <w:rsid w:val="00D13B6F"/>
    <w:rsid w:val="00D146B4"/>
    <w:rsid w:val="00D35768"/>
    <w:rsid w:val="00D507C7"/>
    <w:rsid w:val="00D75D35"/>
    <w:rsid w:val="00D81F89"/>
    <w:rsid w:val="00D865BE"/>
    <w:rsid w:val="00DA6EE4"/>
    <w:rsid w:val="00DC72DC"/>
    <w:rsid w:val="00DE2A12"/>
    <w:rsid w:val="00E05515"/>
    <w:rsid w:val="00E13354"/>
    <w:rsid w:val="00E1490D"/>
    <w:rsid w:val="00E206C8"/>
    <w:rsid w:val="00E36EAF"/>
    <w:rsid w:val="00E46AB8"/>
    <w:rsid w:val="00E74A4F"/>
    <w:rsid w:val="00E943E4"/>
    <w:rsid w:val="00E963CD"/>
    <w:rsid w:val="00EB1768"/>
    <w:rsid w:val="00EB59E3"/>
    <w:rsid w:val="00EB6445"/>
    <w:rsid w:val="00EB7D69"/>
    <w:rsid w:val="00EE4B8A"/>
    <w:rsid w:val="00EE7453"/>
    <w:rsid w:val="00F10057"/>
    <w:rsid w:val="00F16CEF"/>
    <w:rsid w:val="00F17014"/>
    <w:rsid w:val="00F22831"/>
    <w:rsid w:val="00F309D3"/>
    <w:rsid w:val="00F376F0"/>
    <w:rsid w:val="00F404CC"/>
    <w:rsid w:val="00F46317"/>
    <w:rsid w:val="00F552E7"/>
    <w:rsid w:val="00F622E2"/>
    <w:rsid w:val="00F62771"/>
    <w:rsid w:val="00F665B5"/>
    <w:rsid w:val="00F73E50"/>
    <w:rsid w:val="00FA3C23"/>
    <w:rsid w:val="00FB055C"/>
    <w:rsid w:val="00FD4312"/>
    <w:rsid w:val="00FE1ABB"/>
    <w:rsid w:val="00FE4B85"/>
    <w:rsid w:val="00FF03C5"/>
    <w:rsid w:val="00FF4ACF"/>
    <w:rsid w:val="00FF6AD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1A1"/>
    <w:pPr>
      <w:framePr w:wrap="auto"/>
      <w:widowControl/>
      <w:autoSpaceDE/>
      <w:autoSpaceDN/>
      <w:adjustRightInd/>
      <w:ind w:left="0" w:right="0"/>
      <w:jc w:val="left"/>
      <w:textAlignment w:val="auto"/>
    </w:pPr>
    <w:rPr>
      <w:rFonts w:cs="Times New Roman"/>
      <w:sz w:val="20"/>
      <w:szCs w:val="20"/>
      <w:rtl w:val="0"/>
      <w:cs w:val="0"/>
      <w:lang w:val="sk-SK" w:eastAsia="sk-SK" w:bidi="ar-SA"/>
    </w:rPr>
  </w:style>
  <w:style w:type="paragraph" w:styleId="Heading1">
    <w:name w:val="heading 1"/>
    <w:basedOn w:val="Normal"/>
    <w:next w:val="Normal"/>
    <w:link w:val="Nadpis1Char"/>
    <w:uiPriority w:val="9"/>
    <w:qFormat/>
    <w:rsid w:val="00A96EAA"/>
    <w:pPr>
      <w:keepNext/>
      <w:numPr>
        <w:numId w:val="2"/>
      </w:numPr>
      <w:tabs>
        <w:tab w:val="num" w:pos="432"/>
      </w:tabs>
      <w:spacing w:before="240" w:after="60"/>
      <w:ind w:left="432" w:hanging="432"/>
      <w:jc w:val="left"/>
      <w:outlineLvl w:val="0"/>
    </w:pPr>
    <w:rPr>
      <w:rFonts w:ascii="Arial" w:hAnsi="Arial" w:cs="Arial"/>
      <w:b/>
      <w:bCs/>
      <w:kern w:val="32"/>
      <w:sz w:val="32"/>
      <w:szCs w:val="32"/>
      <w:lang w:val="de-DE" w:eastAsia="de-DE"/>
    </w:rPr>
  </w:style>
  <w:style w:type="paragraph" w:styleId="Heading2">
    <w:name w:val="heading 2"/>
    <w:basedOn w:val="Normal"/>
    <w:next w:val="Normal"/>
    <w:link w:val="Nadpis2Char"/>
    <w:uiPriority w:val="9"/>
    <w:qFormat/>
    <w:rsid w:val="00A96EAA"/>
    <w:pPr>
      <w:keepNext/>
      <w:numPr>
        <w:ilvl w:val="1"/>
        <w:numId w:val="2"/>
      </w:numPr>
      <w:tabs>
        <w:tab w:val="num" w:pos="718"/>
        <w:tab w:val="left" w:pos="851"/>
      </w:tabs>
      <w:spacing w:before="240" w:after="60"/>
      <w:ind w:left="567" w:hanging="567"/>
      <w:jc w:val="left"/>
      <w:outlineLvl w:val="1"/>
    </w:pPr>
    <w:rPr>
      <w:rFonts w:ascii="Arial" w:hAnsi="Arial" w:cs="Arial"/>
      <w:b/>
      <w:bCs/>
      <w:iCs/>
      <w:sz w:val="28"/>
      <w:szCs w:val="28"/>
      <w:lang w:val="en-GB" w:eastAsia="de-DE"/>
    </w:rPr>
  </w:style>
  <w:style w:type="paragraph" w:styleId="Heading3">
    <w:name w:val="heading 3"/>
    <w:basedOn w:val="Normal"/>
    <w:next w:val="Normal"/>
    <w:link w:val="Nadpis3Char"/>
    <w:autoRedefine/>
    <w:uiPriority w:val="9"/>
    <w:qFormat/>
    <w:rsid w:val="00A96EAA"/>
    <w:pPr>
      <w:keepNext/>
      <w:numPr>
        <w:ilvl w:val="2"/>
        <w:numId w:val="2"/>
      </w:numPr>
      <w:tabs>
        <w:tab w:val="num" w:pos="720"/>
      </w:tabs>
      <w:ind w:left="720" w:hanging="720"/>
      <w:jc w:val="left"/>
      <w:outlineLvl w:val="2"/>
    </w:pPr>
    <w:rPr>
      <w:rFonts w:ascii="Arial" w:hAnsi="Arial" w:cs="Arial"/>
      <w:b/>
      <w:sz w:val="24"/>
      <w:szCs w:val="24"/>
      <w:lang w:val="en-GB" w:eastAsia="de-DE"/>
    </w:rPr>
  </w:style>
  <w:style w:type="paragraph" w:styleId="Heading4">
    <w:name w:val="heading 4"/>
    <w:basedOn w:val="Normal"/>
    <w:next w:val="Normal"/>
    <w:link w:val="Nadpis4Char"/>
    <w:uiPriority w:val="9"/>
    <w:qFormat/>
    <w:rsid w:val="00A96EAA"/>
    <w:pPr>
      <w:keepNext/>
      <w:numPr>
        <w:ilvl w:val="3"/>
        <w:numId w:val="2"/>
      </w:numPr>
      <w:tabs>
        <w:tab w:val="num" w:pos="864"/>
      </w:tabs>
      <w:ind w:left="864" w:hanging="864"/>
      <w:jc w:val="left"/>
      <w:outlineLvl w:val="3"/>
    </w:pPr>
    <w:rPr>
      <w:rFonts w:ascii="Calibri" w:hAnsi="Calibri" w:cs="Arial"/>
      <w:b/>
      <w:sz w:val="24"/>
      <w:szCs w:val="24"/>
      <w:lang w:val="en-GB" w:eastAsia="de-DE"/>
    </w:rPr>
  </w:style>
  <w:style w:type="paragraph" w:styleId="Heading5">
    <w:name w:val="heading 5"/>
    <w:aliases w:val="D70AR5,titel 5"/>
    <w:basedOn w:val="Normal"/>
    <w:next w:val="Normal"/>
    <w:link w:val="Nadpis5Char"/>
    <w:uiPriority w:val="9"/>
    <w:qFormat/>
    <w:rsid w:val="00A96EAA"/>
    <w:pPr>
      <w:keepNext/>
      <w:numPr>
        <w:ilvl w:val="4"/>
        <w:numId w:val="2"/>
      </w:numPr>
      <w:tabs>
        <w:tab w:val="num" w:pos="1008"/>
      </w:tabs>
      <w:ind w:left="1008" w:hanging="1008"/>
      <w:jc w:val="left"/>
      <w:outlineLvl w:val="4"/>
    </w:pPr>
    <w:rPr>
      <w:rFonts w:ascii="Times New Roman Bold" w:hAnsi="Times New Roman Bold" w:cs="Arial"/>
      <w:b/>
      <w:sz w:val="24"/>
      <w:szCs w:val="24"/>
      <w:lang w:val="en-GB" w:eastAsia="de-DE"/>
    </w:rPr>
  </w:style>
  <w:style w:type="paragraph" w:styleId="Heading6">
    <w:name w:val="heading 6"/>
    <w:basedOn w:val="Normal"/>
    <w:next w:val="Normal"/>
    <w:link w:val="Nadpis6Char"/>
    <w:uiPriority w:val="9"/>
    <w:qFormat/>
    <w:rsid w:val="00A96EAA"/>
    <w:pPr>
      <w:numPr>
        <w:ilvl w:val="5"/>
        <w:numId w:val="2"/>
      </w:numPr>
      <w:tabs>
        <w:tab w:val="num" w:pos="1152"/>
      </w:tabs>
      <w:spacing w:before="240" w:after="60"/>
      <w:ind w:left="1152" w:hanging="1152"/>
      <w:jc w:val="left"/>
      <w:outlineLvl w:val="5"/>
    </w:pPr>
    <w:rPr>
      <w:rFonts w:cs="Arial"/>
      <w:b/>
      <w:sz w:val="24"/>
      <w:szCs w:val="24"/>
      <w:lang w:val="en-GB" w:eastAsia="de-DE"/>
    </w:rPr>
  </w:style>
  <w:style w:type="paragraph" w:styleId="Heading7">
    <w:name w:val="heading 7"/>
    <w:basedOn w:val="Normal"/>
    <w:next w:val="Normal"/>
    <w:link w:val="Nadpis7Char"/>
    <w:uiPriority w:val="9"/>
    <w:qFormat/>
    <w:rsid w:val="00A96EAA"/>
    <w:pPr>
      <w:numPr>
        <w:ilvl w:val="6"/>
        <w:numId w:val="2"/>
      </w:numPr>
      <w:tabs>
        <w:tab w:val="num" w:pos="1296"/>
      </w:tabs>
      <w:spacing w:before="240" w:after="60"/>
      <w:ind w:left="1296" w:hanging="1296"/>
      <w:jc w:val="left"/>
      <w:outlineLvl w:val="6"/>
    </w:pPr>
    <w:rPr>
      <w:rFonts w:ascii="Arial" w:hAnsi="Arial" w:cs="Arial"/>
      <w:szCs w:val="24"/>
      <w:lang w:val="en-GB" w:eastAsia="de-DE"/>
    </w:rPr>
  </w:style>
  <w:style w:type="paragraph" w:styleId="Heading8">
    <w:name w:val="heading 8"/>
    <w:basedOn w:val="Normal"/>
    <w:next w:val="Normal"/>
    <w:link w:val="Nadpis8Char"/>
    <w:uiPriority w:val="9"/>
    <w:qFormat/>
    <w:rsid w:val="00A96EAA"/>
    <w:pPr>
      <w:numPr>
        <w:ilvl w:val="7"/>
        <w:numId w:val="2"/>
      </w:numPr>
      <w:tabs>
        <w:tab w:val="num" w:pos="1440"/>
      </w:tabs>
      <w:spacing w:before="240" w:after="60"/>
      <w:ind w:left="1440" w:hanging="1440"/>
      <w:jc w:val="left"/>
      <w:outlineLvl w:val="7"/>
    </w:pPr>
    <w:rPr>
      <w:rFonts w:ascii="Arial" w:hAnsi="Arial" w:cs="Arial"/>
      <w:i/>
      <w:szCs w:val="24"/>
      <w:lang w:val="en-GB" w:eastAsia="de-DE"/>
    </w:rPr>
  </w:style>
  <w:style w:type="paragraph" w:styleId="Heading9">
    <w:name w:val="heading 9"/>
    <w:basedOn w:val="Normal"/>
    <w:next w:val="Normal"/>
    <w:link w:val="Nadpis9Char"/>
    <w:uiPriority w:val="9"/>
    <w:qFormat/>
    <w:rsid w:val="00A96EAA"/>
    <w:pPr>
      <w:keepNext/>
      <w:numPr>
        <w:ilvl w:val="8"/>
        <w:numId w:val="2"/>
      </w:numPr>
      <w:tabs>
        <w:tab w:val="num" w:pos="1584"/>
      </w:tabs>
      <w:ind w:left="1584" w:hanging="1584"/>
      <w:jc w:val="left"/>
      <w:outlineLvl w:val="8"/>
    </w:pPr>
    <w:rPr>
      <w:rFonts w:cs="Arial"/>
      <w:b/>
      <w:sz w:val="24"/>
      <w:szCs w:val="24"/>
      <w:u w:val="single"/>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A96EAA"/>
    <w:rPr>
      <w:rFonts w:ascii="Arial" w:hAnsi="Arial" w:cs="Times New Roman"/>
      <w:b/>
      <w:kern w:val="32"/>
      <w:sz w:val="32"/>
      <w:rtl w:val="0"/>
      <w:cs w:val="0"/>
      <w:lang w:val="de-DE" w:eastAsia="de-DE"/>
    </w:rPr>
  </w:style>
  <w:style w:type="character" w:customStyle="1" w:styleId="Nadpis2Char">
    <w:name w:val="Nadpis 2 Char"/>
    <w:basedOn w:val="DefaultParagraphFont"/>
    <w:link w:val="Heading2"/>
    <w:uiPriority w:val="9"/>
    <w:locked/>
    <w:rsid w:val="00A96EAA"/>
    <w:rPr>
      <w:rFonts w:ascii="Arial" w:hAnsi="Arial" w:cs="Times New Roman"/>
      <w:b/>
      <w:sz w:val="28"/>
      <w:rtl w:val="0"/>
      <w:cs w:val="0"/>
      <w:lang w:val="en-GB" w:eastAsia="de-DE"/>
    </w:rPr>
  </w:style>
  <w:style w:type="character" w:customStyle="1" w:styleId="Nadpis3Char">
    <w:name w:val="Nadpis 3 Char"/>
    <w:basedOn w:val="DefaultParagraphFont"/>
    <w:link w:val="Heading3"/>
    <w:uiPriority w:val="9"/>
    <w:locked/>
    <w:rsid w:val="00A96EAA"/>
    <w:rPr>
      <w:rFonts w:ascii="Arial" w:hAnsi="Arial" w:cs="Times New Roman"/>
      <w:b/>
      <w:sz w:val="24"/>
      <w:rtl w:val="0"/>
      <w:cs w:val="0"/>
      <w:lang w:val="en-GB" w:eastAsia="de-DE"/>
    </w:rPr>
  </w:style>
  <w:style w:type="character" w:customStyle="1" w:styleId="Nadpis4Char">
    <w:name w:val="Nadpis 4 Char"/>
    <w:basedOn w:val="DefaultParagraphFont"/>
    <w:link w:val="Heading4"/>
    <w:uiPriority w:val="9"/>
    <w:locked/>
    <w:rsid w:val="00A96EAA"/>
    <w:rPr>
      <w:rFonts w:ascii="Calibri" w:hAnsi="Calibri" w:cs="Times New Roman"/>
      <w:b/>
      <w:sz w:val="24"/>
      <w:rtl w:val="0"/>
      <w:cs w:val="0"/>
      <w:lang w:val="en-GB" w:eastAsia="de-DE"/>
    </w:rPr>
  </w:style>
  <w:style w:type="character" w:customStyle="1" w:styleId="Nadpis5Char">
    <w:name w:val="Nadpis 5 Char"/>
    <w:aliases w:val="D70AR5 Char,titel 5 Char"/>
    <w:basedOn w:val="DefaultParagraphFont"/>
    <w:link w:val="Heading5"/>
    <w:uiPriority w:val="9"/>
    <w:locked/>
    <w:rsid w:val="00A96EAA"/>
    <w:rPr>
      <w:rFonts w:ascii="Times New Roman Bold" w:hAnsi="Times New Roman Bold" w:cs="Times New Roman"/>
      <w:b/>
      <w:sz w:val="24"/>
      <w:rtl w:val="0"/>
      <w:cs w:val="0"/>
      <w:lang w:val="en-GB" w:eastAsia="de-DE"/>
    </w:rPr>
  </w:style>
  <w:style w:type="character" w:customStyle="1" w:styleId="Nadpis6Char">
    <w:name w:val="Nadpis 6 Char"/>
    <w:basedOn w:val="DefaultParagraphFont"/>
    <w:link w:val="Heading6"/>
    <w:uiPriority w:val="9"/>
    <w:locked/>
    <w:rsid w:val="00A96EAA"/>
    <w:rPr>
      <w:rFonts w:ascii="Times New Roman" w:hAnsi="Times New Roman" w:cs="Times New Roman"/>
      <w:b/>
      <w:sz w:val="24"/>
      <w:rtl w:val="0"/>
      <w:cs w:val="0"/>
      <w:lang w:val="en-GB" w:eastAsia="de-DE"/>
    </w:rPr>
  </w:style>
  <w:style w:type="character" w:customStyle="1" w:styleId="Nadpis7Char">
    <w:name w:val="Nadpis 7 Char"/>
    <w:basedOn w:val="DefaultParagraphFont"/>
    <w:link w:val="Heading7"/>
    <w:uiPriority w:val="9"/>
    <w:locked/>
    <w:rsid w:val="00A96EAA"/>
    <w:rPr>
      <w:rFonts w:ascii="Arial" w:hAnsi="Arial" w:cs="Times New Roman"/>
      <w:sz w:val="24"/>
      <w:rtl w:val="0"/>
      <w:cs w:val="0"/>
      <w:lang w:val="en-GB" w:eastAsia="de-DE"/>
    </w:rPr>
  </w:style>
  <w:style w:type="character" w:customStyle="1" w:styleId="Nadpis8Char">
    <w:name w:val="Nadpis 8 Char"/>
    <w:basedOn w:val="DefaultParagraphFont"/>
    <w:link w:val="Heading8"/>
    <w:uiPriority w:val="9"/>
    <w:locked/>
    <w:rsid w:val="00A96EAA"/>
    <w:rPr>
      <w:rFonts w:ascii="Arial" w:hAnsi="Arial" w:cs="Times New Roman"/>
      <w:i/>
      <w:sz w:val="24"/>
      <w:rtl w:val="0"/>
      <w:cs w:val="0"/>
      <w:lang w:val="en-GB" w:eastAsia="de-DE"/>
    </w:rPr>
  </w:style>
  <w:style w:type="character" w:customStyle="1" w:styleId="Nadpis9Char">
    <w:name w:val="Nadpis 9 Char"/>
    <w:basedOn w:val="DefaultParagraphFont"/>
    <w:link w:val="Heading9"/>
    <w:uiPriority w:val="9"/>
    <w:locked/>
    <w:rsid w:val="00A96EAA"/>
    <w:rPr>
      <w:rFonts w:ascii="Times New Roman" w:hAnsi="Times New Roman" w:cs="Times New Roman"/>
      <w:b/>
      <w:sz w:val="24"/>
      <w:u w:val="single"/>
      <w:rtl w:val="0"/>
      <w:cs w:val="0"/>
      <w:lang w:val="en-GB" w:eastAsia="de-DE"/>
    </w:rPr>
  </w:style>
  <w:style w:type="table" w:styleId="TableGrid">
    <w:name w:val="Table Grid"/>
    <w:basedOn w:val="TableNormal"/>
    <w:uiPriority w:val="59"/>
    <w:rsid w:val="003501A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01A1"/>
    <w:pPr>
      <w:spacing w:after="200" w:line="276" w:lineRule="auto"/>
      <w:ind w:left="720"/>
      <w:contextualSpacing/>
      <w:jc w:val="left"/>
    </w:pPr>
    <w:rPr>
      <w:rFonts w:ascii="Calibri" w:hAnsi="Calibri"/>
      <w:sz w:val="22"/>
      <w:szCs w:val="22"/>
      <w:lang w:eastAsia="en-US"/>
    </w:rPr>
  </w:style>
  <w:style w:type="paragraph" w:styleId="BalloonText">
    <w:name w:val="Balloon Text"/>
    <w:basedOn w:val="Normal"/>
    <w:link w:val="TextbublinyChar"/>
    <w:uiPriority w:val="99"/>
    <w:semiHidden/>
    <w:unhideWhenUsed/>
    <w:rsid w:val="003501A1"/>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3501A1"/>
    <w:rPr>
      <w:rFonts w:ascii="Tahoma" w:hAnsi="Tahoma" w:cs="Times New Roman"/>
      <w:sz w:val="16"/>
      <w:rtl w:val="0"/>
      <w:cs w:val="0"/>
      <w:lang w:val="x-none" w:eastAsia="sk-SK"/>
    </w:rPr>
  </w:style>
  <w:style w:type="paragraph" w:styleId="Header">
    <w:name w:val="header"/>
    <w:basedOn w:val="Normal"/>
    <w:link w:val="HlavikaChar"/>
    <w:uiPriority w:val="99"/>
    <w:unhideWhenUsed/>
    <w:rsid w:val="003501A1"/>
    <w:pPr>
      <w:tabs>
        <w:tab w:val="center" w:pos="4536"/>
        <w:tab w:val="right" w:pos="9072"/>
      </w:tabs>
      <w:jc w:val="left"/>
    </w:pPr>
  </w:style>
  <w:style w:type="character" w:customStyle="1" w:styleId="HlavikaChar">
    <w:name w:val="Hlavička Char"/>
    <w:basedOn w:val="DefaultParagraphFont"/>
    <w:link w:val="Header"/>
    <w:uiPriority w:val="99"/>
    <w:locked/>
    <w:rsid w:val="003501A1"/>
    <w:rPr>
      <w:rFonts w:ascii="Times New Roman" w:hAnsi="Times New Roman" w:cs="Times New Roman"/>
      <w:sz w:val="20"/>
      <w:rtl w:val="0"/>
      <w:cs w:val="0"/>
      <w:lang w:val="x-none" w:eastAsia="sk-SK"/>
    </w:rPr>
  </w:style>
  <w:style w:type="paragraph" w:styleId="Footer">
    <w:name w:val="footer"/>
    <w:basedOn w:val="Normal"/>
    <w:link w:val="PtaChar"/>
    <w:uiPriority w:val="99"/>
    <w:unhideWhenUsed/>
    <w:rsid w:val="003501A1"/>
    <w:pPr>
      <w:tabs>
        <w:tab w:val="center" w:pos="4536"/>
        <w:tab w:val="right" w:pos="9072"/>
      </w:tabs>
      <w:jc w:val="left"/>
    </w:pPr>
  </w:style>
  <w:style w:type="character" w:customStyle="1" w:styleId="PtaChar">
    <w:name w:val="Päta Char"/>
    <w:basedOn w:val="DefaultParagraphFont"/>
    <w:link w:val="Footer"/>
    <w:uiPriority w:val="99"/>
    <w:locked/>
    <w:rsid w:val="003501A1"/>
    <w:rPr>
      <w:rFonts w:ascii="Times New Roman" w:hAnsi="Times New Roman" w:cs="Times New Roman"/>
      <w:sz w:val="20"/>
      <w:rtl w:val="0"/>
      <w:cs w:val="0"/>
      <w:lang w:val="x-none" w:eastAsia="sk-SK"/>
    </w:rPr>
  </w:style>
  <w:style w:type="paragraph" w:styleId="FootnoteText">
    <w:name w:val="footnote text"/>
    <w:basedOn w:val="Normal"/>
    <w:link w:val="TextpoznmkypodiarouChar"/>
    <w:uiPriority w:val="99"/>
    <w:semiHidden/>
    <w:unhideWhenUsed/>
    <w:rsid w:val="00F22831"/>
    <w:pPr>
      <w:jc w:val="left"/>
    </w:pPr>
  </w:style>
  <w:style w:type="character" w:customStyle="1" w:styleId="TextpoznmkypodiarouChar">
    <w:name w:val="Text poznámky pod čiarou Char"/>
    <w:basedOn w:val="DefaultParagraphFont"/>
    <w:link w:val="FootnoteText"/>
    <w:uiPriority w:val="99"/>
    <w:semiHidden/>
    <w:locked/>
    <w:rsid w:val="00F22831"/>
    <w:rPr>
      <w:rFonts w:ascii="Times New Roman" w:hAnsi="Times New Roman" w:cs="Times New Roman"/>
      <w:sz w:val="20"/>
      <w:rtl w:val="0"/>
      <w:cs w:val="0"/>
      <w:lang w:val="x-none" w:eastAsia="sk-SK"/>
    </w:rPr>
  </w:style>
  <w:style w:type="character" w:styleId="FootnoteReference">
    <w:name w:val="footnote reference"/>
    <w:basedOn w:val="DefaultParagraphFont"/>
    <w:uiPriority w:val="99"/>
    <w:semiHidden/>
    <w:unhideWhenUsed/>
    <w:rsid w:val="00F22831"/>
    <w:rPr>
      <w:rFonts w:cs="Times New Roman"/>
      <w:vertAlign w:val="superscript"/>
      <w:rtl w:val="0"/>
      <w:cs w:val="0"/>
    </w:rPr>
  </w:style>
  <w:style w:type="character" w:styleId="CommentReference">
    <w:name w:val="annotation reference"/>
    <w:basedOn w:val="DefaultParagraphFont"/>
    <w:uiPriority w:val="99"/>
    <w:semiHidden/>
    <w:unhideWhenUsed/>
    <w:rsid w:val="00175FD8"/>
    <w:rPr>
      <w:rFonts w:cs="Times New Roman"/>
      <w:sz w:val="16"/>
      <w:rtl w:val="0"/>
      <w:cs w:val="0"/>
    </w:rPr>
  </w:style>
  <w:style w:type="paragraph" w:styleId="CommentText">
    <w:name w:val="annotation text"/>
    <w:basedOn w:val="Normal"/>
    <w:link w:val="TextkomentraChar"/>
    <w:uiPriority w:val="99"/>
    <w:semiHidden/>
    <w:unhideWhenUsed/>
    <w:rsid w:val="00175FD8"/>
    <w:pPr>
      <w:jc w:val="left"/>
    </w:pPr>
  </w:style>
  <w:style w:type="character" w:customStyle="1" w:styleId="TextkomentraChar">
    <w:name w:val="Text komentára Char"/>
    <w:basedOn w:val="DefaultParagraphFont"/>
    <w:link w:val="CommentText"/>
    <w:uiPriority w:val="99"/>
    <w:semiHidden/>
    <w:locked/>
    <w:rsid w:val="00175FD8"/>
    <w:rPr>
      <w:rFonts w:ascii="Times New Roman" w:hAnsi="Times New Roman" w:cs="Times New Roman"/>
      <w:sz w:val="20"/>
      <w:rtl w:val="0"/>
      <w:cs w:val="0"/>
      <w:lang w:val="x-none" w:eastAsia="sk-SK"/>
    </w:rPr>
  </w:style>
  <w:style w:type="paragraph" w:styleId="CommentSubject">
    <w:name w:val="annotation subject"/>
    <w:basedOn w:val="CommentText"/>
    <w:next w:val="CommentText"/>
    <w:link w:val="PredmetkomentraChar"/>
    <w:uiPriority w:val="99"/>
    <w:semiHidden/>
    <w:unhideWhenUsed/>
    <w:rsid w:val="00175FD8"/>
    <w:pPr>
      <w:jc w:val="left"/>
    </w:pPr>
    <w:rPr>
      <w:b/>
      <w:bCs/>
    </w:rPr>
  </w:style>
  <w:style w:type="character" w:customStyle="1" w:styleId="PredmetkomentraChar">
    <w:name w:val="Predmet komentára Char"/>
    <w:basedOn w:val="TextkomentraChar"/>
    <w:link w:val="CommentSubject"/>
    <w:uiPriority w:val="99"/>
    <w:semiHidden/>
    <w:locked/>
    <w:rsid w:val="00175FD8"/>
    <w:rPr>
      <w:b/>
    </w:rPr>
  </w:style>
  <w:style w:type="paragraph" w:customStyle="1" w:styleId="Default">
    <w:name w:val="Default"/>
    <w:rsid w:val="005E04FA"/>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en-US" w:bidi="ar-SA"/>
    </w:rPr>
  </w:style>
  <w:style w:type="character" w:customStyle="1" w:styleId="exam">
    <w:name w:val="exam"/>
    <w:basedOn w:val="DefaultParagraphFont"/>
    <w:rsid w:val="003F4EC6"/>
    <w:rPr>
      <w:rFonts w:cs="Times New Roman"/>
      <w:rtl w:val="0"/>
      <w:cs w:val="0"/>
    </w:rPr>
  </w:style>
  <w:style w:type="character" w:styleId="PlaceholderText">
    <w:name w:val="Placeholder Text"/>
    <w:basedOn w:val="DefaultParagraphFont"/>
    <w:uiPriority w:val="99"/>
    <w:semiHidden/>
    <w:rsid w:val="00C60DD8"/>
    <w:rPr>
      <w:rFonts w:ascii="Times New Roman" w:hAnsi="Times New Roman" w:cs="Times New Roman"/>
      <w:color w:val="80808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A1B3714-5443-4551-A64D-6183BD7DE1F0}">
  <ds:schemaRefs>
    <ds:schemaRef ds:uri="http://schemas.microsoft.com/sharepoint/v3/contenttype/forms"/>
  </ds:schemaRefs>
</ds:datastoreItem>
</file>

<file path=customXml/itemProps2.xml><?xml version="1.0" encoding="utf-8"?>
<ds:datastoreItem xmlns:ds="http://schemas.openxmlformats.org/officeDocument/2006/customXml" ds:itemID="{ED893B48-A123-4851-863B-578E505C6879}">
  <ds:schemaRefs>
    <ds:schemaRef ds:uri="http://schemas.openxmlformats.org/officeDocument/2006/bibliography"/>
  </ds:schemaRefs>
</ds:datastoreItem>
</file>

<file path=customXml/itemProps3.xml><?xml version="1.0" encoding="utf-8"?>
<ds:datastoreItem xmlns:ds="http://schemas.openxmlformats.org/officeDocument/2006/customXml" ds:itemID="{8649114C-B3A8-45AB-9C6B-A42EA0948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otalTime>1</TotalTime>
  <Pages>6</Pages>
  <Words>3514</Words>
  <Characters>20034</Characters>
  <Application>Microsoft Office Word</Application>
  <DocSecurity>0</DocSecurity>
  <Lines>0</Lines>
  <Paragraphs>0</Paragraphs>
  <ScaleCrop>false</ScaleCrop>
  <Company/>
  <LinksUpToDate>false</LinksUpToDate>
  <CharactersWithSpaces>23501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Simoncicova Iveta</dc:creator>
  <cp:lastModifiedBy>Vincová Veronika</cp:lastModifiedBy>
  <cp:revision>4</cp:revision>
  <cp:lastPrinted>2017-09-18T13:39:00Z</cp:lastPrinted>
  <dcterms:created xsi:type="dcterms:W3CDTF">2018-01-25T17:15:00Z</dcterms:created>
  <dcterms:modified xsi:type="dcterms:W3CDTF">2018-01-31T10:02:00Z</dcterms:modified>
</cp:coreProperties>
</file>