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75BE" w:rsidRPr="0018081E" w:rsidP="00C45114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bCs/>
          <w:caps/>
          <w:color w:val="000000" w:themeColor="tx1" w:themeShade="FF"/>
          <w:spacing w:val="30"/>
        </w:rPr>
      </w:pPr>
      <w:r w:rsidRPr="0018081E">
        <w:rPr>
          <w:rFonts w:ascii="Book Antiqua" w:hAnsi="Book Antiqua"/>
          <w:bCs/>
          <w:caps/>
          <w:color w:val="000000" w:themeColor="tx1" w:themeShade="FF"/>
          <w:spacing w:val="30"/>
        </w:rPr>
        <w:t>Dôvodová správa</w:t>
      </w:r>
    </w:p>
    <w:p w:rsidR="009B4893" w:rsidRPr="0018081E" w:rsidP="00C45114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color w:val="000000" w:themeColor="tx1" w:themeShade="FF"/>
        </w:rPr>
      </w:pPr>
    </w:p>
    <w:p w:rsidR="00A64BAA" w:rsidP="00A64BAA">
      <w:pPr>
        <w:numPr>
          <w:numId w:val="10"/>
        </w:numPr>
        <w:suppressAutoHyphens/>
        <w:autoSpaceDE w:val="0"/>
        <w:autoSpaceDN w:val="0"/>
        <w:bidi w:val="0"/>
        <w:adjustRightInd w:val="0"/>
        <w:spacing w:after="200"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Rovná spojnica 1" o:spid="_x0000_s1025" style="mso-position-horizontal-relative:char;position:absolute;visibility:visible;z-index:251658240" from="-20.65pt,18.35pt" to="456pt,19.1pt" o:allowincell="f" stroked="t" strokecolor="gray">
            <v:shadow obscured="t"/>
            <o:lock v:ext="edit" aspectratio="f" shapetype="t"/>
          </v:line>
        </w:pict>
      </w:r>
      <w:r>
        <w:rPr>
          <w:rFonts w:ascii="Book Antiqua" w:eastAsia="Times New Roman" w:hAnsi="Times New Roman"/>
          <w:b/>
          <w:i/>
        </w:rPr>
        <w:t>V</w:t>
      </w:r>
      <w:r>
        <w:rPr>
          <w:rFonts w:ascii="Book Antiqua" w:eastAsia="Times New Roman" w:hAnsi="Times New Roman" w:hint="default"/>
          <w:b/>
          <w:i/>
        </w:rPr>
        <w:t>š</w:t>
      </w:r>
      <w:r>
        <w:rPr>
          <w:rFonts w:ascii="Book Antiqua" w:eastAsia="Times New Roman" w:hAnsi="Times New Roman"/>
          <w:b/>
          <w:i/>
        </w:rPr>
        <w:t>eobecn</w:t>
      </w:r>
      <w:r>
        <w:rPr>
          <w:rFonts w:ascii="Book Antiqua" w:eastAsia="Times New Roman" w:hAnsi="Times New Roman" w:hint="default"/>
          <w:b/>
          <w:i/>
        </w:rPr>
        <w:t>á</w:t>
      </w:r>
      <w:r>
        <w:rPr>
          <w:rFonts w:ascii="Book Antiqua" w:eastAsia="Times New Roman" w:hAnsi="Times New Roman"/>
          <w:b/>
          <w:i/>
        </w:rPr>
        <w:t xml:space="preserve"> </w:t>
      </w:r>
      <w:r>
        <w:rPr>
          <w:rFonts w:ascii="Book Antiqua" w:eastAsia="Times New Roman" w:hAnsi="Times New Roman" w:hint="default"/>
          <w:b/>
          <w:i/>
        </w:rPr>
        <w:t>č</w:t>
      </w:r>
      <w:r>
        <w:rPr>
          <w:rFonts w:ascii="Book Antiqua" w:eastAsia="Times New Roman" w:hAnsi="Times New Roman"/>
          <w:b/>
          <w:i/>
        </w:rPr>
        <w:t>as</w:t>
      </w:r>
      <w:r>
        <w:rPr>
          <w:rFonts w:ascii="Book Antiqua" w:eastAsia="Times New Roman" w:hAnsi="Times New Roman" w:hint="default"/>
          <w:b/>
          <w:i/>
        </w:rPr>
        <w:t>ť</w:t>
      </w:r>
    </w:p>
    <w:p w:rsidR="005A7399" w:rsidRPr="000E2CFB" w:rsidP="00155588">
      <w:pPr>
        <w:bidi w:val="0"/>
        <w:ind w:firstLine="708"/>
        <w:jc w:val="both"/>
        <w:rPr>
          <w:rFonts w:ascii="Book Antiqua" w:hAnsi="Book Antiqua"/>
          <w:color w:val="000000" w:themeColor="tx1" w:themeShade="FF"/>
        </w:rPr>
      </w:pPr>
      <w:r w:rsidRPr="00302C8B" w:rsidR="00302C8B">
        <w:rPr>
          <w:rFonts w:ascii="Book Antiqua" w:hAnsi="Book Antiqua"/>
          <w:color w:val="000000"/>
        </w:rPr>
        <w:t xml:space="preserve">Poslanci za stranu Kotleba – Ľudová strana Naše Slovensko Marian Kotleba, Milan Mazurek, Stanislav Drobný, Peter Krupa a Ján Kecskés predkladajú </w:t>
      </w:r>
      <w:r w:rsidR="00302C8B">
        <w:rPr>
          <w:rFonts w:ascii="Book Antiqua" w:hAnsi="Book Antiqua"/>
          <w:color w:val="000000"/>
        </w:rPr>
        <w:br/>
      </w:r>
      <w:r w:rsidRPr="00302C8B" w:rsidR="00302C8B">
        <w:rPr>
          <w:rFonts w:ascii="Book Antiqua" w:hAnsi="Book Antiqua"/>
          <w:color w:val="000000"/>
        </w:rPr>
        <w:t xml:space="preserve">do Národnej rady Slovenskej republiky návrh zákona, ktorým sa mení a dopĺňa zákon č. 300/2005 Z. z. Trestný zákon v znení neskorších predpisov a ktorým </w:t>
      </w:r>
      <w:r w:rsidR="00302C8B">
        <w:rPr>
          <w:rFonts w:ascii="Book Antiqua" w:hAnsi="Book Antiqua"/>
          <w:color w:val="000000"/>
        </w:rPr>
        <w:br/>
      </w:r>
      <w:r w:rsidRPr="00302C8B" w:rsidR="00302C8B">
        <w:rPr>
          <w:rFonts w:ascii="Book Antiqua" w:hAnsi="Book Antiqua"/>
          <w:color w:val="000000"/>
        </w:rPr>
        <w:t>sa mení a dopĺňa zákon č. 372/1990 Zb. o priestupkoch v znení neskorších predpisov</w:t>
      </w:r>
      <w:r w:rsidR="00302C8B">
        <w:rPr>
          <w:rFonts w:ascii="Book Antiqua" w:hAnsi="Book Antiqua"/>
          <w:color w:val="000000" w:themeColor="tx1" w:themeShade="FF"/>
        </w:rPr>
        <w:t>.</w:t>
      </w:r>
    </w:p>
    <w:p w:rsidR="00CE56BF" w:rsidRPr="0018081E" w:rsidP="00C45114">
      <w:pPr>
        <w:bidi w:val="0"/>
        <w:ind w:firstLine="708"/>
        <w:jc w:val="both"/>
        <w:rPr>
          <w:rFonts w:ascii="Book Antiqua" w:hAnsi="Book Antiqua"/>
          <w:bCs/>
          <w:color w:val="000000" w:themeColor="tx1" w:themeShade="FF"/>
        </w:rPr>
      </w:pPr>
    </w:p>
    <w:p w:rsidR="00EA6B50" w:rsidRPr="00EA6B50" w:rsidP="00EA6B50">
      <w:pPr>
        <w:bidi w:val="0"/>
        <w:ind w:firstLine="708"/>
        <w:jc w:val="both"/>
        <w:rPr>
          <w:rFonts w:ascii="Book Antiqua" w:hAnsi="Book Antiqua"/>
          <w:bCs/>
          <w:color w:val="000000"/>
        </w:rPr>
      </w:pPr>
      <w:r w:rsidRPr="00EA6B50">
        <w:rPr>
          <w:rFonts w:ascii="Book Antiqua" w:hAnsi="Book Antiqua"/>
          <w:bCs/>
          <w:color w:val="000000"/>
        </w:rPr>
        <w:t>Štatistiky Ministerstva vnútra, týkajúce sa trestne stíhaných maloletých osôb za rôzne formy kriminality upozorňujú na nebezpečný trend opätovného nárastu počtu trestných činov, páchaných maloletými osobami. Súvisle s nárastom kriminality dochádza aj k čoraz významnejšiemu zníženiu veku páchateľov trestnej činnosti, čím sa častokrát dostávame k osobám, ktoré sú dnes podľa platnej legislatívy vyňaté z trestnej a priestupkovej zodpovednosti.</w:t>
      </w:r>
    </w:p>
    <w:p w:rsidR="00EA6B50" w:rsidRPr="00EA6B50" w:rsidP="00EA6B50">
      <w:pPr>
        <w:bidi w:val="0"/>
        <w:ind w:firstLine="708"/>
        <w:jc w:val="both"/>
        <w:rPr>
          <w:rFonts w:ascii="Book Antiqua" w:hAnsi="Book Antiqua"/>
          <w:bCs/>
          <w:color w:val="000000"/>
        </w:rPr>
      </w:pPr>
    </w:p>
    <w:p w:rsidR="00EA6B50" w:rsidRPr="00EA6B50" w:rsidP="00EA6B50">
      <w:pPr>
        <w:bidi w:val="0"/>
        <w:ind w:firstLine="708"/>
        <w:jc w:val="both"/>
        <w:rPr>
          <w:rFonts w:ascii="Book Antiqua" w:hAnsi="Book Antiqua"/>
          <w:bCs/>
          <w:color w:val="000000"/>
        </w:rPr>
      </w:pPr>
      <w:r w:rsidRPr="00EA6B50">
        <w:rPr>
          <w:rFonts w:ascii="Book Antiqua" w:hAnsi="Book Antiqua"/>
          <w:bCs/>
          <w:color w:val="000000"/>
        </w:rPr>
        <w:t xml:space="preserve">Takýto typ kriminality je na výraznom vzostupe práve v oblastiach s vysokým zastúpením asociálnych obyvateľov, žijúcich najčastejšie v cigánskych osadách, </w:t>
      </w:r>
      <w:r>
        <w:rPr>
          <w:rFonts w:ascii="Book Antiqua" w:hAnsi="Book Antiqua"/>
          <w:bCs/>
          <w:color w:val="000000"/>
        </w:rPr>
        <w:br/>
      </w:r>
      <w:r w:rsidRPr="00EA6B50">
        <w:rPr>
          <w:rFonts w:ascii="Book Antiqua" w:hAnsi="Book Antiqua"/>
          <w:bCs/>
          <w:color w:val="000000"/>
        </w:rPr>
        <w:t xml:space="preserve">v blízkosti miest a obcí. Asociáli čoraz viac využívajú maloletých do 14 rokov           na páchanie rôznych foriem kriminality. V mnohých prípadoch sa dokonca jedná </w:t>
      </w:r>
      <w:r w:rsidR="00BE1E28">
        <w:rPr>
          <w:rFonts w:ascii="Book Antiqua" w:hAnsi="Book Antiqua"/>
          <w:bCs/>
          <w:color w:val="000000"/>
        </w:rPr>
        <w:br/>
      </w:r>
      <w:r w:rsidRPr="00EA6B50">
        <w:rPr>
          <w:rFonts w:ascii="Book Antiqua" w:hAnsi="Book Antiqua"/>
          <w:bCs/>
          <w:color w:val="000000"/>
        </w:rPr>
        <w:t xml:space="preserve">o ich vlastné deti. Rodičia, vedomí si absentujúcej trestnej a priestupkovej zodpovednosti u takýchto maloletých osôb strácajú obavy z páchania kriminality, </w:t>
      </w:r>
      <w:r w:rsidR="00BE1E28">
        <w:rPr>
          <w:rFonts w:ascii="Book Antiqua" w:hAnsi="Book Antiqua"/>
          <w:bCs/>
          <w:color w:val="000000"/>
        </w:rPr>
        <w:br/>
      </w:r>
      <w:r w:rsidRPr="00EA6B50">
        <w:rPr>
          <w:rFonts w:ascii="Book Antiqua" w:hAnsi="Book Antiqua"/>
          <w:bCs/>
          <w:color w:val="000000"/>
        </w:rPr>
        <w:t xml:space="preserve">a preto nahovárajú svoje deti na rôzne krádeže, no častokrát aj lúpežné prepady </w:t>
      </w:r>
      <w:r w:rsidR="00BE1E28">
        <w:rPr>
          <w:rFonts w:ascii="Book Antiqua" w:hAnsi="Book Antiqua"/>
          <w:bCs/>
          <w:color w:val="000000"/>
        </w:rPr>
        <w:br/>
      </w:r>
      <w:r w:rsidRPr="00EA6B50">
        <w:rPr>
          <w:rFonts w:ascii="Book Antiqua" w:hAnsi="Book Antiqua"/>
          <w:bCs/>
          <w:color w:val="000000"/>
        </w:rPr>
        <w:t>s tragickým koncom.</w:t>
      </w:r>
    </w:p>
    <w:p w:rsidR="00EA6B50" w:rsidRPr="00EA6B50" w:rsidP="00EA6B50">
      <w:pPr>
        <w:bidi w:val="0"/>
        <w:ind w:firstLine="708"/>
        <w:jc w:val="both"/>
        <w:rPr>
          <w:rFonts w:ascii="Book Antiqua" w:hAnsi="Book Antiqua"/>
          <w:bCs/>
          <w:color w:val="000000"/>
        </w:rPr>
      </w:pPr>
    </w:p>
    <w:p w:rsidR="00EA6B50" w:rsidRPr="00EA6B50" w:rsidP="00EA6B50">
      <w:pPr>
        <w:bidi w:val="0"/>
        <w:ind w:firstLine="708"/>
        <w:jc w:val="both"/>
        <w:rPr>
          <w:rFonts w:ascii="Book Antiqua" w:hAnsi="Book Antiqua"/>
          <w:bCs/>
          <w:color w:val="000000"/>
        </w:rPr>
      </w:pPr>
      <w:r w:rsidRPr="00EA6B50">
        <w:rPr>
          <w:rFonts w:ascii="Book Antiqua" w:hAnsi="Book Antiqua"/>
          <w:bCs/>
          <w:color w:val="000000"/>
        </w:rPr>
        <w:t xml:space="preserve">Kotleba - Ľudová strana Naše Slovensko sa preto rozhodla reagovať </w:t>
      </w:r>
      <w:r w:rsidR="00BE1E28">
        <w:rPr>
          <w:rFonts w:ascii="Book Antiqua" w:hAnsi="Book Antiqua"/>
          <w:bCs/>
          <w:color w:val="000000"/>
        </w:rPr>
        <w:br/>
      </w:r>
      <w:r w:rsidRPr="00EA6B50">
        <w:rPr>
          <w:rFonts w:ascii="Book Antiqua" w:hAnsi="Book Antiqua"/>
          <w:bCs/>
          <w:color w:val="000000"/>
        </w:rPr>
        <w:t xml:space="preserve">na nebezpečný trend vzostupu kriminality, novelou trestného zákona a zákona </w:t>
      </w:r>
      <w:r w:rsidR="00BE1E28">
        <w:rPr>
          <w:rFonts w:ascii="Book Antiqua" w:hAnsi="Book Antiqua"/>
          <w:bCs/>
          <w:color w:val="000000"/>
        </w:rPr>
        <w:br/>
      </w:r>
      <w:r w:rsidRPr="00EA6B50">
        <w:rPr>
          <w:rFonts w:ascii="Book Antiqua" w:hAnsi="Book Antiqua"/>
          <w:bCs/>
          <w:color w:val="000000"/>
        </w:rPr>
        <w:t>o priestupkoch, s cieľom zlepšenia bezpečnostnej situácie na celom území Slovenskej republiky. Návrh zákona znižuje vek trestnej zodpovednosti zo súčasných 14 rokov na 12 rokov a priestupkovej zodpovednosti z 15 rokov rovnako na 12 rokov.</w:t>
      </w:r>
    </w:p>
    <w:p w:rsidR="00EA6B50" w:rsidRPr="00EA6B50" w:rsidP="00EA6B50">
      <w:pPr>
        <w:bidi w:val="0"/>
        <w:ind w:firstLine="708"/>
        <w:jc w:val="both"/>
        <w:rPr>
          <w:rFonts w:ascii="Book Antiqua" w:hAnsi="Book Antiqua"/>
          <w:bCs/>
          <w:color w:val="000000"/>
        </w:rPr>
      </w:pPr>
    </w:p>
    <w:p w:rsidR="00EA6B50" w:rsidRPr="00EA6B50" w:rsidP="00EA6B50">
      <w:pPr>
        <w:bidi w:val="0"/>
        <w:ind w:firstLine="708"/>
        <w:jc w:val="both"/>
        <w:rPr>
          <w:rFonts w:ascii="Book Antiqua" w:hAnsi="Book Antiqua"/>
          <w:bCs/>
          <w:color w:val="000000"/>
        </w:rPr>
      </w:pPr>
      <w:r w:rsidRPr="00EA6B50">
        <w:rPr>
          <w:rFonts w:ascii="Book Antiqua" w:hAnsi="Book Antiqua"/>
          <w:bCs/>
          <w:color w:val="000000"/>
        </w:rPr>
        <w:t xml:space="preserve">Fyzická vyspelosť mnohých detí už vo veku 12 rokov im častokrát poskytuje potenciál spôsobiť aj ťažké ublíženie na zdraví, hlavne u chránených osôb akými sú dôchodcovia alebo iné deti. Pri útoku v organizovanej skupine dokonca aj dospelej osobe alebo osobám. Snaha znížiť kriminalitu detí a mladistvých sa v minulosti premietla do § 211 Ohrozovanie mravnej výchovy mládeže (Trestný zákon), </w:t>
      </w:r>
      <w:r w:rsidR="00BE1E28">
        <w:rPr>
          <w:rFonts w:ascii="Book Antiqua" w:hAnsi="Book Antiqua"/>
          <w:bCs/>
          <w:color w:val="000000"/>
        </w:rPr>
        <w:br/>
      </w:r>
      <w:r w:rsidRPr="00EA6B50">
        <w:rPr>
          <w:rFonts w:ascii="Book Antiqua" w:hAnsi="Book Antiqua"/>
          <w:bCs/>
          <w:color w:val="000000"/>
        </w:rPr>
        <w:t>kde</w:t>
      </w:r>
      <w:r w:rsidR="00790A18">
        <w:rPr>
          <w:rFonts w:ascii="Book Antiqua" w:hAnsi="Book Antiqua"/>
          <w:bCs/>
          <w:color w:val="000000"/>
        </w:rPr>
        <w:t xml:space="preserve"> </w:t>
      </w:r>
      <w:r w:rsidRPr="00EA6B50">
        <w:rPr>
          <w:rFonts w:ascii="Book Antiqua" w:hAnsi="Book Antiqua"/>
          <w:bCs/>
          <w:color w:val="000000"/>
        </w:rPr>
        <w:t>sa podľa písmena c) umožnenie konania trestnej činnosti stáva trestným činom jeho rodičov ako aj ďalších zodpovedných osôb.</w:t>
      </w:r>
    </w:p>
    <w:p w:rsidR="00EA6B50" w:rsidRPr="00EA6B50" w:rsidP="00EA6B50">
      <w:pPr>
        <w:bidi w:val="0"/>
        <w:ind w:firstLine="708"/>
        <w:jc w:val="both"/>
        <w:rPr>
          <w:rFonts w:ascii="Book Antiqua" w:hAnsi="Book Antiqua"/>
          <w:bCs/>
          <w:color w:val="000000"/>
        </w:rPr>
      </w:pPr>
    </w:p>
    <w:p w:rsidR="00EA6B50" w:rsidRPr="00EA6B50" w:rsidP="00EA6B50">
      <w:pPr>
        <w:bidi w:val="0"/>
        <w:ind w:firstLine="708"/>
        <w:jc w:val="both"/>
        <w:rPr>
          <w:rFonts w:ascii="Book Antiqua" w:hAnsi="Book Antiqua"/>
          <w:bCs/>
          <w:color w:val="000000"/>
        </w:rPr>
      </w:pPr>
      <w:r w:rsidRPr="00EA6B50">
        <w:rPr>
          <w:rFonts w:ascii="Book Antiqua" w:hAnsi="Book Antiqua"/>
          <w:bCs/>
          <w:color w:val="000000"/>
        </w:rPr>
        <w:t>V praxi však nastáva problém s dokazovaním toho, že rodičia umožnili maloletému páchať priestupky alebo trestné činy. Často dochádza k prípadom,        že rodičia ani pri najlepšej snahe nedokážu zabrániť protiprávnej činnosti svojho potomka. Keďže však maloletý nie je zodpovedný za prípadné priestupky           alebo trestné činy ktoré spácha, zlyhávajú tak akékoľvek metódy a formy prevencie protiprávnej činnosti.</w:t>
      </w:r>
    </w:p>
    <w:p w:rsidR="00EA6B50" w:rsidRPr="00EA6B50" w:rsidP="00EA6B50">
      <w:pPr>
        <w:bidi w:val="0"/>
        <w:ind w:firstLine="708"/>
        <w:jc w:val="both"/>
        <w:rPr>
          <w:rFonts w:ascii="Book Antiqua" w:hAnsi="Book Antiqua"/>
          <w:bCs/>
          <w:color w:val="000000"/>
        </w:rPr>
      </w:pPr>
      <w:r w:rsidRPr="00EA6B50">
        <w:rPr>
          <w:rFonts w:ascii="Book Antiqua" w:hAnsi="Book Antiqua"/>
          <w:bCs/>
          <w:color w:val="000000"/>
        </w:rPr>
        <w:t xml:space="preserve">Problém so stagnujúcim počtom trestných činov, prípadne ich neustálym nárastom v mnohých oblastiach východného a stredného Slovenska, obývaných </w:t>
      </w:r>
      <w:r w:rsidR="00BE1E28">
        <w:rPr>
          <w:rFonts w:ascii="Book Antiqua" w:hAnsi="Book Antiqua"/>
          <w:bCs/>
          <w:color w:val="000000"/>
        </w:rPr>
        <w:br/>
      </w:r>
      <w:r w:rsidRPr="00EA6B50">
        <w:rPr>
          <w:rFonts w:ascii="Book Antiqua" w:hAnsi="Book Antiqua"/>
          <w:bCs/>
          <w:color w:val="000000"/>
        </w:rPr>
        <w:t xml:space="preserve">v prevažnej miere asociálmi, priznáva aj Ministerstvo vnútra Slovenskej republiky. Práve Ministerstvo vnútra prišlo koncom roka 2017 s myšlienkou zavedenia štatistík cigánskej kriminality, ktoré by mohli pomôcť v lepšej objasnenosti mnohých trestných činov a následného prijatia účinných opatrení na zníženie kriminality </w:t>
      </w:r>
      <w:r w:rsidR="00BE1E28">
        <w:rPr>
          <w:rFonts w:ascii="Book Antiqua" w:hAnsi="Book Antiqua"/>
          <w:bCs/>
          <w:color w:val="000000"/>
        </w:rPr>
        <w:br/>
      </w:r>
      <w:r w:rsidRPr="00EA6B50">
        <w:rPr>
          <w:rFonts w:ascii="Book Antiqua" w:hAnsi="Book Antiqua"/>
          <w:bCs/>
          <w:color w:val="000000"/>
        </w:rPr>
        <w:t>v lokalitách s vysokou koncentráciou asociálnej časti obyvateľstva.</w:t>
      </w:r>
    </w:p>
    <w:p w:rsidR="00EA6B50" w:rsidRPr="00EA6B50" w:rsidP="00EA6B50">
      <w:pPr>
        <w:bidi w:val="0"/>
        <w:ind w:firstLine="708"/>
        <w:jc w:val="both"/>
        <w:rPr>
          <w:rFonts w:ascii="Book Antiqua" w:hAnsi="Book Antiqua"/>
          <w:bCs/>
          <w:color w:val="000000"/>
        </w:rPr>
      </w:pPr>
    </w:p>
    <w:p w:rsidR="00EA6B50" w:rsidRPr="00EA6B50" w:rsidP="00EA6B50">
      <w:pPr>
        <w:bidi w:val="0"/>
        <w:ind w:firstLine="708"/>
        <w:jc w:val="both"/>
        <w:rPr>
          <w:rFonts w:ascii="Book Antiqua" w:hAnsi="Book Antiqua"/>
          <w:bCs/>
          <w:color w:val="000000"/>
        </w:rPr>
      </w:pPr>
      <w:r w:rsidRPr="00EA6B50">
        <w:rPr>
          <w:rFonts w:ascii="Book Antiqua" w:hAnsi="Book Antiqua"/>
          <w:bCs/>
          <w:color w:val="000000"/>
        </w:rPr>
        <w:t xml:space="preserve">V mnohých krajinách Európskej únie je uzákonená nižšia veková hranica trestnej zodpovednosti, než je tomu v právnom systéme Slovenskej republiky.           V susednom Maďarsku je veková hranica trestnej zodpovednosti maloletých </w:t>
      </w:r>
      <w:r w:rsidR="00BE1E28">
        <w:rPr>
          <w:rFonts w:ascii="Book Antiqua" w:hAnsi="Book Antiqua"/>
          <w:bCs/>
          <w:color w:val="000000"/>
        </w:rPr>
        <w:br/>
      </w:r>
      <w:r w:rsidRPr="00EA6B50">
        <w:rPr>
          <w:rFonts w:ascii="Book Antiqua" w:hAnsi="Book Antiqua"/>
          <w:bCs/>
          <w:color w:val="000000"/>
        </w:rPr>
        <w:t>v prípade spáchania závažného trestného činu (vraždy, lúpežného prepadnutia, zabitia, znásilnenia a pod.) určená vekom na 12 rokov, vo Francúzsku a Poľsku na 13 rokov, v Holandsku a Portugalsku na 12 rokov a v Anglicku a Walese dokonca na 10 rokov.</w:t>
      </w:r>
    </w:p>
    <w:p w:rsidR="00EA6B50" w:rsidRPr="00EA6B50" w:rsidP="00EA6B50">
      <w:pPr>
        <w:bidi w:val="0"/>
        <w:ind w:firstLine="708"/>
        <w:jc w:val="both"/>
        <w:rPr>
          <w:rFonts w:ascii="Book Antiqua" w:hAnsi="Book Antiqua"/>
          <w:bCs/>
          <w:color w:val="000000"/>
        </w:rPr>
      </w:pPr>
    </w:p>
    <w:p w:rsidR="00EA6B50" w:rsidRPr="00EA6B50" w:rsidP="00EA6B50">
      <w:pPr>
        <w:bidi w:val="0"/>
        <w:ind w:firstLine="708"/>
        <w:jc w:val="both"/>
        <w:rPr>
          <w:rFonts w:ascii="Book Antiqua" w:hAnsi="Book Antiqua"/>
          <w:bCs/>
          <w:color w:val="000000"/>
        </w:rPr>
      </w:pPr>
      <w:r w:rsidRPr="00EA6B50">
        <w:rPr>
          <w:rFonts w:ascii="Book Antiqua" w:hAnsi="Book Antiqua"/>
          <w:bCs/>
          <w:color w:val="000000"/>
        </w:rPr>
        <w:t xml:space="preserve">Práve zníženie vekovej hranice trestnej a priestupkovej zodpovednosti považujeme za najefektívnejší nástroj prevencie kriminálneho správania maloletých osôb. V prípade schválenia tejto novely budú mať štátne orgány možnosť  umiestniť v reedukačnom centre priamym následkom páchania trestného činu osoby staršie ako 12 rokov. </w:t>
      </w:r>
    </w:p>
    <w:p w:rsidR="00EA6B50" w:rsidRPr="00EA6B50" w:rsidP="00EA6B50">
      <w:pPr>
        <w:bidi w:val="0"/>
        <w:ind w:firstLine="708"/>
        <w:jc w:val="both"/>
        <w:rPr>
          <w:rFonts w:ascii="Book Antiqua" w:hAnsi="Book Antiqua"/>
          <w:bCs/>
          <w:color w:val="000000"/>
        </w:rPr>
      </w:pPr>
    </w:p>
    <w:p w:rsidR="006B0F25" w:rsidRPr="0018081E" w:rsidP="00EA6B50">
      <w:pPr>
        <w:bidi w:val="0"/>
        <w:ind w:firstLine="708"/>
        <w:jc w:val="both"/>
        <w:rPr>
          <w:rFonts w:ascii="Book Antiqua" w:hAnsi="Book Antiqua"/>
          <w:color w:val="000000" w:themeColor="tx1" w:themeShade="FF"/>
        </w:rPr>
      </w:pPr>
      <w:r w:rsidRPr="00EA6B50" w:rsidR="00EA6B50">
        <w:rPr>
          <w:rFonts w:ascii="Book Antiqua" w:hAnsi="Book Antiqua"/>
          <w:bCs/>
          <w:color w:val="000000"/>
        </w:rPr>
        <w:t>Návrh zákona ponecháva v platnosti  § 95 Trestného zákona, ktorý</w:t>
      </w:r>
      <w:r w:rsidR="00BE1E28">
        <w:rPr>
          <w:rFonts w:ascii="Book Antiqua" w:hAnsi="Book Antiqua"/>
          <w:bCs/>
          <w:color w:val="000000"/>
        </w:rPr>
        <w:t xml:space="preserve"> </w:t>
      </w:r>
      <w:r w:rsidRPr="00EA6B50" w:rsidR="00EA6B50">
        <w:rPr>
          <w:rFonts w:ascii="Book Antiqua" w:hAnsi="Book Antiqua"/>
          <w:bCs/>
          <w:color w:val="000000"/>
        </w:rPr>
        <w:t>v ods. 1, zbavuje trestnej zodpovednosti osobu mladšiu ako pätnásť rokov, ktorá</w:t>
      </w:r>
      <w:r w:rsidR="00BE1E28">
        <w:rPr>
          <w:rFonts w:ascii="Book Antiqua" w:hAnsi="Book Antiqua"/>
          <w:bCs/>
          <w:color w:val="000000"/>
        </w:rPr>
        <w:t xml:space="preserve"> </w:t>
      </w:r>
      <w:r w:rsidRPr="00EA6B50" w:rsidR="00EA6B50">
        <w:rPr>
          <w:rFonts w:ascii="Book Antiqua" w:hAnsi="Book Antiqua"/>
          <w:bCs/>
          <w:color w:val="000000"/>
        </w:rPr>
        <w:t>v čase spáchania činu nedosiahla takú úroveň rozumovej a mravnej vyspelosti,</w:t>
      </w:r>
      <w:r w:rsidR="00BE1E28">
        <w:rPr>
          <w:rFonts w:ascii="Book Antiqua" w:hAnsi="Book Antiqua"/>
          <w:bCs/>
          <w:color w:val="000000"/>
        </w:rPr>
        <w:t xml:space="preserve"> </w:t>
      </w:r>
      <w:r w:rsidRPr="00EA6B50" w:rsidR="00EA6B50">
        <w:rPr>
          <w:rFonts w:ascii="Book Antiqua" w:hAnsi="Book Antiqua"/>
          <w:bCs/>
          <w:color w:val="000000"/>
        </w:rPr>
        <w:t>aby mohla rozpoznať jeho protiprávnosť alebo ovládať svoje konanie. Trestná zodpovednosť zaniká aj v prípade podľa ods.2, ak je závažnosť trestného činu malá</w:t>
      </w:r>
      <w:r w:rsidRPr="0018081E" w:rsidR="0073629D">
        <w:rPr>
          <w:rFonts w:ascii="Book Antiqua" w:hAnsi="Book Antiqua"/>
          <w:color w:val="000000" w:themeColor="tx1" w:themeShade="FF"/>
        </w:rPr>
        <w:t>.</w:t>
      </w:r>
    </w:p>
    <w:p w:rsidR="006B0F25" w:rsidRPr="0018081E" w:rsidP="006B0F25">
      <w:pPr>
        <w:bidi w:val="0"/>
        <w:ind w:firstLine="708"/>
        <w:jc w:val="both"/>
        <w:rPr>
          <w:rFonts w:ascii="Book Antiqua" w:hAnsi="Book Antiqua"/>
          <w:color w:val="000000" w:themeColor="tx1" w:themeShade="FF"/>
        </w:rPr>
      </w:pPr>
    </w:p>
    <w:p w:rsidR="006F3D39" w:rsidRPr="0018081E" w:rsidP="006B0F25">
      <w:pPr>
        <w:bidi w:val="0"/>
        <w:ind w:firstLine="708"/>
        <w:jc w:val="right"/>
        <w:rPr>
          <w:rFonts w:ascii="Book Antiqua" w:hAnsi="Book Antiqua"/>
          <w:color w:val="000000" w:themeColor="tx1" w:themeShade="FF"/>
        </w:rPr>
      </w:pPr>
      <w:r w:rsidRPr="0018081E" w:rsidR="0073629D">
        <w:rPr>
          <w:rFonts w:ascii="Book Antiqua" w:hAnsi="Book Antiqua"/>
          <w:color w:val="000000" w:themeColor="tx1" w:themeShade="FF"/>
        </w:rPr>
        <w:t>Tab. č. 1.</w:t>
      </w:r>
      <w:r w:rsidRPr="0018081E" w:rsidR="00084A5F">
        <w:rPr>
          <w:rFonts w:ascii="Book Antiqua" w:hAnsi="Book Antiqua"/>
          <w:color w:val="000000" w:themeColor="tx1" w:themeShade="FF"/>
        </w:rPr>
        <w:t xml:space="preserve"> (zdroj. MV SR)</w:t>
      </w:r>
    </w:p>
    <w:tbl>
      <w:tblPr>
        <w:tblStyle w:val="TableNormal"/>
        <w:tblW w:w="9018" w:type="dxa"/>
        <w:tblInd w:w="55" w:type="dxa"/>
        <w:tblLayout w:type="fixed"/>
        <w:tblCellMar>
          <w:left w:w="70" w:type="dxa"/>
          <w:right w:w="70" w:type="dxa"/>
        </w:tblCellMar>
      </w:tblPr>
      <w:tblGrid>
        <w:gridCol w:w="2910"/>
        <w:gridCol w:w="1018"/>
        <w:gridCol w:w="1018"/>
        <w:gridCol w:w="1018"/>
        <w:gridCol w:w="1018"/>
        <w:gridCol w:w="1018"/>
        <w:gridCol w:w="1018"/>
      </w:tblGrid>
      <w:tr>
        <w:tblPrEx>
          <w:tblW w:w="9018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3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bottom"/>
          </w:tcPr>
          <w:p w:rsidR="006F3D39" w:rsidRPr="0018081E" w:rsidP="006F3D39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bCs/>
                <w:color w:val="000000" w:themeColor="tx1" w:themeShade="FF"/>
              </w:rPr>
              <w:t>Údaje o stíhaných al. vyšetrovaných maloletých osobách podľa druhu kriminality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extDirection w:val="lrTb"/>
            <w:vAlign w:val="bottom"/>
          </w:tcPr>
          <w:p w:rsidR="006F3D39" w:rsidRPr="0018081E" w:rsidP="006F3D39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bCs/>
                <w:color w:val="000000" w:themeColor="tx1" w:themeShade="FF"/>
              </w:rPr>
              <w:t>rok</w:t>
            </w:r>
          </w:p>
        </w:tc>
      </w:tr>
      <w:tr>
        <w:tblPrEx>
          <w:tblW w:w="9018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3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</w:tcPr>
          <w:p w:rsidR="006F3D39" w:rsidRPr="0018081E" w:rsidP="006F3D39">
            <w:pPr>
              <w:bidi w:val="0"/>
              <w:spacing w:after="0" w:line="240" w:lineRule="auto"/>
              <w:rPr>
                <w:rFonts w:ascii="Book Antiqua" w:hAnsi="Book Antiqua" w:cs="Arial"/>
                <w:bCs/>
                <w:color w:val="000000" w:themeColor="tx1" w:themeShade="FF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bCs/>
                <w:color w:val="000000" w:themeColor="tx1" w:themeShade="FF"/>
              </w:rPr>
              <w:t>2012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bCs/>
                <w:color w:val="000000" w:themeColor="tx1" w:themeShade="FF"/>
              </w:rPr>
              <w:t>2013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bCs/>
                <w:color w:val="000000" w:themeColor="tx1" w:themeShade="FF"/>
              </w:rPr>
              <w:t>2014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bCs/>
                <w:color w:val="000000" w:themeColor="tx1" w:themeShade="FF"/>
              </w:rPr>
              <w:t>2015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bCs/>
                <w:color w:val="000000" w:themeColor="tx1" w:themeShade="FF"/>
              </w:rPr>
              <w:t>2016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bCs/>
                <w:color w:val="000000" w:themeColor="tx1" w:themeShade="FF"/>
              </w:rPr>
              <w:t>2017</w:t>
            </w:r>
          </w:p>
        </w:tc>
      </w:tr>
      <w:tr>
        <w:tblPrEx>
          <w:tblW w:w="9018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62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E33B7C">
            <w:pPr>
              <w:bidi w:val="0"/>
              <w:spacing w:after="0" w:line="240" w:lineRule="auto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 xml:space="preserve">Násilná  kriminalita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114</w:t>
            </w:r>
          </w:p>
        </w:tc>
      </w:tr>
      <w:tr>
        <w:tblPrEx>
          <w:tblW w:w="9018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62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E33B7C">
            <w:pPr>
              <w:bidi w:val="0"/>
              <w:spacing w:after="0" w:line="240" w:lineRule="auto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 xml:space="preserve">Mravnostná  kriminalita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45</w:t>
            </w:r>
          </w:p>
        </w:tc>
      </w:tr>
      <w:tr>
        <w:tblPrEx>
          <w:tblW w:w="9018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62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E33B7C">
            <w:pPr>
              <w:bidi w:val="0"/>
              <w:spacing w:after="0" w:line="240" w:lineRule="auto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 xml:space="preserve">Majetková  kriminalita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606</w:t>
            </w:r>
          </w:p>
        </w:tc>
      </w:tr>
      <w:tr>
        <w:tblPrEx>
          <w:tblW w:w="9018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62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E33B7C">
            <w:pPr>
              <w:bidi w:val="0"/>
              <w:spacing w:after="0" w:line="240" w:lineRule="auto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 xml:space="preserve">Ostatná  kriminalita  (výtržníctvo, drogy a pod.)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71</w:t>
            </w:r>
          </w:p>
        </w:tc>
      </w:tr>
      <w:tr>
        <w:tblPrEx>
          <w:tblW w:w="9018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62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E33B7C">
            <w:pPr>
              <w:bidi w:val="0"/>
              <w:spacing w:after="0" w:line="240" w:lineRule="auto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 xml:space="preserve">Zostávajúca kriminalita (nehody a pod.)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19</w:t>
            </w:r>
          </w:p>
        </w:tc>
      </w:tr>
      <w:tr>
        <w:tblPrEx>
          <w:tblW w:w="9018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6F3D39">
            <w:pPr>
              <w:bidi w:val="0"/>
              <w:spacing w:after="0" w:line="240" w:lineRule="auto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 xml:space="preserve">Ekonomická  kriminalita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color w:val="000000" w:themeColor="tx1" w:themeShade="FF"/>
              </w:rPr>
              <w:t>28</w:t>
            </w:r>
          </w:p>
        </w:tc>
      </w:tr>
      <w:tr>
        <w:tblPrEx>
          <w:tblW w:w="9018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F3D39" w:rsidRPr="0018081E" w:rsidP="006F3D39">
            <w:pPr>
              <w:bidi w:val="0"/>
              <w:spacing w:after="0" w:line="240" w:lineRule="auto"/>
              <w:jc w:val="right"/>
              <w:rPr>
                <w:rFonts w:ascii="Book Antiqua" w:hAnsi="Book Antiqua" w:cs="Arial"/>
                <w:bCs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bCs/>
                <w:color w:val="000000" w:themeColor="tx1" w:themeShade="FF"/>
              </w:rPr>
              <w:t xml:space="preserve">CELKOVÁ  KRIMINALITA rok               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bCs/>
                <w:color w:val="000000" w:themeColor="tx1" w:themeShade="FF"/>
              </w:rPr>
              <w:t>952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bCs/>
                <w:color w:val="000000" w:themeColor="tx1" w:themeShade="FF"/>
              </w:rPr>
              <w:t>956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bCs/>
                <w:color w:val="000000" w:themeColor="tx1" w:themeShade="FF"/>
              </w:rPr>
              <w:t>914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bCs/>
                <w:color w:val="000000" w:themeColor="tx1" w:themeShade="FF"/>
              </w:rPr>
              <w:t>832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bCs/>
                <w:color w:val="000000" w:themeColor="tx1" w:themeShade="FF"/>
              </w:rPr>
              <w:t>847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F3D39" w:rsidRPr="0018081E" w:rsidP="00790A18">
            <w:pPr>
              <w:bidi w:val="0"/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 w:themeColor="tx1" w:themeShade="FF"/>
              </w:rPr>
            </w:pPr>
            <w:r w:rsidRPr="0018081E">
              <w:rPr>
                <w:rFonts w:ascii="Book Antiqua" w:hAnsi="Book Antiqua" w:cs="Arial"/>
                <w:bCs/>
                <w:color w:val="000000" w:themeColor="tx1" w:themeShade="FF"/>
              </w:rPr>
              <w:t>883</w:t>
            </w:r>
          </w:p>
        </w:tc>
      </w:tr>
    </w:tbl>
    <w:p w:rsidR="00BE1E28" w:rsidP="000766AA">
      <w:pPr>
        <w:bidi w:val="0"/>
        <w:ind w:firstLine="708"/>
        <w:jc w:val="both"/>
        <w:rPr>
          <w:rFonts w:ascii="Book Antiqua" w:hAnsi="Book Antiqua"/>
          <w:color w:val="000000" w:themeColor="tx1" w:themeShade="FF"/>
        </w:rPr>
      </w:pPr>
      <w:r>
        <w:rPr>
          <w:rFonts w:ascii="Book Antiqua" w:hAnsi="Book Antiqua"/>
          <w:color w:val="000000" w:themeColor="tx1" w:themeShade="FF"/>
        </w:rPr>
        <w:br/>
      </w:r>
    </w:p>
    <w:p w:rsidR="003442F2" w:rsidRPr="0018081E" w:rsidP="000766AA">
      <w:pPr>
        <w:bidi w:val="0"/>
        <w:ind w:firstLine="708"/>
        <w:jc w:val="both"/>
        <w:rPr>
          <w:rFonts w:ascii="Book Antiqua" w:hAnsi="Book Antiqua"/>
          <w:color w:val="000000" w:themeColor="tx1" w:themeShade="FF"/>
        </w:rPr>
      </w:pPr>
      <w:r w:rsidRPr="0018081E" w:rsidR="000766AA">
        <w:rPr>
          <w:rFonts w:ascii="Book Antiqua" w:hAnsi="Book Antiqua"/>
          <w:color w:val="000000" w:themeColor="tx1" w:themeShade="FF"/>
        </w:rPr>
        <w:t>V</w:t>
      </w:r>
      <w:r w:rsidRPr="0018081E" w:rsidR="00BF0EAF">
        <w:rPr>
          <w:rFonts w:ascii="Book Antiqua" w:hAnsi="Book Antiqua"/>
          <w:color w:val="000000" w:themeColor="tx1" w:themeShade="FF"/>
        </w:rPr>
        <w:t>plyv</w:t>
      </w:r>
      <w:r w:rsidRPr="0018081E" w:rsidR="00912327">
        <w:rPr>
          <w:rFonts w:ascii="Book Antiqua" w:hAnsi="Book Antiqua"/>
          <w:color w:val="000000" w:themeColor="tx1" w:themeShade="FF"/>
        </w:rPr>
        <w:t xml:space="preserve"> </w:t>
      </w:r>
      <w:r w:rsidRPr="0018081E" w:rsidR="000766AA">
        <w:rPr>
          <w:rFonts w:ascii="Book Antiqua" w:hAnsi="Book Antiqua"/>
          <w:color w:val="000000" w:themeColor="tx1" w:themeShade="FF"/>
        </w:rPr>
        <w:t xml:space="preserve">predloženého návrhu zákona </w:t>
      </w:r>
      <w:r w:rsidRPr="0018081E" w:rsidR="00912327">
        <w:rPr>
          <w:rFonts w:ascii="Book Antiqua" w:hAnsi="Book Antiqua"/>
          <w:color w:val="000000" w:themeColor="tx1" w:themeShade="FF"/>
        </w:rPr>
        <w:t>na rozpočet verejnej správy</w:t>
      </w:r>
      <w:r w:rsidRPr="0018081E" w:rsidR="000766AA">
        <w:rPr>
          <w:rFonts w:ascii="Book Antiqua" w:hAnsi="Book Antiqua"/>
          <w:color w:val="000000" w:themeColor="tx1" w:themeShade="FF"/>
        </w:rPr>
        <w:t xml:space="preserve"> nie je možné kvantifikovať</w:t>
      </w:r>
      <w:r w:rsidRPr="0018081E" w:rsidR="00BF0EAF">
        <w:rPr>
          <w:rFonts w:ascii="Book Antiqua" w:hAnsi="Book Antiqua"/>
          <w:color w:val="000000" w:themeColor="tx1" w:themeShade="FF"/>
        </w:rPr>
        <w:t xml:space="preserve">. </w:t>
      </w:r>
      <w:r w:rsidRPr="0018081E" w:rsidR="000766AA">
        <w:rPr>
          <w:rFonts w:ascii="Book Antiqua" w:hAnsi="Book Antiqua"/>
          <w:color w:val="000000" w:themeColor="tx1" w:themeShade="FF"/>
        </w:rPr>
        <w:t>Prípadný počiatočný zvýšený počet umiestnení v reedukačných centrách  môže byť kompenzovaný následným znížením kriminálneho správania detí a mladistvých,  čo  v konečnom dôsledku v dlhšom časovom horizonte zníži počet chovancov takýchto centier.</w:t>
      </w:r>
    </w:p>
    <w:p w:rsidR="00D63180" w:rsidRPr="0018081E" w:rsidP="00C45114">
      <w:pPr>
        <w:bidi w:val="0"/>
        <w:ind w:firstLine="708"/>
        <w:jc w:val="both"/>
        <w:rPr>
          <w:rFonts w:ascii="Book Antiqua" w:hAnsi="Book Antiqua"/>
          <w:iCs/>
          <w:color w:val="000000" w:themeColor="tx1" w:themeShade="FF"/>
        </w:rPr>
      </w:pPr>
      <w:r w:rsidRPr="0018081E" w:rsidR="00F522BA">
        <w:rPr>
          <w:rFonts w:ascii="Book Antiqua" w:hAnsi="Book Antiqua"/>
          <w:iCs/>
          <w:color w:val="000000" w:themeColor="tx1" w:themeShade="FF"/>
        </w:rPr>
        <w:t xml:space="preserve"> </w:t>
      </w:r>
    </w:p>
    <w:p w:rsidR="00C46AAA" w:rsidP="00C45114">
      <w:pPr>
        <w:bidi w:val="0"/>
        <w:ind w:firstLine="708"/>
        <w:jc w:val="both"/>
        <w:rPr>
          <w:rFonts w:ascii="Book Antiqua" w:hAnsi="Book Antiqua"/>
          <w:color w:val="000000" w:themeColor="tx1" w:themeShade="FF"/>
        </w:rPr>
      </w:pPr>
      <w:r w:rsidRPr="0018081E" w:rsidR="003175BE">
        <w:rPr>
          <w:rFonts w:ascii="Book Antiqua" w:hAnsi="Book Antiqua"/>
          <w:color w:val="000000" w:themeColor="tx1" w:themeShade="FF"/>
        </w:rPr>
        <w:t xml:space="preserve">Návrh zákona je v súlade s Ústavou Slovenskej republiky, ústavnými zákonmi a ostatnými všeobecne záväznými právnymi predpismi Slovenskej republiky, medzinárodnými zmluvami a inými medzinárodnými dokumentmi, ktorými </w:t>
      </w:r>
      <w:r w:rsidR="00302C8B">
        <w:rPr>
          <w:rFonts w:ascii="Book Antiqua" w:hAnsi="Book Antiqua"/>
          <w:color w:val="000000" w:themeColor="tx1" w:themeShade="FF"/>
        </w:rPr>
        <w:br/>
      </w:r>
      <w:r w:rsidRPr="0018081E" w:rsidR="003175BE">
        <w:rPr>
          <w:rFonts w:ascii="Book Antiqua" w:hAnsi="Book Antiqua"/>
          <w:color w:val="000000" w:themeColor="tx1" w:themeShade="FF"/>
        </w:rPr>
        <w:t>je Slovenská republika viazaná</w:t>
      </w:r>
      <w:r w:rsidRPr="0018081E" w:rsidR="00B80536">
        <w:rPr>
          <w:rFonts w:ascii="Book Antiqua" w:hAnsi="Book Antiqua"/>
          <w:color w:val="000000" w:themeColor="tx1" w:themeShade="FF"/>
        </w:rPr>
        <w:t>,</w:t>
      </w:r>
      <w:r w:rsidRPr="0018081E" w:rsidR="003175BE">
        <w:rPr>
          <w:rFonts w:ascii="Book Antiqua" w:hAnsi="Book Antiqua"/>
          <w:color w:val="000000" w:themeColor="tx1" w:themeShade="FF"/>
        </w:rPr>
        <w:t xml:space="preserve"> a</w:t>
      </w:r>
      <w:r w:rsidRPr="0018081E" w:rsidR="00B80536">
        <w:rPr>
          <w:rFonts w:ascii="Book Antiqua" w:hAnsi="Book Antiqua"/>
          <w:color w:val="000000" w:themeColor="tx1" w:themeShade="FF"/>
        </w:rPr>
        <w:t>ko aj</w:t>
      </w:r>
      <w:r w:rsidRPr="0018081E" w:rsidR="003175BE">
        <w:rPr>
          <w:rFonts w:ascii="Book Antiqua" w:hAnsi="Book Antiqua"/>
          <w:color w:val="000000" w:themeColor="tx1" w:themeShade="FF"/>
        </w:rPr>
        <w:t xml:space="preserve"> s právom Európskej únie.</w:t>
      </w:r>
    </w:p>
    <w:p w:rsidR="00A64BAA" w:rsidP="00C45114">
      <w:pPr>
        <w:bidi w:val="0"/>
        <w:ind w:firstLine="708"/>
        <w:jc w:val="both"/>
        <w:rPr>
          <w:rFonts w:ascii="Book Antiqua" w:hAnsi="Book Antiqua"/>
          <w:iCs/>
          <w:color w:val="000000" w:themeColor="tx1" w:themeShade="FF"/>
        </w:rPr>
      </w:pPr>
    </w:p>
    <w:p w:rsidR="00A64BAA" w:rsidP="00C45114">
      <w:pPr>
        <w:bidi w:val="0"/>
        <w:ind w:firstLine="708"/>
        <w:jc w:val="both"/>
        <w:rPr>
          <w:rFonts w:ascii="Book Antiqua" w:hAnsi="Book Antiqua"/>
          <w:iCs/>
          <w:color w:val="000000" w:themeColor="tx1" w:themeShade="FF"/>
        </w:rPr>
      </w:pPr>
    </w:p>
    <w:p w:rsidR="00A64BAA" w:rsidP="00C45114">
      <w:pPr>
        <w:bidi w:val="0"/>
        <w:ind w:firstLine="708"/>
        <w:jc w:val="both"/>
        <w:rPr>
          <w:rFonts w:ascii="Book Antiqua" w:hAnsi="Book Antiqua"/>
          <w:iCs/>
          <w:color w:val="000000" w:themeColor="tx1" w:themeShade="FF"/>
        </w:rPr>
      </w:pPr>
    </w:p>
    <w:p w:rsidR="00A64BAA" w:rsidP="00C45114">
      <w:pPr>
        <w:bidi w:val="0"/>
        <w:ind w:firstLine="708"/>
        <w:jc w:val="both"/>
        <w:rPr>
          <w:rFonts w:ascii="Book Antiqua" w:hAnsi="Book Antiqua"/>
          <w:iCs/>
          <w:color w:val="000000" w:themeColor="tx1" w:themeShade="FF"/>
        </w:rPr>
      </w:pPr>
    </w:p>
    <w:p w:rsidR="00A64BAA" w:rsidP="00C45114">
      <w:pPr>
        <w:bidi w:val="0"/>
        <w:ind w:firstLine="708"/>
        <w:jc w:val="both"/>
        <w:rPr>
          <w:rFonts w:ascii="Book Antiqua" w:hAnsi="Book Antiqua"/>
          <w:iCs/>
          <w:color w:val="000000" w:themeColor="tx1" w:themeShade="FF"/>
        </w:rPr>
      </w:pPr>
    </w:p>
    <w:p w:rsidR="00A64BAA" w:rsidP="00C45114">
      <w:pPr>
        <w:bidi w:val="0"/>
        <w:ind w:firstLine="708"/>
        <w:jc w:val="both"/>
        <w:rPr>
          <w:rFonts w:ascii="Book Antiqua" w:hAnsi="Book Antiqua"/>
          <w:iCs/>
          <w:color w:val="000000" w:themeColor="tx1" w:themeShade="FF"/>
        </w:rPr>
      </w:pPr>
    </w:p>
    <w:p w:rsidR="00A64BAA" w:rsidP="00C45114">
      <w:pPr>
        <w:bidi w:val="0"/>
        <w:ind w:firstLine="708"/>
        <w:jc w:val="both"/>
        <w:rPr>
          <w:rFonts w:ascii="Book Antiqua" w:hAnsi="Book Antiqua"/>
          <w:iCs/>
          <w:color w:val="000000" w:themeColor="tx1" w:themeShade="FF"/>
        </w:rPr>
      </w:pPr>
    </w:p>
    <w:p w:rsidR="00A64BAA" w:rsidP="00C45114">
      <w:pPr>
        <w:bidi w:val="0"/>
        <w:ind w:firstLine="708"/>
        <w:jc w:val="both"/>
        <w:rPr>
          <w:rFonts w:ascii="Book Antiqua" w:hAnsi="Book Antiqua"/>
          <w:iCs/>
          <w:color w:val="000000" w:themeColor="tx1" w:themeShade="FF"/>
        </w:rPr>
      </w:pPr>
    </w:p>
    <w:p w:rsidR="00A64BAA" w:rsidP="00A64BAA">
      <w:pPr>
        <w:numPr>
          <w:numId w:val="10"/>
        </w:numPr>
        <w:suppressAutoHyphens/>
        <w:autoSpaceDE w:val="0"/>
        <w:autoSpaceDN w:val="0"/>
        <w:bidi w:val="0"/>
        <w:adjustRightInd w:val="0"/>
        <w:spacing w:after="200" w:line="276" w:lineRule="auto"/>
        <w:ind w:left="0" w:firstLine="0"/>
        <w:jc w:val="both"/>
        <w:rPr>
          <w:rFonts w:ascii="Times New Roman" w:hAnsi="Times New Roman"/>
        </w:rPr>
      </w:pPr>
      <w:r w:rsidR="00EA6B50">
        <w:rPr>
          <w:rFonts w:ascii="Book Antiqua" w:hAnsi="Times New Roman"/>
          <w:b/>
          <w:i/>
        </w:rPr>
        <w:br w:type="page"/>
      </w:r>
      <w:r>
        <w:rPr>
          <w:rFonts w:ascii="Times New Roman" w:hAnsi="Times New Roman"/>
          <w:noProof/>
        </w:rPr>
        <w:pict>
          <v:line id="Rovná spojnica 1" o:spid="_x0000_s1026" style="mso-position-horizontal-relative:char;position:absolute;visibility:visible;z-index:251659264" from="-20.65pt,18.35pt" to="456pt,19.1pt" o:allowincell="f" stroked="t" strokecolor="gray">
            <v:shadow obscured="t"/>
            <o:lock v:ext="edit" aspectratio="f" shapetype="t"/>
          </v:line>
        </w:pict>
      </w:r>
      <w:r>
        <w:rPr>
          <w:rFonts w:ascii="Book Antiqua" w:eastAsia="Times New Roman" w:hAnsi="Times New Roman"/>
          <w:b/>
          <w:i/>
        </w:rPr>
        <w:t>Osobitn</w:t>
      </w:r>
      <w:r>
        <w:rPr>
          <w:rFonts w:ascii="Book Antiqua" w:eastAsia="Times New Roman" w:hAnsi="Times New Roman" w:hint="default"/>
          <w:b/>
          <w:i/>
        </w:rPr>
        <w:t>á</w:t>
      </w:r>
      <w:r>
        <w:rPr>
          <w:rFonts w:ascii="Book Antiqua" w:eastAsia="Times New Roman" w:hAnsi="Times New Roman"/>
          <w:b/>
          <w:i/>
        </w:rPr>
        <w:t xml:space="preserve"> </w:t>
      </w:r>
      <w:r>
        <w:rPr>
          <w:rFonts w:ascii="Book Antiqua" w:eastAsia="Times New Roman" w:hAnsi="Times New Roman" w:hint="default"/>
          <w:b/>
          <w:i/>
        </w:rPr>
        <w:t>č</w:t>
      </w:r>
      <w:r>
        <w:rPr>
          <w:rFonts w:ascii="Book Antiqua" w:eastAsia="Times New Roman" w:hAnsi="Times New Roman"/>
          <w:b/>
          <w:i/>
        </w:rPr>
        <w:t>as</w:t>
      </w:r>
      <w:r>
        <w:rPr>
          <w:rFonts w:ascii="Book Antiqua" w:eastAsia="Times New Roman" w:hAnsi="Times New Roman" w:hint="default"/>
          <w:b/>
          <w:i/>
        </w:rPr>
        <w:t>ť</w:t>
      </w:r>
    </w:p>
    <w:p w:rsidR="00A64BAA" w:rsidP="00A64BAA">
      <w:pPr>
        <w:bidi w:val="0"/>
        <w:jc w:val="both"/>
        <w:rPr>
          <w:rFonts w:ascii="Book Antiqua" w:hAnsi="Book Antiqua"/>
          <w:iCs/>
          <w:color w:val="000000" w:themeColor="tx1" w:themeShade="FF"/>
        </w:rPr>
      </w:pPr>
    </w:p>
    <w:p w:rsidR="00A64BAA" w:rsidP="00A64BAA">
      <w:pPr>
        <w:bidi w:val="0"/>
        <w:jc w:val="both"/>
        <w:rPr>
          <w:rFonts w:ascii="Book Antiqua" w:hAnsi="Book Antiqua"/>
          <w:iCs/>
          <w:color w:val="000000" w:themeColor="tx1" w:themeShade="FF"/>
        </w:rPr>
      </w:pPr>
      <w:r w:rsidRPr="00A64BAA">
        <w:rPr>
          <w:rFonts w:ascii="Book Antiqua" w:hAnsi="Book Antiqua"/>
          <w:b/>
          <w:iCs/>
          <w:color w:val="000000" w:themeColor="tx1" w:themeShade="FF"/>
        </w:rPr>
        <w:t>Čl. I</w:t>
      </w:r>
    </w:p>
    <w:p w:rsidR="00A64BAA" w:rsidP="00A64BAA">
      <w:pPr>
        <w:bidi w:val="0"/>
        <w:jc w:val="both"/>
        <w:rPr>
          <w:rFonts w:ascii="Book Antiqua" w:hAnsi="Book Antiqua"/>
          <w:iCs/>
          <w:color w:val="000000" w:themeColor="tx1" w:themeShade="FF"/>
        </w:rPr>
      </w:pPr>
    </w:p>
    <w:p w:rsidR="00A64BAA" w:rsidP="00A64BAA">
      <w:pPr>
        <w:bidi w:val="0"/>
        <w:jc w:val="both"/>
        <w:rPr>
          <w:rFonts w:ascii="Book Antiqua" w:hAnsi="Book Antiqua"/>
          <w:iCs/>
          <w:color w:val="000000" w:themeColor="tx1" w:themeShade="FF"/>
        </w:rPr>
      </w:pPr>
      <w:r>
        <w:rPr>
          <w:rFonts w:ascii="Book Antiqua" w:hAnsi="Book Antiqua"/>
          <w:iCs/>
          <w:color w:val="000000" w:themeColor="tx1" w:themeShade="FF"/>
        </w:rPr>
        <w:t>K bodu 1</w:t>
      </w:r>
      <w:r w:rsidR="003E3E90">
        <w:rPr>
          <w:rFonts w:ascii="Book Antiqua" w:hAnsi="Book Antiqua"/>
          <w:iCs/>
          <w:color w:val="000000" w:themeColor="tx1" w:themeShade="FF"/>
        </w:rPr>
        <w:t xml:space="preserve"> až 3</w:t>
      </w:r>
    </w:p>
    <w:p w:rsidR="00A64BAA" w:rsidP="00A64BAA">
      <w:pPr>
        <w:bidi w:val="0"/>
        <w:jc w:val="both"/>
        <w:rPr>
          <w:rFonts w:ascii="Book Antiqua" w:hAnsi="Book Antiqua"/>
          <w:iCs/>
          <w:color w:val="000000" w:themeColor="tx1" w:themeShade="FF"/>
        </w:rPr>
      </w:pPr>
    </w:p>
    <w:p w:rsidR="00A64BAA" w:rsidP="00A64BAA">
      <w:pPr>
        <w:bidi w:val="0"/>
        <w:jc w:val="both"/>
        <w:rPr>
          <w:rFonts w:ascii="Book Antiqua" w:hAnsi="Book Antiqua"/>
          <w:iCs/>
          <w:color w:val="000000" w:themeColor="tx1" w:themeShade="FF"/>
        </w:rPr>
      </w:pPr>
      <w:r>
        <w:rPr>
          <w:rFonts w:ascii="Book Antiqua" w:hAnsi="Book Antiqua"/>
          <w:iCs/>
          <w:color w:val="000000" w:themeColor="tx1" w:themeShade="FF"/>
        </w:rPr>
        <w:tab/>
        <w:t>Doterajšia právna úprava umožňovala orgánom činným v trestnom konaní trestne stíhať osoby, ktoré boli staršie ako štrnásť rokov. Navrhuje sa, aby sa hranica trestnej zodpovednosti maloletých osôb znížila na dvanásť rokov.</w:t>
      </w:r>
    </w:p>
    <w:p w:rsidR="003E3E90" w:rsidP="00A64BAA">
      <w:pPr>
        <w:bidi w:val="0"/>
        <w:jc w:val="both"/>
        <w:rPr>
          <w:rFonts w:ascii="Book Antiqua" w:hAnsi="Book Antiqua"/>
          <w:iCs/>
          <w:color w:val="000000" w:themeColor="tx1" w:themeShade="FF"/>
        </w:rPr>
      </w:pPr>
    </w:p>
    <w:p w:rsidR="003E3E90" w:rsidP="00A64BAA">
      <w:pPr>
        <w:bidi w:val="0"/>
        <w:jc w:val="both"/>
        <w:rPr>
          <w:rFonts w:ascii="Book Antiqua" w:hAnsi="Book Antiqua"/>
          <w:iCs/>
          <w:color w:val="000000" w:themeColor="tx1" w:themeShade="FF"/>
        </w:rPr>
      </w:pPr>
      <w:r>
        <w:rPr>
          <w:rFonts w:ascii="Book Antiqua" w:hAnsi="Book Antiqua"/>
          <w:b/>
          <w:iCs/>
          <w:color w:val="000000" w:themeColor="tx1" w:themeShade="FF"/>
        </w:rPr>
        <w:t>Čl. II</w:t>
      </w:r>
    </w:p>
    <w:p w:rsidR="003E3E90" w:rsidP="00A64BAA">
      <w:pPr>
        <w:bidi w:val="0"/>
        <w:jc w:val="both"/>
        <w:rPr>
          <w:rFonts w:ascii="Book Antiqua" w:hAnsi="Book Antiqua"/>
          <w:iCs/>
          <w:color w:val="000000" w:themeColor="tx1" w:themeShade="FF"/>
        </w:rPr>
      </w:pPr>
    </w:p>
    <w:p w:rsidR="003E3E90" w:rsidP="00A64BAA">
      <w:pPr>
        <w:bidi w:val="0"/>
        <w:jc w:val="both"/>
        <w:rPr>
          <w:rFonts w:ascii="Book Antiqua" w:hAnsi="Book Antiqua"/>
          <w:iCs/>
          <w:color w:val="000000" w:themeColor="tx1" w:themeShade="FF"/>
        </w:rPr>
      </w:pPr>
      <w:r>
        <w:rPr>
          <w:rFonts w:ascii="Book Antiqua" w:hAnsi="Book Antiqua"/>
          <w:iCs/>
          <w:color w:val="000000" w:themeColor="tx1" w:themeShade="FF"/>
        </w:rPr>
        <w:t>K bodu 1 až 4</w:t>
      </w:r>
    </w:p>
    <w:p w:rsidR="003E3E90" w:rsidP="00A64BAA">
      <w:pPr>
        <w:bidi w:val="0"/>
        <w:jc w:val="both"/>
        <w:rPr>
          <w:rFonts w:ascii="Book Antiqua" w:hAnsi="Book Antiqua"/>
          <w:iCs/>
          <w:color w:val="000000" w:themeColor="tx1" w:themeShade="FF"/>
        </w:rPr>
      </w:pPr>
    </w:p>
    <w:p w:rsidR="003E3E90" w:rsidP="00A64BAA">
      <w:pPr>
        <w:bidi w:val="0"/>
        <w:jc w:val="both"/>
        <w:rPr>
          <w:rFonts w:ascii="Book Antiqua" w:hAnsi="Book Antiqua"/>
          <w:iCs/>
          <w:color w:val="000000" w:themeColor="tx1" w:themeShade="FF"/>
        </w:rPr>
      </w:pPr>
      <w:r>
        <w:rPr>
          <w:rFonts w:ascii="Book Antiqua" w:hAnsi="Book Antiqua"/>
          <w:iCs/>
          <w:color w:val="000000" w:themeColor="tx1" w:themeShade="FF"/>
        </w:rPr>
        <w:tab/>
        <w:t>Upravuje sa veková hranica priestup</w:t>
      </w:r>
      <w:r w:rsidR="00F637EC">
        <w:rPr>
          <w:rFonts w:ascii="Book Antiqua" w:hAnsi="Book Antiqua"/>
          <w:iCs/>
          <w:color w:val="000000" w:themeColor="tx1" w:themeShade="FF"/>
        </w:rPr>
        <w:t>c</w:t>
      </w:r>
      <w:r>
        <w:rPr>
          <w:rFonts w:ascii="Book Antiqua" w:hAnsi="Book Antiqua"/>
          <w:iCs/>
          <w:color w:val="000000" w:themeColor="tx1" w:themeShade="FF"/>
        </w:rPr>
        <w:t xml:space="preserve">u zo súčasných pätnásť rokov </w:t>
        <w:br/>
        <w:t>na dvanásť rokov.</w:t>
      </w:r>
      <w:r w:rsidR="00F637EC">
        <w:rPr>
          <w:rFonts w:ascii="Book Antiqua" w:hAnsi="Book Antiqua"/>
          <w:iCs/>
          <w:color w:val="000000" w:themeColor="tx1" w:themeShade="FF"/>
        </w:rPr>
        <w:t xml:space="preserve"> Rovnako sa upravuje veková hranica priestupcu pri odložení veci a zastavení konania.</w:t>
      </w:r>
    </w:p>
    <w:p w:rsidR="00F637EC" w:rsidP="00A64BAA">
      <w:pPr>
        <w:bidi w:val="0"/>
        <w:jc w:val="both"/>
        <w:rPr>
          <w:rFonts w:ascii="Book Antiqua" w:hAnsi="Book Antiqua"/>
          <w:iCs/>
          <w:color w:val="000000" w:themeColor="tx1" w:themeShade="FF"/>
        </w:rPr>
      </w:pPr>
    </w:p>
    <w:p w:rsidR="00F637EC" w:rsidP="00A64BAA">
      <w:pPr>
        <w:bidi w:val="0"/>
        <w:jc w:val="both"/>
        <w:rPr>
          <w:rFonts w:ascii="Book Antiqua" w:hAnsi="Book Antiqua"/>
          <w:iCs/>
          <w:color w:val="000000" w:themeColor="tx1" w:themeShade="FF"/>
        </w:rPr>
      </w:pPr>
      <w:r>
        <w:rPr>
          <w:rFonts w:ascii="Book Antiqua" w:hAnsi="Book Antiqua"/>
          <w:b/>
          <w:iCs/>
          <w:color w:val="000000" w:themeColor="tx1" w:themeShade="FF"/>
        </w:rPr>
        <w:t>Čl. III</w:t>
      </w:r>
    </w:p>
    <w:p w:rsidR="00F637EC" w:rsidP="00A64BAA">
      <w:pPr>
        <w:bidi w:val="0"/>
        <w:jc w:val="both"/>
        <w:rPr>
          <w:rFonts w:ascii="Book Antiqua" w:hAnsi="Book Antiqua"/>
          <w:iCs/>
          <w:color w:val="000000" w:themeColor="tx1" w:themeShade="FF"/>
        </w:rPr>
      </w:pPr>
    </w:p>
    <w:p w:rsidR="00F637EC" w:rsidRPr="00F637EC" w:rsidP="00A64BAA">
      <w:pPr>
        <w:bidi w:val="0"/>
        <w:jc w:val="both"/>
        <w:rPr>
          <w:rFonts w:ascii="Book Antiqua" w:hAnsi="Book Antiqua"/>
          <w:iCs/>
          <w:color w:val="000000" w:themeColor="tx1" w:themeShade="FF"/>
        </w:rPr>
      </w:pPr>
      <w:r>
        <w:rPr>
          <w:rFonts w:ascii="Book Antiqua" w:hAnsi="Book Antiqua"/>
          <w:iCs/>
          <w:color w:val="000000" w:themeColor="tx1" w:themeShade="FF"/>
        </w:rPr>
        <w:tab/>
        <w:t>Navrhuje sa účinnosť zákona dňa 1. januára 2019.</w:t>
      </w:r>
    </w:p>
    <w:sectPr w:rsidSect="006F3D39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88B">
    <w:pPr>
      <w:pStyle w:val="Footer"/>
      <w:bidi w:val="0"/>
      <w:jc w:val="right"/>
      <w:rPr>
        <w:rFonts w:ascii="Times New Roman" w:hAnsi="Times New Roman"/>
      </w:rPr>
    </w:pPr>
  </w:p>
  <w:p w:rsidR="001E688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ind w:left="720" w:hanging="360"/>
      </w:pPr>
      <w:rPr>
        <w:rFonts w:eastAsia="Times New Roman" w:cs="Times New Roman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>
    <w:nsid w:val="034C1FE1"/>
    <w:multiLevelType w:val="hybridMultilevel"/>
    <w:tmpl w:val="75304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EB45CF"/>
    <w:multiLevelType w:val="hybridMultilevel"/>
    <w:tmpl w:val="D8584D50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3">
    <w:nsid w:val="15B623C5"/>
    <w:multiLevelType w:val="hybridMultilevel"/>
    <w:tmpl w:val="B92093F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2B1D2BB3"/>
    <w:multiLevelType w:val="hybridMultilevel"/>
    <w:tmpl w:val="715EBC10"/>
    <w:lvl w:ilvl="0">
      <w:start w:val="1"/>
      <w:numFmt w:val="decimal"/>
      <w:lvlText w:val="%1."/>
      <w:lvlJc w:val="left"/>
      <w:pPr>
        <w:ind w:left="1068" w:hanging="360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38F20CB"/>
    <w:multiLevelType w:val="singleLevel"/>
    <w:tmpl w:val="E3722346"/>
    <w:lvl w:ilvl="0">
      <w:start w:val="2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A8D1BD9"/>
    <w:multiLevelType w:val="hybridMultilevel"/>
    <w:tmpl w:val="EEC464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43F7688"/>
    <w:multiLevelType w:val="hybridMultilevel"/>
    <w:tmpl w:val="1EAE709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9">
    <w:nsid w:val="79730733"/>
    <w:multiLevelType w:val="hybridMultilevel"/>
    <w:tmpl w:val="A6EC25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175BE"/>
    <w:rsid w:val="000028EF"/>
    <w:rsid w:val="000167AB"/>
    <w:rsid w:val="000229FC"/>
    <w:rsid w:val="00032833"/>
    <w:rsid w:val="0003619E"/>
    <w:rsid w:val="000532A5"/>
    <w:rsid w:val="00054693"/>
    <w:rsid w:val="00063A0B"/>
    <w:rsid w:val="00064CF3"/>
    <w:rsid w:val="000766AA"/>
    <w:rsid w:val="00084A5F"/>
    <w:rsid w:val="00084FC8"/>
    <w:rsid w:val="000911E9"/>
    <w:rsid w:val="000A6410"/>
    <w:rsid w:val="000B554E"/>
    <w:rsid w:val="000D3314"/>
    <w:rsid w:val="000E2CFB"/>
    <w:rsid w:val="00101B0F"/>
    <w:rsid w:val="001044A9"/>
    <w:rsid w:val="00107EA3"/>
    <w:rsid w:val="00123988"/>
    <w:rsid w:val="00140628"/>
    <w:rsid w:val="00155588"/>
    <w:rsid w:val="00157F7F"/>
    <w:rsid w:val="00170A0E"/>
    <w:rsid w:val="00171CB5"/>
    <w:rsid w:val="00175B7F"/>
    <w:rsid w:val="0017655C"/>
    <w:rsid w:val="0018081E"/>
    <w:rsid w:val="00182D97"/>
    <w:rsid w:val="0018356E"/>
    <w:rsid w:val="001A21E4"/>
    <w:rsid w:val="001B41BD"/>
    <w:rsid w:val="001C22C9"/>
    <w:rsid w:val="001C4C36"/>
    <w:rsid w:val="001D4C15"/>
    <w:rsid w:val="001D5062"/>
    <w:rsid w:val="001E688B"/>
    <w:rsid w:val="001F00B2"/>
    <w:rsid w:val="001F26A8"/>
    <w:rsid w:val="001F6C29"/>
    <w:rsid w:val="001F7ECF"/>
    <w:rsid w:val="00201740"/>
    <w:rsid w:val="00203D44"/>
    <w:rsid w:val="00206BC8"/>
    <w:rsid w:val="00215D46"/>
    <w:rsid w:val="002354D2"/>
    <w:rsid w:val="00260B31"/>
    <w:rsid w:val="00266BC7"/>
    <w:rsid w:val="0027321F"/>
    <w:rsid w:val="00283324"/>
    <w:rsid w:val="002842A2"/>
    <w:rsid w:val="00286619"/>
    <w:rsid w:val="00297174"/>
    <w:rsid w:val="002B6657"/>
    <w:rsid w:val="002D02D2"/>
    <w:rsid w:val="002D0E64"/>
    <w:rsid w:val="002E266C"/>
    <w:rsid w:val="002E688D"/>
    <w:rsid w:val="002F67B6"/>
    <w:rsid w:val="00302C8B"/>
    <w:rsid w:val="003040AE"/>
    <w:rsid w:val="00310AC6"/>
    <w:rsid w:val="003175BE"/>
    <w:rsid w:val="00333784"/>
    <w:rsid w:val="003434D3"/>
    <w:rsid w:val="003442F2"/>
    <w:rsid w:val="003456D6"/>
    <w:rsid w:val="00353F2A"/>
    <w:rsid w:val="00363498"/>
    <w:rsid w:val="00365127"/>
    <w:rsid w:val="00372961"/>
    <w:rsid w:val="00376F30"/>
    <w:rsid w:val="00381BBC"/>
    <w:rsid w:val="00391830"/>
    <w:rsid w:val="0039236F"/>
    <w:rsid w:val="003A10BB"/>
    <w:rsid w:val="003C5495"/>
    <w:rsid w:val="003D19A2"/>
    <w:rsid w:val="003E3E90"/>
    <w:rsid w:val="00406514"/>
    <w:rsid w:val="0041703F"/>
    <w:rsid w:val="00424139"/>
    <w:rsid w:val="00427596"/>
    <w:rsid w:val="00437AF7"/>
    <w:rsid w:val="00446EA4"/>
    <w:rsid w:val="0045395E"/>
    <w:rsid w:val="00457BEC"/>
    <w:rsid w:val="00457C61"/>
    <w:rsid w:val="00463866"/>
    <w:rsid w:val="004640D4"/>
    <w:rsid w:val="00465B53"/>
    <w:rsid w:val="00477D01"/>
    <w:rsid w:val="004838F9"/>
    <w:rsid w:val="0048522B"/>
    <w:rsid w:val="004963E0"/>
    <w:rsid w:val="004C1E72"/>
    <w:rsid w:val="004C3033"/>
    <w:rsid w:val="004D05AC"/>
    <w:rsid w:val="004D2CD3"/>
    <w:rsid w:val="004D7205"/>
    <w:rsid w:val="004E79B1"/>
    <w:rsid w:val="005002B1"/>
    <w:rsid w:val="00502794"/>
    <w:rsid w:val="00526F89"/>
    <w:rsid w:val="00540149"/>
    <w:rsid w:val="00551EB1"/>
    <w:rsid w:val="00554077"/>
    <w:rsid w:val="00564C1D"/>
    <w:rsid w:val="00566DBD"/>
    <w:rsid w:val="0057365F"/>
    <w:rsid w:val="00574E14"/>
    <w:rsid w:val="00576905"/>
    <w:rsid w:val="00590FD4"/>
    <w:rsid w:val="00591DDD"/>
    <w:rsid w:val="00595751"/>
    <w:rsid w:val="005A0DF0"/>
    <w:rsid w:val="005A25BB"/>
    <w:rsid w:val="005A287C"/>
    <w:rsid w:val="005A3E5A"/>
    <w:rsid w:val="005A7399"/>
    <w:rsid w:val="005B0C25"/>
    <w:rsid w:val="005C02C3"/>
    <w:rsid w:val="005C4E02"/>
    <w:rsid w:val="005F14CB"/>
    <w:rsid w:val="005F1DD3"/>
    <w:rsid w:val="0060535F"/>
    <w:rsid w:val="006123FB"/>
    <w:rsid w:val="00614310"/>
    <w:rsid w:val="0061651B"/>
    <w:rsid w:val="006171A0"/>
    <w:rsid w:val="00622338"/>
    <w:rsid w:val="00623C2E"/>
    <w:rsid w:val="00625B6C"/>
    <w:rsid w:val="006416C5"/>
    <w:rsid w:val="006423A5"/>
    <w:rsid w:val="00642E90"/>
    <w:rsid w:val="0065746D"/>
    <w:rsid w:val="00673B84"/>
    <w:rsid w:val="00677936"/>
    <w:rsid w:val="00682AA7"/>
    <w:rsid w:val="00692F31"/>
    <w:rsid w:val="006A30A0"/>
    <w:rsid w:val="006A6B6A"/>
    <w:rsid w:val="006B0F25"/>
    <w:rsid w:val="006B6AE1"/>
    <w:rsid w:val="006D0F7D"/>
    <w:rsid w:val="006D17E8"/>
    <w:rsid w:val="006D3885"/>
    <w:rsid w:val="006D65D6"/>
    <w:rsid w:val="006F3D39"/>
    <w:rsid w:val="00720C12"/>
    <w:rsid w:val="007359DE"/>
    <w:rsid w:val="0073629D"/>
    <w:rsid w:val="00736BF5"/>
    <w:rsid w:val="00744A6A"/>
    <w:rsid w:val="007469F2"/>
    <w:rsid w:val="00767047"/>
    <w:rsid w:val="00772C93"/>
    <w:rsid w:val="00776EBC"/>
    <w:rsid w:val="00782D66"/>
    <w:rsid w:val="007861E0"/>
    <w:rsid w:val="00790A18"/>
    <w:rsid w:val="00791FAC"/>
    <w:rsid w:val="007A1A60"/>
    <w:rsid w:val="007B7997"/>
    <w:rsid w:val="007B7EEC"/>
    <w:rsid w:val="007C4A7C"/>
    <w:rsid w:val="007C75EB"/>
    <w:rsid w:val="007E7F59"/>
    <w:rsid w:val="007F1866"/>
    <w:rsid w:val="00815B74"/>
    <w:rsid w:val="00816F3B"/>
    <w:rsid w:val="00817990"/>
    <w:rsid w:val="008206E0"/>
    <w:rsid w:val="00825B5D"/>
    <w:rsid w:val="00825CF7"/>
    <w:rsid w:val="00826879"/>
    <w:rsid w:val="00834094"/>
    <w:rsid w:val="00835FF8"/>
    <w:rsid w:val="008442D4"/>
    <w:rsid w:val="00844C27"/>
    <w:rsid w:val="00850072"/>
    <w:rsid w:val="0087045A"/>
    <w:rsid w:val="00880E6B"/>
    <w:rsid w:val="008862D2"/>
    <w:rsid w:val="008903BA"/>
    <w:rsid w:val="0089411F"/>
    <w:rsid w:val="008A11E1"/>
    <w:rsid w:val="008A5302"/>
    <w:rsid w:val="008A536A"/>
    <w:rsid w:val="008B6E9B"/>
    <w:rsid w:val="008C1EF0"/>
    <w:rsid w:val="008C6163"/>
    <w:rsid w:val="008C67E9"/>
    <w:rsid w:val="008F03D8"/>
    <w:rsid w:val="008F228C"/>
    <w:rsid w:val="00912327"/>
    <w:rsid w:val="00927570"/>
    <w:rsid w:val="00932C01"/>
    <w:rsid w:val="00933ACA"/>
    <w:rsid w:val="00960132"/>
    <w:rsid w:val="0096074E"/>
    <w:rsid w:val="00961ED6"/>
    <w:rsid w:val="009912D1"/>
    <w:rsid w:val="00992C56"/>
    <w:rsid w:val="00993743"/>
    <w:rsid w:val="009A4263"/>
    <w:rsid w:val="009A5BB8"/>
    <w:rsid w:val="009A66EB"/>
    <w:rsid w:val="009A7347"/>
    <w:rsid w:val="009B0E47"/>
    <w:rsid w:val="009B4893"/>
    <w:rsid w:val="009D6FCA"/>
    <w:rsid w:val="009E053A"/>
    <w:rsid w:val="009E1F96"/>
    <w:rsid w:val="009F1AE2"/>
    <w:rsid w:val="009F292F"/>
    <w:rsid w:val="009F43CE"/>
    <w:rsid w:val="00A21CAC"/>
    <w:rsid w:val="00A23AD0"/>
    <w:rsid w:val="00A26469"/>
    <w:rsid w:val="00A37520"/>
    <w:rsid w:val="00A41C44"/>
    <w:rsid w:val="00A5682A"/>
    <w:rsid w:val="00A64BAA"/>
    <w:rsid w:val="00A843A8"/>
    <w:rsid w:val="00A85A27"/>
    <w:rsid w:val="00AB349F"/>
    <w:rsid w:val="00AB45BA"/>
    <w:rsid w:val="00AC0FA2"/>
    <w:rsid w:val="00AC46DA"/>
    <w:rsid w:val="00AE0119"/>
    <w:rsid w:val="00AE2F9E"/>
    <w:rsid w:val="00AF32AA"/>
    <w:rsid w:val="00B04C7F"/>
    <w:rsid w:val="00B20292"/>
    <w:rsid w:val="00B2622F"/>
    <w:rsid w:val="00B36F5F"/>
    <w:rsid w:val="00B43CEF"/>
    <w:rsid w:val="00B473CD"/>
    <w:rsid w:val="00B51D2D"/>
    <w:rsid w:val="00B56A03"/>
    <w:rsid w:val="00B638E5"/>
    <w:rsid w:val="00B73974"/>
    <w:rsid w:val="00B77909"/>
    <w:rsid w:val="00B80536"/>
    <w:rsid w:val="00B82E79"/>
    <w:rsid w:val="00BA6BDA"/>
    <w:rsid w:val="00BE1E28"/>
    <w:rsid w:val="00BE3305"/>
    <w:rsid w:val="00BF0EAF"/>
    <w:rsid w:val="00BF2191"/>
    <w:rsid w:val="00BF5FE0"/>
    <w:rsid w:val="00C12D10"/>
    <w:rsid w:val="00C13D09"/>
    <w:rsid w:val="00C15A35"/>
    <w:rsid w:val="00C44BDD"/>
    <w:rsid w:val="00C45114"/>
    <w:rsid w:val="00C46AAA"/>
    <w:rsid w:val="00C54C2F"/>
    <w:rsid w:val="00C73B39"/>
    <w:rsid w:val="00C74E21"/>
    <w:rsid w:val="00C80768"/>
    <w:rsid w:val="00C81634"/>
    <w:rsid w:val="00C86C8A"/>
    <w:rsid w:val="00C90CCD"/>
    <w:rsid w:val="00C947BA"/>
    <w:rsid w:val="00C97F47"/>
    <w:rsid w:val="00CA48FF"/>
    <w:rsid w:val="00CB4CA5"/>
    <w:rsid w:val="00CC6147"/>
    <w:rsid w:val="00CD034D"/>
    <w:rsid w:val="00CE28B9"/>
    <w:rsid w:val="00CE56BF"/>
    <w:rsid w:val="00CE69A4"/>
    <w:rsid w:val="00CF4335"/>
    <w:rsid w:val="00CF54EF"/>
    <w:rsid w:val="00D0085C"/>
    <w:rsid w:val="00D05599"/>
    <w:rsid w:val="00D41F56"/>
    <w:rsid w:val="00D424BC"/>
    <w:rsid w:val="00D4711C"/>
    <w:rsid w:val="00D5754D"/>
    <w:rsid w:val="00D63180"/>
    <w:rsid w:val="00D707E7"/>
    <w:rsid w:val="00D72FB1"/>
    <w:rsid w:val="00D77F7E"/>
    <w:rsid w:val="00D9019C"/>
    <w:rsid w:val="00DA3F32"/>
    <w:rsid w:val="00DC79A8"/>
    <w:rsid w:val="00DD7FF2"/>
    <w:rsid w:val="00DE3F77"/>
    <w:rsid w:val="00DF5E6A"/>
    <w:rsid w:val="00DF62D4"/>
    <w:rsid w:val="00E00CAD"/>
    <w:rsid w:val="00E01D1B"/>
    <w:rsid w:val="00E11A26"/>
    <w:rsid w:val="00E13E44"/>
    <w:rsid w:val="00E175CB"/>
    <w:rsid w:val="00E20854"/>
    <w:rsid w:val="00E242E7"/>
    <w:rsid w:val="00E27536"/>
    <w:rsid w:val="00E333CB"/>
    <w:rsid w:val="00E33B7C"/>
    <w:rsid w:val="00E3516B"/>
    <w:rsid w:val="00E56173"/>
    <w:rsid w:val="00E57B4D"/>
    <w:rsid w:val="00E61EA6"/>
    <w:rsid w:val="00E85935"/>
    <w:rsid w:val="00E85959"/>
    <w:rsid w:val="00E92966"/>
    <w:rsid w:val="00EA0EF7"/>
    <w:rsid w:val="00EA6B50"/>
    <w:rsid w:val="00EA75FC"/>
    <w:rsid w:val="00EB3175"/>
    <w:rsid w:val="00EC1681"/>
    <w:rsid w:val="00EC3351"/>
    <w:rsid w:val="00EF4768"/>
    <w:rsid w:val="00EF576C"/>
    <w:rsid w:val="00EF69AF"/>
    <w:rsid w:val="00F04E09"/>
    <w:rsid w:val="00F13A21"/>
    <w:rsid w:val="00F17BA8"/>
    <w:rsid w:val="00F2762E"/>
    <w:rsid w:val="00F305A4"/>
    <w:rsid w:val="00F522BA"/>
    <w:rsid w:val="00F637EC"/>
    <w:rsid w:val="00F73420"/>
    <w:rsid w:val="00F75198"/>
    <w:rsid w:val="00F86291"/>
    <w:rsid w:val="00F94CC2"/>
    <w:rsid w:val="00F9724D"/>
    <w:rsid w:val="00FC6490"/>
    <w:rsid w:val="00FE0F89"/>
    <w:rsid w:val="00FE5F1F"/>
    <w:rsid w:val="00FF46F9"/>
    <w:rsid w:val="00FF59F4"/>
    <w:rsid w:val="00FF5BCA"/>
    <w:rsid w:val="00FF719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/>
    <w:lsdException w:name="List 2" w:semiHidden="1" w:unhideWhenUsed="1"/>
    <w:lsdException w:name="List 3" w:semiHidden="1" w:unhideWhenUsed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5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3175BE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3175BE"/>
    <w:rPr>
      <w:rFonts w:ascii="Cambria" w:hAnsi="Cambria" w:cs="Times New Roman"/>
      <w:b/>
      <w:kern w:val="32"/>
      <w:sz w:val="32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3175BE"/>
    <w:pPr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rsid w:val="0036349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rsid w:val="004C1E72"/>
    <w:rPr>
      <w:rFonts w:cs="Times New Roman"/>
      <w:color w:val="800080"/>
      <w:u w:val="single"/>
      <w:rtl w:val="0"/>
      <w:cs w:val="0"/>
    </w:rPr>
  </w:style>
  <w:style w:type="character" w:customStyle="1" w:styleId="apple-converted-space">
    <w:name w:val="apple-converted-space"/>
    <w:uiPriority w:val="99"/>
    <w:rsid w:val="00AE2F9E"/>
  </w:style>
  <w:style w:type="paragraph" w:styleId="BodyText">
    <w:name w:val="Body Text"/>
    <w:basedOn w:val="Normal"/>
    <w:link w:val="ZkladntextChar"/>
    <w:uiPriority w:val="99"/>
    <w:rsid w:val="00B638E5"/>
    <w:pPr>
      <w:autoSpaceDE w:val="0"/>
      <w:autoSpaceDN w:val="0"/>
      <w:spacing w:before="120" w:after="120"/>
      <w:jc w:val="both"/>
    </w:pPr>
  </w:style>
  <w:style w:type="character" w:customStyle="1" w:styleId="ZkladntextChar">
    <w:name w:val="Základní text Char"/>
    <w:basedOn w:val="DefaultParagraphFont"/>
    <w:link w:val="BodyText"/>
    <w:uiPriority w:val="99"/>
    <w:locked/>
    <w:rsid w:val="00B638E5"/>
    <w:rPr>
      <w:rFonts w:ascii="Times New Roman" w:hAnsi="Times New Roman" w:cs="Times New Roman"/>
      <w:sz w:val="24"/>
      <w:rtl w:val="0"/>
      <w:cs w:val="0"/>
    </w:rPr>
  </w:style>
  <w:style w:type="paragraph" w:styleId="FootnoteText">
    <w:name w:val="footnote text"/>
    <w:basedOn w:val="Normal"/>
    <w:link w:val="TextpoznpodarouChar"/>
    <w:uiPriority w:val="99"/>
    <w:semiHidden/>
    <w:rsid w:val="00266BC7"/>
    <w:pPr>
      <w:autoSpaceDE w:val="0"/>
      <w:autoSpaceDN w:val="0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locked/>
    <w:rsid w:val="00266BC7"/>
    <w:rPr>
      <w:rFonts w:ascii="Times New Roman" w:hAnsi="Times New Roman"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266BC7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ZhlavChar"/>
    <w:uiPriority w:val="99"/>
    <w:rsid w:val="001D5062"/>
    <w:pPr>
      <w:tabs>
        <w:tab w:val="center" w:pos="4536"/>
        <w:tab w:val="right" w:pos="9072"/>
      </w:tabs>
      <w:jc w:val="left"/>
    </w:pPr>
  </w:style>
  <w:style w:type="character" w:customStyle="1" w:styleId="ZhlavChar">
    <w:name w:val="Záhlaví Char"/>
    <w:basedOn w:val="DefaultParagraphFont"/>
    <w:link w:val="Header"/>
    <w:uiPriority w:val="99"/>
    <w:locked/>
    <w:rsid w:val="001D5062"/>
    <w:rPr>
      <w:rFonts w:ascii="Times New Roman" w:hAnsi="Times New Roman" w:cs="Times New Roman"/>
      <w:sz w:val="24"/>
      <w:rtl w:val="0"/>
      <w:cs w:val="0"/>
    </w:rPr>
  </w:style>
  <w:style w:type="paragraph" w:styleId="Footer">
    <w:name w:val="footer"/>
    <w:basedOn w:val="Normal"/>
    <w:link w:val="ZpatChar"/>
    <w:uiPriority w:val="99"/>
    <w:rsid w:val="001D5062"/>
    <w:pPr>
      <w:tabs>
        <w:tab w:val="center" w:pos="4536"/>
        <w:tab w:val="right" w:pos="9072"/>
      </w:tabs>
      <w:jc w:val="left"/>
    </w:pPr>
  </w:style>
  <w:style w:type="character" w:customStyle="1" w:styleId="ZpatChar">
    <w:name w:val="Zápatí Char"/>
    <w:basedOn w:val="DefaultParagraphFont"/>
    <w:link w:val="Footer"/>
    <w:uiPriority w:val="99"/>
    <w:locked/>
    <w:rsid w:val="001D5062"/>
    <w:rPr>
      <w:rFonts w:ascii="Times New Roman" w:hAnsi="Times New Roman" w:cs="Times New Roman"/>
      <w:sz w:val="24"/>
      <w:rtl w:val="0"/>
      <w:cs w:val="0"/>
    </w:rPr>
  </w:style>
  <w:style w:type="paragraph" w:customStyle="1" w:styleId="bodytext0">
    <w:name w:val="bodytext"/>
    <w:basedOn w:val="Normal"/>
    <w:uiPriority w:val="99"/>
    <w:rsid w:val="004838F9"/>
    <w:pPr>
      <w:spacing w:before="100" w:beforeAutospacing="1" w:after="100" w:afterAutospacing="1"/>
      <w:jc w:val="left"/>
    </w:pPr>
  </w:style>
  <w:style w:type="paragraph" w:customStyle="1" w:styleId="Default">
    <w:name w:val="Default"/>
    <w:uiPriority w:val="99"/>
    <w:rsid w:val="00032833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90A1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90A18"/>
    <w:rPr>
      <w:rFonts w:ascii="Segoe UI" w:hAnsi="Segoe UI" w:cs="Segoe UI"/>
      <w:sz w:val="18"/>
      <w:szCs w:val="1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790A1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790A18"/>
    <w:pPr>
      <w:jc w:val="left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locked/>
    <w:rsid w:val="00790A18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790A18"/>
    <w:pPr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locked/>
    <w:rsid w:val="00790A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928</Words>
  <Characters>5290</Characters>
  <Application>Microsoft Office Word</Application>
  <DocSecurity>0</DocSecurity>
  <Lines>0</Lines>
  <Paragraphs>0</Paragraphs>
  <ScaleCrop>false</ScaleCrop>
  <Company/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cp:revision>1</cp:revision>
  <dcterms:created xsi:type="dcterms:W3CDTF">2018-02-16T16:29:00Z</dcterms:created>
  <dcterms:modified xsi:type="dcterms:W3CDTF">2018-02-20T20:06:00Z</dcterms:modified>
</cp:coreProperties>
</file>