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62EC" w:rsidP="00C3513B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TABUĽKA ZHODY</w:t>
      </w:r>
    </w:p>
    <w:p w:rsidR="002762EC" w:rsidP="00C3513B">
      <w:pPr>
        <w:autoSpaceDE/>
        <w:bidi w:val="0"/>
        <w:ind w:left="36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právneho predpisu s právom Európskej únie</w:t>
      </w:r>
    </w:p>
    <w:p w:rsidR="002762EC" w:rsidP="00C3513B">
      <w:pPr>
        <w:autoSpaceDE/>
        <w:bidi w:val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-572" w:type="dxa"/>
        <w:tblLayout w:type="fixed"/>
        <w:tblCellMar>
          <w:left w:w="43" w:type="dxa"/>
          <w:right w:w="43" w:type="dxa"/>
        </w:tblCellMar>
      </w:tblPr>
      <w:tblGrid>
        <w:gridCol w:w="757"/>
        <w:gridCol w:w="4820"/>
        <w:gridCol w:w="708"/>
        <w:gridCol w:w="851"/>
        <w:gridCol w:w="850"/>
        <w:gridCol w:w="5103"/>
        <w:gridCol w:w="567"/>
        <w:gridCol w:w="993"/>
      </w:tblGrid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6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81C98" w:rsidP="00C3513B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0362E" w:rsidR="0060362E">
              <w:rPr>
                <w:rFonts w:ascii="Times New Roman" w:hAnsi="Times New Roman"/>
                <w:b/>
                <w:sz w:val="20"/>
                <w:szCs w:val="20"/>
              </w:rPr>
              <w:t>SMERNICA EURÓPSKEHO PARLAMENTU A RADY 2014/66/EÚ z 15. mája 2014 o podmienkach vstupu a pobytu štátnych príslušníkov tretích krajín v rámci vnútropodnikového presunu</w:t>
            </w:r>
          </w:p>
        </w:tc>
        <w:tc>
          <w:tcPr>
            <w:tcW w:w="8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BE30FC" w:rsidRPr="00BE30FC" w:rsidP="00C855CB">
            <w:pPr>
              <w:pStyle w:val="Heading4"/>
              <w:numPr>
                <w:ilvl w:val="0"/>
                <w:numId w:val="9"/>
              </w:numPr>
              <w:tabs>
                <w:tab w:val="clear" w:pos="0"/>
              </w:tabs>
              <w:bidi w:val="0"/>
              <w:snapToGrid w:val="0"/>
              <w:ind w:left="241" w:hanging="218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E30F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návrh zákona, ktorým sa mení a dopĺňa zákon číslo 404/2011 Z. z. o pobyte cudzincov a o zmene a doplnení niektorých zákonov a ktorým sa menia a dopĺňajú niektoré zákony (ďalej len „návrh zákona“)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;</w:t>
            </w:r>
          </w:p>
          <w:p w:rsidR="00E625C5" w:rsidRPr="009F268D" w:rsidP="009F268D">
            <w:pPr>
              <w:pStyle w:val="Heading4"/>
              <w:numPr>
                <w:ilvl w:val="0"/>
                <w:numId w:val="9"/>
              </w:numPr>
              <w:tabs>
                <w:tab w:val="clear" w:pos="0"/>
              </w:tabs>
              <w:bidi w:val="0"/>
              <w:snapToGrid w:val="0"/>
              <w:ind w:left="241" w:hanging="218"/>
              <w:jc w:val="both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E30FC" w:rsidR="00BE30F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zákon číslo 404/2011 Z. z. o pobyte cudzincov a o zmene a doplnení niektorých zákonov </w:t>
            </w:r>
            <w:r w:rsidR="006C5AD8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v znení neskorších predpisov</w:t>
            </w:r>
            <w:r w:rsidRPr="00BE30FC" w:rsidR="00BE30F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(ďalej len „zákon</w:t>
            </w:r>
            <w:r w:rsidR="00BE30F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č. 404/2011 Z. z.</w:t>
            </w:r>
            <w:r w:rsidRPr="00BE30FC" w:rsidR="00BE30FC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“)</w:t>
            </w: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81C98" w:rsidP="00C351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C60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81C98" w:rsidP="00C351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C9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81C98" w:rsidP="00C351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C9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81C98" w:rsidP="00C351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C9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81C98" w:rsidP="00C3513B">
            <w:pPr>
              <w:pStyle w:val="BodyTextIndent"/>
              <w:bidi w:val="0"/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C9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81C98" w:rsidP="00C3513B">
            <w:pPr>
              <w:pStyle w:val="BodyTextIndent"/>
              <w:bidi w:val="0"/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C9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762EC" w:rsidRPr="00281C98" w:rsidP="00C351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C9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2762EC" w:rsidRPr="00281C98" w:rsidP="00C3513B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1C9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9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P="00F24C27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20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56DC" w:rsidP="002856D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6DC">
              <w:rPr>
                <w:rFonts w:ascii="Times New Roman" w:hAnsi="Times New Roman"/>
                <w:sz w:val="20"/>
                <w:szCs w:val="20"/>
              </w:rPr>
              <w:t>Štátnym príslušníkom tretích krajín, ktorí sú držiteľmi platného povolenia zamestnanca presunutého v rámci podniku vydaného prvým členským štátom, sa na základe tohto povolenia a platného cestovného dokladu a za podmienok stanovených v článkoch 21 a 22 a s výhradou článku 23, povoľuje vstup do jedného alebo viacerých druhých členských štátov, ako aj pobyt a práca v nich.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8847A7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8847A7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8847A7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3D5CD8">
              <w:rPr>
                <w:rFonts w:ascii="Times New Roman" w:hAnsi="Times New Roman"/>
                <w:sz w:val="20"/>
                <w:szCs w:val="20"/>
              </w:rPr>
              <w:t>36a</w:t>
            </w:r>
          </w:p>
          <w:p w:rsidR="008847A7" w:rsidRPr="00281C98" w:rsidP="003D5CD8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O: </w:t>
            </w:r>
            <w:r w:rsidR="003D5CD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D5CD8" w:rsidRPr="000D0FB2" w:rsidP="003D5CD8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  <w:b/>
              </w:rPr>
            </w:pPr>
            <w:r w:rsidRPr="000D0FB2">
              <w:rPr>
                <w:rFonts w:ascii="Times New Roman" w:hAnsi="Times New Roman"/>
                <w:b/>
              </w:rPr>
              <w:t>(1)</w:t>
              <w:tab/>
              <w:t xml:space="preserve">Prechodný pobyt na účel zamestnania sa nevyžaduje, ak  je štátny príslušník tretej krajiny držiteľom platného dokladu o pobyte vydaného niektorým z členských štátov na účel vnútropodnikového presunu, v ktorom je v položke „druh pobytu“ uvedené „ICT“ a </w:t>
            </w:r>
          </w:p>
          <w:p w:rsidR="003D5CD8" w:rsidRPr="000D0FB2" w:rsidP="003D5CD8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  <w:b/>
              </w:rPr>
            </w:pPr>
            <w:r w:rsidRPr="000D0FB2">
              <w:rPr>
                <w:rFonts w:ascii="Times New Roman" w:hAnsi="Times New Roman"/>
                <w:b/>
              </w:rPr>
              <w:t>a)</w:t>
              <w:tab/>
              <w:t xml:space="preserve">hostiteľský subjekt so sídlom na území členského štátu oznámil ministerstvu vnútra úmysel štátneho príslušníka tretej krajiny uplatňovať mobilitu pred jeho príchodom na územie Slovenskej republiky, </w:t>
            </w:r>
          </w:p>
          <w:p w:rsidR="003D5CD8" w:rsidRPr="000D0FB2" w:rsidP="003D5CD8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  <w:b/>
              </w:rPr>
            </w:pPr>
            <w:r w:rsidRPr="000D0FB2">
              <w:rPr>
                <w:rFonts w:ascii="Times New Roman" w:hAnsi="Times New Roman"/>
                <w:b/>
              </w:rPr>
              <w:t>b)</w:t>
              <w:tab/>
              <w:t xml:space="preserve">mobilita bude vykonávaná u toho istého zamestnávateľa alebo v rámci tej istej skupiny zamestnávateľov, v ktorom má schválený vnútropodnikový presun v členskom štáte, </w:t>
            </w:r>
          </w:p>
          <w:p w:rsidR="003D5CD8" w:rsidRPr="000D0FB2" w:rsidP="003D5CD8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  <w:b/>
              </w:rPr>
            </w:pPr>
            <w:r w:rsidRPr="000D0FB2">
              <w:rPr>
                <w:rFonts w:ascii="Times New Roman" w:hAnsi="Times New Roman"/>
                <w:b/>
              </w:rPr>
              <w:t>c)</w:t>
              <w:tab/>
              <w:t>ministerstvo vnútra nevznieslo námietku podľa odseku 3 a</w:t>
            </w:r>
          </w:p>
          <w:p w:rsidR="00AF5E08" w:rsidRPr="00AF0B3B" w:rsidP="003D5CD8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</w:rPr>
            </w:pPr>
            <w:r w:rsidRPr="000D0FB2" w:rsidR="003D5CD8">
              <w:rPr>
                <w:rFonts w:ascii="Times New Roman" w:hAnsi="Times New Roman"/>
                <w:b/>
              </w:rPr>
              <w:t>d)</w:t>
              <w:tab/>
              <w:t>nepredstavuje hrozbu pre bezpečnosť štátu, verejný poriadok alebo verejné zdravie.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8847A7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F5E08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9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P="00F24C27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21</w:t>
            </w:r>
          </w:p>
          <w:p w:rsidR="00AF5E08" w:rsidP="00F24C27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F24C27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6DC">
              <w:rPr>
                <w:rFonts w:ascii="Times New Roman" w:hAnsi="Times New Roman"/>
                <w:sz w:val="20"/>
                <w:szCs w:val="20"/>
              </w:rPr>
              <w:t>1.Štátni príslušníci tretích krajín, ktorí sú držiteľmi platného povolenia zamestnanca presunutého v rámci podniku vydaného prvým členským štátom, sú oprávnení počas obdobia nepresahujúceho 90 dní v ktoromkoľvek 180-dňovom období zdržiavať sa v akomkoľvek druhom členskom štáte a pracovať v súlade s podmienkami stanovenými v tomto článku v akomkoľvek inom subjekte so sídlom v akomkoľvek druhom členskom štáte, ktorý patrí do toho istého podniku alebo tej istej skupiny podnikov.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8847A7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8847A7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D5CD8" w:rsidRPr="003D5CD8" w:rsidP="003D5CD8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5CD8">
              <w:rPr>
                <w:rFonts w:ascii="Times New Roman" w:hAnsi="Times New Roman"/>
                <w:sz w:val="20"/>
                <w:szCs w:val="20"/>
              </w:rPr>
              <w:t>§ 36a</w:t>
            </w:r>
          </w:p>
          <w:p w:rsidR="00AF5E08" w:rsidRPr="00281C98" w:rsidP="003D5CD8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5CD8" w:rsidR="003D5CD8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D5CD8" w:rsidRPr="000D0FB2" w:rsidP="003D5CD8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  <w:b/>
              </w:rPr>
            </w:pPr>
            <w:r w:rsidRPr="000D0FB2">
              <w:rPr>
                <w:rFonts w:ascii="Times New Roman" w:hAnsi="Times New Roman"/>
                <w:b/>
              </w:rPr>
              <w:t>(1)</w:t>
              <w:tab/>
              <w:t xml:space="preserve">Prechodný pobyt na účel zamestnania sa nevyžaduje, ak  je štátny príslušník tretej krajiny držiteľom platného dokladu o pobyte vydaného niektorým z členských štátov na účel vnútropodnikového presunu, v ktorom je v položke „druh pobytu“ uvedené „ICT“ a </w:t>
            </w:r>
          </w:p>
          <w:p w:rsidR="003D5CD8" w:rsidRPr="000D0FB2" w:rsidP="003D5CD8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  <w:b/>
              </w:rPr>
            </w:pPr>
            <w:r w:rsidRPr="000D0FB2">
              <w:rPr>
                <w:rFonts w:ascii="Times New Roman" w:hAnsi="Times New Roman"/>
                <w:b/>
              </w:rPr>
              <w:t>a)</w:t>
              <w:tab/>
              <w:t xml:space="preserve">hostiteľský subjekt so sídlom na území členského štátu oznámil ministerstvu vnútra úmysel štátneho príslušníka tretej krajiny uplatňovať mobilitu pred jeho príchodom na územie Slovenskej republiky, </w:t>
            </w:r>
          </w:p>
          <w:p w:rsidR="003D5CD8" w:rsidRPr="000D0FB2" w:rsidP="003D5CD8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  <w:b/>
              </w:rPr>
            </w:pPr>
            <w:r w:rsidRPr="000D0FB2">
              <w:rPr>
                <w:rFonts w:ascii="Times New Roman" w:hAnsi="Times New Roman"/>
                <w:b/>
              </w:rPr>
              <w:t>b)</w:t>
              <w:tab/>
              <w:t xml:space="preserve">mobilita bude vykonávaná u toho istého zamestnávateľa alebo v rámci tej istej skupiny zamestnávateľov, v ktorom má schválený vnútropodnikový presun v členskom štáte, </w:t>
            </w:r>
          </w:p>
          <w:p w:rsidR="003D5CD8" w:rsidRPr="000D0FB2" w:rsidP="003D5CD8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  <w:b/>
              </w:rPr>
            </w:pPr>
            <w:r w:rsidRPr="000D0FB2">
              <w:rPr>
                <w:rFonts w:ascii="Times New Roman" w:hAnsi="Times New Roman"/>
                <w:b/>
              </w:rPr>
              <w:t>c)</w:t>
              <w:tab/>
              <w:t>ministerstvo vnútra nevznieslo námietku podľa odseku 3 a</w:t>
            </w:r>
          </w:p>
          <w:p w:rsidR="00AF5E08" w:rsidRPr="000D0FB2" w:rsidP="003D5CD8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  <w:b/>
              </w:rPr>
            </w:pPr>
            <w:r w:rsidRPr="000D0FB2" w:rsidR="003D5CD8">
              <w:rPr>
                <w:rFonts w:ascii="Times New Roman" w:hAnsi="Times New Roman"/>
                <w:b/>
              </w:rPr>
              <w:t>d)</w:t>
              <w:tab/>
              <w:t>nepredstavuje hrozbu pre bezpečnosť štátu, verejný poriadok alebo verejné zdravie.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8847A7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F5E08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274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56DC" w:rsidP="002856DC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2856DC">
              <w:rPr>
                <w:rFonts w:ascii="Times New Roman" w:hAnsi="Times New Roman"/>
                <w:sz w:val="20"/>
                <w:szCs w:val="20"/>
              </w:rPr>
              <w:t>Č: 21</w:t>
            </w:r>
          </w:p>
          <w:p w:rsidR="00AF5E08" w:rsidP="002856DC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AF5E08" w:rsidP="002856DC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2856DC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2856DC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2856DC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2856DC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2856DC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AF5E08" w:rsidP="002856DC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2856DC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2856DC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b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6DC">
              <w:rPr>
                <w:rFonts w:ascii="Times New Roman" w:hAnsi="Times New Roman"/>
                <w:sz w:val="20"/>
                <w:szCs w:val="20"/>
              </w:rPr>
              <w:t>2.Druhý členský štát môže požiadať hostiteľský subjekt v prvom členskom štáte, aby prvému členskému štátu a druhému členskému štátu oznámil zámer zamestnanca presunutého v rámci podniku zamestnať sa v subjekte so sídlom v druhom členskom štáte.</w:t>
            </w:r>
          </w:p>
          <w:p w:rsidR="00AF5E08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6DC">
              <w:rPr>
                <w:rFonts w:ascii="Times New Roman" w:hAnsi="Times New Roman"/>
                <w:sz w:val="20"/>
                <w:szCs w:val="20"/>
              </w:rPr>
              <w:t xml:space="preserve">V takýchto prípadoch umožní druhý členský štát vykonať oznámenie buď: </w:t>
            </w:r>
          </w:p>
          <w:p w:rsidR="00AF5E08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6DC">
              <w:rPr>
                <w:rFonts w:ascii="Times New Roman" w:hAnsi="Times New Roman"/>
                <w:sz w:val="20"/>
                <w:szCs w:val="20"/>
              </w:rPr>
              <w:t xml:space="preserve">a) v čase podania žiadosti v prvom členskom štáte, ak sa mobilita do druhého členského štátu predpokladá už v tomto štádiu, alebo </w:t>
            </w:r>
          </w:p>
          <w:p w:rsidR="00AF5E08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6DC">
              <w:rPr>
                <w:rFonts w:ascii="Times New Roman" w:hAnsi="Times New Roman"/>
                <w:sz w:val="20"/>
                <w:szCs w:val="20"/>
              </w:rPr>
              <w:t>b) po tom, ako bol zamestnanec presunutý v rámci podniku prijatý do prvého členského štátu, a to bezprostredne po tom, keď vznikne vedomosť o plánovanej mobilite do druhého členského štátu.</w:t>
            </w:r>
          </w:p>
          <w:p w:rsidR="00AF5E08" w:rsidRPr="002856DC" w:rsidP="002856DC">
            <w:pPr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8847A7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7833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7833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ED7833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7A7" w:rsidR="008847A7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D5CD8" w:rsidRPr="003D5CD8" w:rsidP="003D5CD8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5CD8">
              <w:rPr>
                <w:rFonts w:ascii="Times New Roman" w:hAnsi="Times New Roman"/>
                <w:sz w:val="20"/>
                <w:szCs w:val="20"/>
              </w:rPr>
              <w:t>§ 36a</w:t>
            </w:r>
          </w:p>
          <w:p w:rsidR="00C56594" w:rsidP="003D5CD8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5CD8" w:rsidR="003D5CD8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C56594" w:rsidP="008847A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6594" w:rsidP="008847A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5CD8" w:rsidP="008847A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847A7" w:rsidP="008847A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07709A"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8847A7" w:rsidP="008847A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847A7" w:rsidP="008847A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D5CD8" w:rsidP="008847A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6594" w:rsidP="008847A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847A7" w:rsidP="008847A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115</w:t>
            </w:r>
          </w:p>
          <w:p w:rsidR="008847A7" w:rsidP="008847A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O: </w:t>
            </w:r>
            <w:r w:rsidR="00ED7833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ED7833" w:rsidP="008847A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6594" w:rsidP="008847A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260CA4"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C56594" w:rsidP="008847A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6594" w:rsidP="008847A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56594" w:rsidRPr="00281C98" w:rsidP="008847A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260CA4">
              <w:rPr>
                <w:rFonts w:ascii="Times New Roman" w:hAnsi="Times New Roman"/>
                <w:sz w:val="20"/>
                <w:szCs w:val="20"/>
              </w:rPr>
              <w:t>P: b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3D5CD8" w:rsidRPr="000D0FB2" w:rsidP="003D5CD8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  <w:b/>
              </w:rPr>
            </w:pPr>
            <w:r w:rsidRPr="000D0FB2">
              <w:rPr>
                <w:rFonts w:ascii="Times New Roman" w:hAnsi="Times New Roman"/>
                <w:b/>
              </w:rPr>
              <w:t>(1)</w:t>
              <w:tab/>
              <w:t xml:space="preserve">Prechodný pobyt na účel zamestnania sa nevyžaduje, ak  je štátny príslušník tretej krajiny držiteľom platného dokladu o pobyte vydaného niektorým z členských štátov na účel vnútropodnikového presunu, v ktorom je v položke „druh pobytu“ uvedené „ICT“ a </w:t>
            </w:r>
          </w:p>
          <w:p w:rsidR="00B25667" w:rsidRPr="000D0FB2" w:rsidP="003D5CD8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  <w:b/>
              </w:rPr>
            </w:pPr>
            <w:r w:rsidRPr="000D0FB2" w:rsidR="003D5CD8">
              <w:rPr>
                <w:rFonts w:ascii="Times New Roman" w:hAnsi="Times New Roman"/>
                <w:b/>
              </w:rPr>
              <w:t>a)</w:t>
              <w:tab/>
              <w:t xml:space="preserve">hostiteľský subjekt so sídlom na území členského štátu oznámil ministerstvu vnútra úmysel štátneho príslušníka tretej krajiny uplatňovať mobilitu pred jeho príchodom na územie Slovenskej republiky, </w:t>
            </w:r>
          </w:p>
          <w:p w:rsidR="003D5CD8" w:rsidP="003D5CD8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</w:rPr>
            </w:pPr>
          </w:p>
          <w:p w:rsidR="00ED7833" w:rsidP="00ED7833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(12) Hostiteľský subjekt so sídlom na území Slovenskej republiky je povinný do troch pracovných dní písomne oznámiť policajnému útvaru</w:t>
            </w:r>
          </w:p>
          <w:p w:rsidR="00ED7833" w:rsidP="00ED7833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úmysel štátneho príslušníka tretej krajiny uplatňovať mobilitu, ak ide o štátneho príslušníka tretej krajiny, ktorý má udelený prechodný pobyt podľa § 23 ods. 5,</w:t>
            </w:r>
          </w:p>
          <w:p w:rsidR="00C56594" w:rsidRPr="00AF0B3B" w:rsidP="00260CA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="00ED7833">
              <w:rPr>
                <w:rFonts w:ascii="Times New Roman" w:hAnsi="Times New Roman"/>
              </w:rPr>
              <w:t xml:space="preserve">b) zmeny, ktoré majú vplyv na vykonávanie mobility na území Slovenskej republiky, najmä zmeny v skutočnostiach uvedených v </w:t>
            </w:r>
            <w:r w:rsidRPr="000D0FB2" w:rsidR="00ED7833">
              <w:rPr>
                <w:rFonts w:ascii="Times New Roman" w:hAnsi="Times New Roman"/>
                <w:b/>
              </w:rPr>
              <w:t xml:space="preserve">§ </w:t>
            </w:r>
            <w:r w:rsidRPr="000D0FB2" w:rsidR="00260CA4">
              <w:rPr>
                <w:rFonts w:ascii="Times New Roman" w:hAnsi="Times New Roman"/>
                <w:b/>
              </w:rPr>
              <w:t>36a</w:t>
            </w:r>
            <w:r w:rsidRPr="000D0FB2" w:rsidR="00ED7833">
              <w:rPr>
                <w:rFonts w:ascii="Times New Roman" w:hAnsi="Times New Roman"/>
                <w:b/>
              </w:rPr>
              <w:t xml:space="preserve"> </w:t>
            </w:r>
            <w:r w:rsidRPr="000D0FB2" w:rsidR="00260CA4">
              <w:rPr>
                <w:rFonts w:ascii="Times New Roman" w:hAnsi="Times New Roman"/>
                <w:b/>
              </w:rPr>
              <w:t>alebo § 36d.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8847A7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F5E08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9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Č: 21</w:t>
            </w: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3</w:t>
            </w:r>
          </w:p>
          <w:p w:rsidR="00AF5E08" w:rsidRPr="002856DC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4024FA" w:rsidP="004024FA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 xml:space="preserve">3.Druhý členský štát môže požadovať, aby sa spolu s oznámením zaslali aj nasledujúce doklady a informácie: </w:t>
            </w:r>
          </w:p>
          <w:p w:rsidR="00AF5E08" w:rsidRPr="002856DC" w:rsidP="004024FA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a) dôkaz, že hostiteľský subjekt v druhom členskom štáte a podnik so sídlom v tretej krajine patria k tomu istému podniku alebo k tej istej skupine podnikov;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DC094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AFC" w:rsidR="00785AFC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7833" w:rsidRPr="003D5CD8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5CD8">
              <w:rPr>
                <w:rFonts w:ascii="Times New Roman" w:hAnsi="Times New Roman"/>
                <w:sz w:val="20"/>
                <w:szCs w:val="20"/>
              </w:rPr>
              <w:t>§ 36a</w:t>
            </w:r>
          </w:p>
          <w:p w:rsidR="00ED7833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5CD8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ED7833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7833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7833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7833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ED7833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7833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7833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7833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D7833" w:rsidRPr="00ED7833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7833">
              <w:rPr>
                <w:rFonts w:ascii="Times New Roman" w:hAnsi="Times New Roman"/>
                <w:sz w:val="20"/>
                <w:szCs w:val="20"/>
              </w:rPr>
              <w:t>§ 36a</w:t>
            </w:r>
          </w:p>
          <w:p w:rsidR="00785AFC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ED7833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785AFC" w:rsidRPr="00281C98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7833" w:rsidRPr="000D0FB2" w:rsidP="00ED7833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  <w:b/>
              </w:rPr>
            </w:pPr>
            <w:r w:rsidR="000D0FB2">
              <w:rPr>
                <w:rFonts w:ascii="Times New Roman" w:hAnsi="Times New Roman"/>
                <w:b/>
              </w:rPr>
              <w:t>(</w:t>
            </w:r>
            <w:r w:rsidRPr="000D0FB2">
              <w:rPr>
                <w:rFonts w:ascii="Times New Roman" w:hAnsi="Times New Roman"/>
                <w:b/>
              </w:rPr>
              <w:t>1)</w:t>
              <w:tab/>
              <w:t xml:space="preserve">Prechodný pobyt na účel zamestnania sa nevyžaduje, ak  je štátny príslušník tretej krajiny držiteľom platného dokladu o pobyte vydaného niektorým z členských štátov na účel vnútropodnikového presunu, v ktorom je v položke „druh pobytu“ uvedené „ICT“ a </w:t>
            </w:r>
          </w:p>
          <w:p w:rsidR="00ED7833" w:rsidRPr="000D0FB2" w:rsidP="00ED7833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  <w:b/>
              </w:rPr>
            </w:pPr>
            <w:r w:rsidRPr="000D0FB2">
              <w:rPr>
                <w:rFonts w:ascii="Times New Roman" w:hAnsi="Times New Roman"/>
                <w:b/>
              </w:rPr>
              <w:t>a)</w:t>
              <w:tab/>
              <w:t>hostiteľský subjekt so sídlom na území členského štátu oznámil ministerstvu vnútra úmysel štátneho príslušníka tretej krajiny uplatňovať mobilitu pred jeho príchodom na územie Slovenskej republiky,</w:t>
            </w:r>
          </w:p>
          <w:p w:rsidR="00ED7833" w:rsidP="00785AFC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ED7833" w:rsidRPr="0096578B" w:rsidP="00ED7833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(2)</w:t>
            </w:r>
            <w:r w:rsidRPr="0096578B">
              <w:rPr>
                <w:rFonts w:ascii="Times New Roman" w:hAnsi="Times New Roman"/>
                <w:b/>
              </w:rPr>
              <w:tab/>
              <w:t>Spolu s oznámením podľa odseku 1 písm. a) zašle hostiteľský subjekt so sídlom na území členského štátu</w:t>
            </w:r>
          </w:p>
          <w:p w:rsidR="00AF5E08" w:rsidRPr="00AF0B3B" w:rsidP="00ED7833">
            <w:pPr>
              <w:pStyle w:val="Normlny"/>
              <w:bidi w:val="0"/>
              <w:snapToGrid w:val="0"/>
              <w:ind w:left="241" w:hanging="241"/>
              <w:jc w:val="both"/>
              <w:rPr>
                <w:rFonts w:ascii="Times New Roman" w:hAnsi="Times New Roman"/>
              </w:rPr>
            </w:pPr>
            <w:r w:rsidRPr="0096578B" w:rsidR="00ED7833">
              <w:rPr>
                <w:rFonts w:ascii="Times New Roman" w:hAnsi="Times New Roman"/>
                <w:b/>
              </w:rPr>
              <w:t>a)</w:t>
              <w:tab/>
              <w:t>doklad o tom, že hostiteľský subjekt so sídlom na území členského štátu a zamestnávateľ v tretej krajine patria k tomu istému zamestnávateľovi alebo k tej istej skupine zamestnávateľov,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85AFC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F5E08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9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Č: 21</w:t>
            </w:r>
          </w:p>
          <w:p w:rsidR="00AF5E08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O: 3</w:t>
            </w: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c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F24C27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6DC">
              <w:rPr>
                <w:rFonts w:ascii="Times New Roman" w:hAnsi="Times New Roman"/>
                <w:sz w:val="20"/>
                <w:szCs w:val="20"/>
              </w:rPr>
              <w:t>c) podľa potreby doklad potvrdzujúci, že zamestnanec presunutý v rámci podniku spĺňa podmienky stanovené vo vnútroštátnom práve dotknutého členského štátu pre občanov Únie na vykonávanie regulovaného povolania, ktorého sa týka jeho žiadosť;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DC094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AFC" w:rsidR="00785AFC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7833" w:rsidRPr="00ED7833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7833">
              <w:rPr>
                <w:rFonts w:ascii="Times New Roman" w:hAnsi="Times New Roman"/>
                <w:sz w:val="20"/>
                <w:szCs w:val="20"/>
              </w:rPr>
              <w:t>§ 36a</w:t>
            </w:r>
          </w:p>
          <w:p w:rsidR="00ED7833" w:rsidRPr="00ED7833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7833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AF5E08" w:rsidRPr="00281C98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ED7833">
              <w:rPr>
                <w:rFonts w:ascii="Times New Roman" w:hAnsi="Times New Roman"/>
                <w:sz w:val="20"/>
                <w:szCs w:val="20"/>
              </w:rPr>
              <w:t>P: b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7833" w:rsidRPr="004E77DB" w:rsidP="004E7A1F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4E77DB">
              <w:rPr>
                <w:rFonts w:ascii="Times New Roman" w:hAnsi="Times New Roman"/>
                <w:b/>
              </w:rPr>
              <w:t>(2) Spolu s oznámením podľa odseku 1 písm. a) zašle hostiteľský subjekt so sídlom na území členského štátu</w:t>
            </w:r>
          </w:p>
          <w:p w:rsidR="00AF5E08" w:rsidRPr="00AF0B3B" w:rsidP="004E7A1F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4E77DB" w:rsidR="00ED7833">
              <w:rPr>
                <w:rFonts w:ascii="Times New Roman" w:hAnsi="Times New Roman"/>
                <w:b/>
              </w:rPr>
              <w:t>b) doklad o tom, že štátny príslušník tretej krajiny spĺňa podmienky na výkon regulovaného povolania, ak v rámci mobility bude vykonávať regulované povolanie,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85AFC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F5E08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9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Č: 21</w:t>
            </w:r>
          </w:p>
          <w:p w:rsidR="00AF5E08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O: 3</w:t>
            </w: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d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F24C27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6DC">
              <w:rPr>
                <w:rFonts w:ascii="Times New Roman" w:hAnsi="Times New Roman"/>
                <w:sz w:val="20"/>
                <w:szCs w:val="20"/>
              </w:rPr>
              <w:t>d) platný cestovný doklad podľa článku 5 ods. 1 písm. f) 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DC094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ED7833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AFC" w:rsidR="00785AFC">
              <w:rPr>
                <w:rFonts w:ascii="Times New Roman" w:hAnsi="Times New Roman"/>
                <w:sz w:val="20"/>
                <w:szCs w:val="20"/>
              </w:rPr>
              <w:t>návrh zá</w:t>
            </w:r>
            <w:r w:rsidR="00ED7833">
              <w:rPr>
                <w:rFonts w:ascii="Times New Roman" w:hAnsi="Times New Roman"/>
                <w:sz w:val="20"/>
                <w:szCs w:val="20"/>
              </w:rPr>
              <w:t>k</w:t>
            </w:r>
            <w:r w:rsidRPr="00785AFC" w:rsidR="00785AFC">
              <w:rPr>
                <w:rFonts w:ascii="Times New Roman" w:hAnsi="Times New Roman"/>
                <w:sz w:val="20"/>
                <w:szCs w:val="20"/>
              </w:rPr>
              <w:t>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7833" w:rsidRPr="00ED7833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7833">
              <w:rPr>
                <w:rFonts w:ascii="Times New Roman" w:hAnsi="Times New Roman"/>
                <w:sz w:val="20"/>
                <w:szCs w:val="20"/>
              </w:rPr>
              <w:t>§ 36a</w:t>
            </w:r>
          </w:p>
          <w:p w:rsidR="00ED7833" w:rsidRPr="00ED7833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7833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AF5E08" w:rsidRPr="00281C98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7833" w:rsidR="00ED7833">
              <w:rPr>
                <w:rFonts w:ascii="Times New Roman" w:hAnsi="Times New Roman"/>
                <w:sz w:val="20"/>
                <w:szCs w:val="20"/>
              </w:rPr>
              <w:t xml:space="preserve">P: </w:t>
            </w:r>
            <w:r w:rsidR="00ED7833">
              <w:rPr>
                <w:rFonts w:ascii="Times New Roman" w:hAnsi="Times New Roman"/>
                <w:sz w:val="20"/>
                <w:szCs w:val="20"/>
              </w:rPr>
              <w:t>c</w:t>
            </w:r>
            <w:r w:rsidRPr="00ED7833" w:rsidR="00ED783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7833" w:rsidRPr="004E77DB" w:rsidP="00ED7833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4E77DB">
              <w:rPr>
                <w:rFonts w:ascii="Times New Roman" w:hAnsi="Times New Roman"/>
                <w:b/>
              </w:rPr>
              <w:t>(2) Spolu s oznámením podľa odseku 1 písm. a) zašle hostiteľský subjekt so sídlom na území členského štátu</w:t>
            </w:r>
          </w:p>
          <w:p w:rsidR="00AF5E08" w:rsidRPr="00AF0B3B" w:rsidP="00ED7833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4E77DB" w:rsidR="00ED7833">
              <w:rPr>
                <w:rFonts w:ascii="Times New Roman" w:hAnsi="Times New Roman"/>
                <w:b/>
              </w:rPr>
              <w:t>c) platný cestovný doklad</w:t>
            </w:r>
            <w:r w:rsidR="00ED783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85AFC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F5E08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9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Č: 21</w:t>
            </w:r>
          </w:p>
          <w:p w:rsidR="00AF5E08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O: 3</w:t>
            </w: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F24C27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856DC">
              <w:rPr>
                <w:rFonts w:ascii="Times New Roman" w:hAnsi="Times New Roman"/>
                <w:sz w:val="20"/>
                <w:szCs w:val="20"/>
              </w:rPr>
              <w:t>e) plánované trvanie a dátumy mobility, ak sa neuvádzajú v žiadnom z predchádzajúcich dokladov.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DC0942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5AFC" w:rsidR="00785AFC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7833" w:rsidRPr="00ED7833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7833">
              <w:rPr>
                <w:rFonts w:ascii="Times New Roman" w:hAnsi="Times New Roman"/>
                <w:sz w:val="20"/>
                <w:szCs w:val="20"/>
              </w:rPr>
              <w:t>§ 36a</w:t>
            </w:r>
          </w:p>
          <w:p w:rsidR="00ED7833" w:rsidRPr="00ED7833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D7833">
              <w:rPr>
                <w:rFonts w:ascii="Times New Roman" w:hAnsi="Times New Roman"/>
                <w:sz w:val="20"/>
                <w:szCs w:val="20"/>
              </w:rPr>
              <w:t>O: 2</w:t>
            </w:r>
          </w:p>
          <w:p w:rsidR="00AF5E08" w:rsidRPr="00281C98" w:rsidP="00ED7833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ED7833">
              <w:rPr>
                <w:rFonts w:ascii="Times New Roman" w:hAnsi="Times New Roman"/>
                <w:sz w:val="20"/>
                <w:szCs w:val="20"/>
              </w:rPr>
              <w:t>P: 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D7833" w:rsidRPr="004E77DB" w:rsidP="00ED7833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4E77DB">
              <w:rPr>
                <w:rFonts w:ascii="Times New Roman" w:hAnsi="Times New Roman"/>
                <w:b/>
              </w:rPr>
              <w:t>(2) Spolu s oznámením podľa odseku 1 písm. a) zašle hostiteľský subjekt so sídlom na území členského štátu</w:t>
            </w:r>
          </w:p>
          <w:p w:rsidR="00AF5E08" w:rsidRPr="00AF0B3B" w:rsidP="004E7A1F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4E77DB" w:rsidR="00ED7833">
              <w:rPr>
                <w:rFonts w:ascii="Times New Roman" w:hAnsi="Times New Roman"/>
                <w:b/>
              </w:rPr>
              <w:t>d) informáciu o dátume začiatku a ukončenia mobility.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785AFC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F5E08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9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Č: 21</w:t>
            </w: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5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F24C27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5.Ak sa oznámenie vykonalo v súlade s odsekom 2 písm. b), mobilita sa môže začať po zaslaní oznámenia druhému členskému štátu okamžite alebo kedykoľvek po ňom v rámci obdobia platnosti povolenia zamestnanca presunutého v rámci podniku.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A41" w:rsidR="009C3A41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87E79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187E79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0C672E">
              <w:rPr>
                <w:rFonts w:ascii="Times New Roman" w:hAnsi="Times New Roman"/>
                <w:sz w:val="20"/>
                <w:szCs w:val="20"/>
              </w:rPr>
              <w:t>36a</w:t>
            </w:r>
          </w:p>
          <w:p w:rsidR="00187E79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0C672E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187E79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E79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E79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E79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E79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E79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E79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E79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E79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E79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672E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E79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33D8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33D8" w:rsidP="00BB33D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E79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E79" w:rsidP="004E7A1F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7E79" w:rsidRPr="00281C98" w:rsidP="00BB33D8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0C672E">
              <w:rPr>
                <w:rFonts w:ascii="Times New Roman" w:hAnsi="Times New Roman"/>
                <w:sz w:val="20"/>
                <w:szCs w:val="20"/>
              </w:rPr>
              <w:t>O: 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C672E" w:rsidRPr="004E77DB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4E77DB">
              <w:rPr>
                <w:rFonts w:ascii="Times New Roman" w:hAnsi="Times New Roman"/>
                <w:b/>
              </w:rPr>
              <w:t xml:space="preserve">(1) Prechodný pobyt na účel zamestnania sa nevyžaduje, ak  je štátny príslušník tretej krajiny držiteľom platného dokladu o pobyte vydaného niektorým z členských štátov na účel vnútropodnikového presunu, v ktorom je v položke „druh pobytu“ uvedené „ICT“ a </w:t>
            </w:r>
          </w:p>
          <w:p w:rsidR="000C672E" w:rsidRPr="004E77DB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4E77DB">
              <w:rPr>
                <w:rFonts w:ascii="Times New Roman" w:hAnsi="Times New Roman"/>
                <w:b/>
              </w:rPr>
              <w:t xml:space="preserve">a) hostiteľský subjekt so sídlom na území členského štátu oznámil ministerstvu vnútra úmysel štátneho príslušníka tretej krajiny uplatňovať mobilitu pred jeho príchodom na územie Slovenskej republiky, </w:t>
            </w:r>
          </w:p>
          <w:p w:rsidR="000C672E" w:rsidRPr="004E77DB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4E77DB">
              <w:rPr>
                <w:rFonts w:ascii="Times New Roman" w:hAnsi="Times New Roman"/>
                <w:b/>
              </w:rPr>
              <w:t xml:space="preserve">b) mobilita bude vykonávaná u toho istého zamestnávateľa alebo v rámci tej istej skupiny zamestnávateľov, v ktorom má schválený vnútropodnikový presun v členskom štáte, </w:t>
            </w:r>
          </w:p>
          <w:p w:rsidR="000C672E" w:rsidRPr="004E77DB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4E77DB">
              <w:rPr>
                <w:rFonts w:ascii="Times New Roman" w:hAnsi="Times New Roman"/>
                <w:b/>
              </w:rPr>
              <w:t>c) ministerstvo vnútra nevznieslo námietku podľa odseku 3 a</w:t>
            </w:r>
          </w:p>
          <w:p w:rsidR="00187E79" w:rsidRPr="004E77DB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4E77DB" w:rsidR="000C672E">
              <w:rPr>
                <w:rFonts w:ascii="Times New Roman" w:hAnsi="Times New Roman"/>
                <w:b/>
              </w:rPr>
              <w:t>d) nepredstavuje hrozbu pre bezpečnosť štátu, verejný poriadok alebo verejné zdravie.</w:t>
            </w:r>
          </w:p>
          <w:p w:rsidR="000C672E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0C672E" w:rsidRPr="00BB33D8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BB33D8">
              <w:rPr>
                <w:rFonts w:ascii="Times New Roman" w:hAnsi="Times New Roman"/>
                <w:b/>
              </w:rPr>
              <w:t>(3) Ministerstvo vnútra môže v lehote 20 dní od doručenia oznámenia podľa odseku 1 písm. a) vzniesť námietku voči uplatňovaniu mobility štátneho príslušníka tretej krajiny, ak zistí, že</w:t>
            </w:r>
          </w:p>
          <w:p w:rsidR="000C672E" w:rsidRPr="00BB33D8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BB33D8">
              <w:rPr>
                <w:rFonts w:ascii="Times New Roman" w:hAnsi="Times New Roman"/>
                <w:b/>
              </w:rPr>
              <w:t>a) štátny príslušník tretej krajiny nie je držiteľom platného dokladu o pobyte podľa odseku 1,</w:t>
            </w:r>
          </w:p>
          <w:p w:rsidR="000C672E" w:rsidRPr="00BB33D8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BB33D8">
              <w:rPr>
                <w:rFonts w:ascii="Times New Roman" w:hAnsi="Times New Roman"/>
                <w:b/>
              </w:rPr>
              <w:t>b) nie je splnená podmienka podľa odseku 1 písm. a) alebo písm. d),</w:t>
            </w:r>
          </w:p>
          <w:p w:rsidR="000C672E" w:rsidRPr="00BB33D8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BB33D8">
              <w:rPr>
                <w:rFonts w:ascii="Times New Roman" w:hAnsi="Times New Roman"/>
                <w:b/>
              </w:rPr>
              <w:t>c) hostiteľský subjekt so sídlom na území členského štátu a zamestnávateľ v tretej krajine nepatria k tomu istému zamestnávateľovi alebo k tej iste skupine zamestnávateľov,</w:t>
            </w:r>
          </w:p>
          <w:p w:rsidR="000C672E" w:rsidRPr="00BB33D8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BB33D8">
              <w:rPr>
                <w:rFonts w:ascii="Times New Roman" w:hAnsi="Times New Roman"/>
                <w:b/>
              </w:rPr>
              <w:t>d) štátny príslušník tretej krajiny nespĺňa podmienky na výkon regulovaného povolania, ak v rámci mobility bude vykonávať regulované povolanie,</w:t>
            </w:r>
          </w:p>
          <w:p w:rsidR="000C672E" w:rsidRPr="00BB33D8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BB33D8">
              <w:rPr>
                <w:rFonts w:ascii="Times New Roman" w:hAnsi="Times New Roman"/>
                <w:b/>
              </w:rPr>
              <w:t>e) doklady podľa odseku 2 sú falošné, pozmenené alebo boli získané podvodným spôsobom,</w:t>
            </w:r>
          </w:p>
          <w:p w:rsidR="000C672E" w:rsidRPr="00BB33D8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BB33D8">
              <w:rPr>
                <w:rFonts w:ascii="Times New Roman" w:hAnsi="Times New Roman"/>
                <w:b/>
              </w:rPr>
              <w:t>f) štátny príslušník tretej krajiny nemá platný cestovný doklad, alebo</w:t>
            </w:r>
          </w:p>
          <w:p w:rsidR="00187E79" w:rsidRPr="00AF0B3B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BB33D8" w:rsidR="000C672E">
              <w:rPr>
                <w:rFonts w:ascii="Times New Roman" w:hAnsi="Times New Roman"/>
                <w:b/>
              </w:rPr>
              <w:t>g) štátny príslušník tretej krajiny už vyčerpal maximálnu dĺžku vnútropodnikového presunu podľa § 23 ods. 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F2587E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F5E08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276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85AFC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Č: 21</w:t>
            </w:r>
          </w:p>
          <w:p w:rsidR="00785AFC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6</w:t>
            </w:r>
          </w:p>
          <w:p w:rsidR="00785AFC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85AFC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85AFC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785AFC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85AFC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85AFC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b</w:t>
            </w:r>
          </w:p>
          <w:p w:rsidR="00785AFC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85AFC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c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85AFC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 xml:space="preserve">6.Na základe oznámenia uvedeného v odseku 2 môže druhý členský štát v lehote 20 dní od obdržania oznámenia vzniesť námietku voči mobilite zamestnanca presunutého v rámci podniku na jeho územie, ak: </w:t>
            </w:r>
          </w:p>
          <w:p w:rsidR="00785AFC" w:rsidRPr="00F24C27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a) neboli splnené podmienky stanovené v článku 5 ods. 4 písm. b) alebo v tomto článku v ods. 3 písm. a), c) alebo d);</w:t>
            </w:r>
          </w:p>
          <w:p w:rsidR="00785AFC" w:rsidRPr="00F24C27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942">
              <w:rPr>
                <w:rFonts w:ascii="Times New Roman" w:hAnsi="Times New Roman"/>
                <w:sz w:val="20"/>
                <w:szCs w:val="20"/>
              </w:rPr>
              <w:t>b)predložené doklady sa nadobudli podvodným spôsobom, alebo boli sfalšované alebo sa do nich neoprávnene zasahovalo;</w:t>
            </w:r>
          </w:p>
          <w:p w:rsidR="00785AFC" w:rsidRPr="00F24C27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c) dosiahla sa maximálna dĺžka pobytu vymedzená v článku 12 ods. 1 alebo v ods. 1 tohto článku.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85AFC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85AFC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0C672E" w:rsidRPr="000C672E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2E">
              <w:rPr>
                <w:rFonts w:ascii="Times New Roman" w:hAnsi="Times New Roman"/>
                <w:sz w:val="20"/>
                <w:szCs w:val="20"/>
              </w:rPr>
              <w:t>§ 36a</w:t>
            </w:r>
          </w:p>
          <w:p w:rsidR="00B25667" w:rsidRPr="00281C98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0C672E">
              <w:rPr>
                <w:rFonts w:ascii="Times New Roman" w:hAnsi="Times New Roman"/>
                <w:sz w:val="20"/>
                <w:szCs w:val="20"/>
              </w:rPr>
              <w:t>O: 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84453" w:rsidRPr="00B14CAD" w:rsidP="00684453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CAD">
              <w:rPr>
                <w:rFonts w:ascii="Times New Roman" w:hAnsi="Times New Roman"/>
                <w:b/>
                <w:sz w:val="20"/>
                <w:szCs w:val="20"/>
              </w:rPr>
              <w:t>(3)</w:t>
              <w:tab/>
              <w:t>Ministerstvo vnútra môže v lehote 20 dní od doručenia oznámenia podľa odseku 1 písm. a) vzniesť námietku voči uplatňovaniu mobility štátneho príslušníka tretej krajiny, ak zistí, že</w:t>
            </w:r>
          </w:p>
          <w:p w:rsidR="00684453" w:rsidRPr="00B14CAD" w:rsidP="00684453">
            <w:pPr>
              <w:numPr>
                <w:numId w:val="23"/>
              </w:numPr>
              <w:suppressAutoHyphens w:val="0"/>
              <w:autoSpaceDE/>
              <w:bidi w:val="0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CAD">
              <w:rPr>
                <w:rFonts w:ascii="Times New Roman" w:hAnsi="Times New Roman"/>
                <w:b/>
                <w:sz w:val="20"/>
                <w:szCs w:val="20"/>
              </w:rPr>
              <w:t>štátny príslušník tretej krajiny nie je držiteľom platného dokladu o pobyte podľa odseku 1,</w:t>
            </w:r>
          </w:p>
          <w:p w:rsidR="00684453" w:rsidRPr="00B14CAD" w:rsidP="00684453">
            <w:pPr>
              <w:numPr>
                <w:numId w:val="23"/>
              </w:numPr>
              <w:suppressAutoHyphens w:val="0"/>
              <w:autoSpaceDE/>
              <w:bidi w:val="0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CAD">
              <w:rPr>
                <w:rFonts w:ascii="Times New Roman" w:hAnsi="Times New Roman"/>
                <w:b/>
                <w:sz w:val="20"/>
                <w:szCs w:val="20"/>
              </w:rPr>
              <w:t>nie je splnená podmienka podľa odseku 1 písm. a) alebo písm. d),</w:t>
            </w:r>
          </w:p>
          <w:p w:rsidR="00684453" w:rsidRPr="00B14CAD" w:rsidP="00684453">
            <w:pPr>
              <w:numPr>
                <w:numId w:val="23"/>
              </w:numPr>
              <w:suppressAutoHyphens w:val="0"/>
              <w:autoSpaceDE/>
              <w:bidi w:val="0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CAD">
              <w:rPr>
                <w:rFonts w:ascii="Times New Roman" w:hAnsi="Times New Roman"/>
                <w:b/>
                <w:sz w:val="20"/>
                <w:szCs w:val="20"/>
              </w:rPr>
              <w:t>hostiteľský subjekt so sídlom na území členského štátu a zamestnávateľ v tretej krajine nepatria k tomu istému zamestnávateľovi alebo k tej iste skupine zamestnávateľov,</w:t>
            </w:r>
          </w:p>
          <w:p w:rsidR="00684453" w:rsidRPr="00B14CAD" w:rsidP="00684453">
            <w:pPr>
              <w:numPr>
                <w:numId w:val="23"/>
              </w:numPr>
              <w:suppressAutoHyphens w:val="0"/>
              <w:autoSpaceDE/>
              <w:bidi w:val="0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CAD">
              <w:rPr>
                <w:rFonts w:ascii="Times New Roman" w:hAnsi="Times New Roman"/>
                <w:b/>
                <w:sz w:val="20"/>
                <w:szCs w:val="20"/>
              </w:rPr>
              <w:t>štátny príslušník tretej krajiny nespĺňa podmienky na výkon regulovaného povolania, ak v rámci mobility bude vykonávať regulované povolanie,</w:t>
            </w:r>
          </w:p>
          <w:p w:rsidR="00684453" w:rsidRPr="00B14CAD" w:rsidP="00684453">
            <w:pPr>
              <w:numPr>
                <w:numId w:val="23"/>
              </w:numPr>
              <w:suppressAutoHyphens w:val="0"/>
              <w:autoSpaceDE/>
              <w:bidi w:val="0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CAD">
              <w:rPr>
                <w:rFonts w:ascii="Times New Roman" w:hAnsi="Times New Roman"/>
                <w:b/>
                <w:sz w:val="20"/>
                <w:szCs w:val="20"/>
              </w:rPr>
              <w:t>doklady podľa odseku 2 sú falošné, pozmenené alebo boli získané podvodným spôsobom,</w:t>
            </w:r>
          </w:p>
          <w:p w:rsidR="00684453" w:rsidRPr="00B14CAD" w:rsidP="00684453">
            <w:pPr>
              <w:numPr>
                <w:numId w:val="23"/>
              </w:numPr>
              <w:suppressAutoHyphens w:val="0"/>
              <w:autoSpaceDE/>
              <w:bidi w:val="0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14CAD">
              <w:rPr>
                <w:rFonts w:ascii="Times New Roman" w:hAnsi="Times New Roman"/>
                <w:b/>
                <w:sz w:val="20"/>
                <w:szCs w:val="20"/>
              </w:rPr>
              <w:t>štátny príslušník tretej krajiny nemá platný cestovný doklad, alebo</w:t>
            </w:r>
          </w:p>
          <w:p w:rsidR="00785AFC" w:rsidRPr="00AF0B3B" w:rsidP="00B14CAD">
            <w:pPr>
              <w:numPr>
                <w:numId w:val="23"/>
              </w:numPr>
              <w:suppressAutoHyphens w:val="0"/>
              <w:autoSpaceDE/>
              <w:bidi w:val="0"/>
              <w:ind w:left="0" w:firstLine="0"/>
              <w:jc w:val="both"/>
              <w:rPr>
                <w:rFonts w:ascii="Times New Roman" w:hAnsi="Times New Roman"/>
              </w:rPr>
            </w:pPr>
            <w:r w:rsidRPr="00B14CAD" w:rsidR="00684453">
              <w:rPr>
                <w:rFonts w:ascii="Times New Roman" w:hAnsi="Times New Roman"/>
                <w:b/>
                <w:sz w:val="20"/>
                <w:szCs w:val="20"/>
              </w:rPr>
              <w:t>štátny príslušník tretej krajiny vyčerpal maximálnu dĺžku vnútropodnikového presunu podľa § 23 ods. 5.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785AFC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82B6B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textDirection w:val="lrTb"/>
            <w:vAlign w:val="top"/>
          </w:tcPr>
          <w:p w:rsidR="00785AFC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9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P="00F24C27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F24C27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Príslušné orgány druhého členského štátu bezodkladne informujú o námietkach voči mobilite príslušné orgány prvého členského štátu a hostiteľský subjekt v prvom členskom štáte.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25667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667" w:rsidR="00B25667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C672E" w:rsidRPr="000C672E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2E">
              <w:rPr>
                <w:rFonts w:ascii="Times New Roman" w:hAnsi="Times New Roman"/>
                <w:sz w:val="20"/>
                <w:szCs w:val="20"/>
              </w:rPr>
              <w:t>§ 36a</w:t>
            </w:r>
          </w:p>
          <w:p w:rsidR="00B25667" w:rsidRPr="00281C98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0C672E">
              <w:rPr>
                <w:rFonts w:ascii="Times New Roman" w:hAnsi="Times New Roman"/>
                <w:sz w:val="20"/>
                <w:szCs w:val="20"/>
              </w:rPr>
              <w:t>O: 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7C7165" w:rsidP="00E82B6B">
            <w:pPr>
              <w:bidi w:val="0"/>
              <w:jc w:val="both"/>
              <w:rPr>
                <w:rFonts w:ascii="Times New Roman" w:hAnsi="Times New Roman"/>
                <w:b/>
              </w:rPr>
            </w:pPr>
            <w:r w:rsidRPr="007C7165" w:rsidR="00E82B6B">
              <w:rPr>
                <w:rFonts w:ascii="Times New Roman" w:hAnsi="Times New Roman"/>
                <w:b/>
                <w:sz w:val="20"/>
                <w:szCs w:val="20"/>
              </w:rPr>
              <w:t>(4)</w:t>
              <w:tab/>
              <w:t>Ministerstvo vnútra bezodkladne zašle námietku podľa odseku 3 hostiteľskému subjektu so sídlom na území členského štátu podľa odseku 1 písm. a) a členskému štátu, ktorý schválil vnútropodnikový presun.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25667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F5E08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41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Č: 21</w:t>
            </w: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7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F24C27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7.Ak druhý členský štát namieta voči mobilite podľa odseku 6 tohto článku a mobilita sa ešte neuskutočnila, zamestnanec presunutý v rámci podniku nemôže v rámci vnútropodnikového presunu pracovať v druhom členskom štáte. Ak sa mobilita už uskutočnila, uplatňuje sa článok 23 ods. 4 a 5.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25667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667" w:rsidR="00B25667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C672E" w:rsidRPr="000C672E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2E">
              <w:rPr>
                <w:rFonts w:ascii="Times New Roman" w:hAnsi="Times New Roman"/>
                <w:sz w:val="20"/>
                <w:szCs w:val="20"/>
              </w:rPr>
              <w:t>§ 36a</w:t>
            </w:r>
          </w:p>
          <w:p w:rsidR="000C672E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0C672E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672E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672E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25667" w:rsidRPr="00281C98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07709A">
              <w:rPr>
                <w:rFonts w:ascii="Times New Roman" w:hAnsi="Times New Roman"/>
                <w:sz w:val="20"/>
                <w:szCs w:val="20"/>
              </w:rPr>
              <w:t>P: c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82B6B" w:rsidRPr="007C7165" w:rsidP="00E82B6B">
            <w:pPr>
              <w:bidi w:val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C7165" w:rsidR="000C672E">
              <w:rPr>
                <w:rFonts w:ascii="Times New Roman" w:hAnsi="Times New Roman"/>
                <w:b/>
                <w:sz w:val="20"/>
                <w:szCs w:val="20"/>
              </w:rPr>
              <w:t xml:space="preserve">(1) </w:t>
            </w:r>
            <w:r w:rsidRPr="007C7165">
              <w:rPr>
                <w:rFonts w:ascii="Times New Roman" w:hAnsi="Times New Roman"/>
                <w:b/>
                <w:sz w:val="20"/>
                <w:szCs w:val="20"/>
              </w:rPr>
              <w:t xml:space="preserve">Prechodný pobyt na účel zamestnania sa nevyžaduje, ak  je štátny príslušník tretej krajiny držiteľom platného dokladu o pobyte vydaného niektorým z členských štátov na účel vnútropodnikového presunu, v ktorom je v položke „druh pobytu“ uvedené „ICT“ a </w:t>
            </w:r>
          </w:p>
          <w:p w:rsidR="00AF5E08" w:rsidRPr="007C7165" w:rsidP="00E82B6B">
            <w:pPr>
              <w:suppressAutoHyphens w:val="0"/>
              <w:autoSpaceDE/>
              <w:bidi w:val="0"/>
              <w:jc w:val="both"/>
              <w:rPr>
                <w:rFonts w:ascii="Times New Roman" w:hAnsi="Times New Roman"/>
                <w:b/>
              </w:rPr>
            </w:pPr>
            <w:r w:rsidRPr="007C7165" w:rsidR="00E82B6B">
              <w:rPr>
                <w:rFonts w:ascii="Times New Roman" w:hAnsi="Times New Roman"/>
                <w:b/>
                <w:sz w:val="20"/>
                <w:szCs w:val="20"/>
              </w:rPr>
              <w:t>c) ministerstvo vnútra nevznieslo námietku podľa odseku 3 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B25667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F5E08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9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Č: 21</w:t>
            </w:r>
          </w:p>
          <w:p w:rsidR="00AF5E08" w:rsidRPr="00F24C27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8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F24C27" w:rsidP="00BF3130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8.Ak prvý členský štát obnoví povolenie zamestnanca presunutého v rámci podniku na maximálne trvanie stanovené v článku 12 ods. 1, je držiteľ obnoveného povolenia zamestnanca presunutého v rámci podniku oprávnený naďalej pracovať v druhom členskom štáte, a to v rámci maximálneho trvania stanoveného v odseku 1 tohto článku.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524CB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667" w:rsidR="00524CB3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C672E" w:rsidRPr="000C672E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2E">
              <w:rPr>
                <w:rFonts w:ascii="Times New Roman" w:hAnsi="Times New Roman"/>
                <w:sz w:val="20"/>
                <w:szCs w:val="20"/>
              </w:rPr>
              <w:t>§ 36a</w:t>
            </w:r>
          </w:p>
          <w:p w:rsidR="00524CB3" w:rsidRPr="00281C98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2E" w:rsidR="000C672E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7C7165" w:rsidP="00524CB3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7C7165" w:rsidR="000C672E">
              <w:rPr>
                <w:rFonts w:ascii="Times New Roman" w:hAnsi="Times New Roman"/>
                <w:b/>
              </w:rPr>
              <w:t xml:space="preserve">(1) Prechodný pobyt na účel zamestnania sa nevyžaduje, ak  je štátny príslušník tretej krajiny držiteľom platného dokladu o pobyte vydaného niektorým z členských štátov na účel vnútropodnikového presunu, v ktorom je v položke „druh pobytu“ uvedené „ICT“ 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524CB3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F5E08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9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Č: 21</w:t>
            </w: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9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F24C27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9.Zamestnanci presunutí v rámci podniku, ktorí sa považujú za hrozbu pre verejný poriadok, verejnú bezpečnosť alebo verejné zdravie, sa nemôžu zdržiavať alebo pracovať na území druhého členského štátu.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524CB3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667" w:rsidR="00524CB3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C672E" w:rsidRPr="000C672E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2E">
              <w:rPr>
                <w:rFonts w:ascii="Times New Roman" w:hAnsi="Times New Roman"/>
                <w:sz w:val="20"/>
                <w:szCs w:val="20"/>
              </w:rPr>
              <w:t>§ 36a</w:t>
            </w:r>
          </w:p>
          <w:p w:rsidR="000C672E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2E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0C672E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672E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672E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AF5E08" w:rsidRPr="00281C98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07709A">
              <w:rPr>
                <w:rFonts w:ascii="Times New Roman" w:hAnsi="Times New Roman"/>
                <w:sz w:val="20"/>
                <w:szCs w:val="20"/>
              </w:rPr>
              <w:t>P: 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C672E" w:rsidRPr="007C7165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7C7165">
              <w:rPr>
                <w:rFonts w:ascii="Times New Roman" w:hAnsi="Times New Roman"/>
                <w:b/>
              </w:rPr>
              <w:t xml:space="preserve">(1) Prechodný pobyt na účel zamestnania sa nevyžaduje, ak  je štátny príslušník tretej krajiny držiteľom platného dokladu o pobyte vydaného niektorým z členských štátov na účel vnútropodnikového presunu, v ktorom je v položke „druh pobytu“ uvedené „ICT“ a </w:t>
            </w:r>
          </w:p>
          <w:p w:rsidR="00AF5E08" w:rsidRPr="00AF0B3B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7C7165" w:rsidR="000C672E">
              <w:rPr>
                <w:rFonts w:ascii="Times New Roman" w:hAnsi="Times New Roman"/>
                <w:b/>
              </w:rPr>
              <w:t>d) nepredstavuje hrozbu pre bezpečnosť štátu, verejný poriadok alebo verejné zdravie.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C210BA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F5E08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9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4024FA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22</w:t>
            </w: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4024FA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 xml:space="preserve">1.V súvislosti so štátnymi príslušníkmi tretích krajín, ktorí sú držiteľmi platného povolenia zamestnanca presunutého v rámci podniku vydaného prvým členským štátom a majú v úmysle zdržiavať sa v akomkoľvek druhom členskom štáte a pracovať v akomkoľvek inom subjekte so sídlom v akomkoľvek druhom členskom štáte, ktorý patrí do toho istého podniku alebo tej istej skupiny podnikov počas obdobia presahujúceho 90 dní na členský štát, sa môže druhý členský štát rozhodnúť, že: </w:t>
            </w:r>
          </w:p>
          <w:p w:rsidR="00AF5E08" w:rsidRPr="00BF3130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024FA">
              <w:rPr>
                <w:rFonts w:ascii="Times New Roman" w:hAnsi="Times New Roman"/>
                <w:sz w:val="20"/>
                <w:szCs w:val="20"/>
              </w:rPr>
              <w:t>a) uplatní článok 21 a umožní zamestnancovi presunutému v rámci podniku zdržiavať sa a pracovať na jeho území na základe povolenia zamestnanca presunutého v rámci podniku vydaného prvým štátom a počas obdobia platnosti tohto povolenia, alebo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524CB3"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5667" w:rsidR="00524CB3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C672E" w:rsidRPr="000C672E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2E">
              <w:rPr>
                <w:rFonts w:ascii="Times New Roman" w:hAnsi="Times New Roman"/>
                <w:sz w:val="20"/>
                <w:szCs w:val="20"/>
              </w:rPr>
              <w:t>§ 36a</w:t>
            </w:r>
          </w:p>
          <w:p w:rsidR="00524CB3" w:rsidRPr="00281C98" w:rsidP="000C672E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672E" w:rsidR="000C672E">
              <w:rPr>
                <w:rFonts w:ascii="Times New Roman" w:hAnsi="Times New Roman"/>
                <w:sz w:val="20"/>
                <w:szCs w:val="20"/>
              </w:rPr>
              <w:t>O: 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0C672E" w:rsidRPr="007C7165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7C7165">
              <w:rPr>
                <w:rFonts w:ascii="Times New Roman" w:hAnsi="Times New Roman"/>
                <w:b/>
              </w:rPr>
              <w:t xml:space="preserve">(1) Prechodný pobyt na účel zamestnania sa nevyžaduje, ak  je štátny príslušník tretej krajiny držiteľom platného dokladu o pobyte vydaného niektorým z členských štátov na účel vnútropodnikového presunu, v ktorom je v položke „druh pobytu“ uvedené „ICT“ a </w:t>
            </w:r>
          </w:p>
          <w:p w:rsidR="000C672E" w:rsidRPr="007C7165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7C7165">
              <w:rPr>
                <w:rFonts w:ascii="Times New Roman" w:hAnsi="Times New Roman"/>
                <w:b/>
              </w:rPr>
              <w:t xml:space="preserve">a) hostiteľský subjekt so sídlom na území členského štátu oznámil ministerstvu vnútra úmysel štátneho príslušníka tretej krajiny uplatňovať mobilitu pred jeho príchodom na územie Slovenskej republiky, </w:t>
            </w:r>
          </w:p>
          <w:p w:rsidR="000C672E" w:rsidRPr="007C7165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7C7165">
              <w:rPr>
                <w:rFonts w:ascii="Times New Roman" w:hAnsi="Times New Roman"/>
                <w:b/>
              </w:rPr>
              <w:t xml:space="preserve">b) mobilita bude vykonávaná u toho istého zamestnávateľa alebo v rámci tej istej skupiny zamestnávateľov, v ktorom má schválený vnútropodnikový presun v členskom štáte, </w:t>
            </w:r>
          </w:p>
          <w:p w:rsidR="000C672E" w:rsidRPr="007C7165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7C7165">
              <w:rPr>
                <w:rFonts w:ascii="Times New Roman" w:hAnsi="Times New Roman"/>
                <w:b/>
              </w:rPr>
              <w:t>c) ministerstvo vnútra nevznieslo námietku podľa odseku 3 a</w:t>
            </w:r>
          </w:p>
          <w:p w:rsidR="00AF5E08" w:rsidRPr="00AF0B3B" w:rsidP="000C672E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7C7165" w:rsidR="000C672E">
              <w:rPr>
                <w:rFonts w:ascii="Times New Roman" w:hAnsi="Times New Roman"/>
                <w:b/>
              </w:rPr>
              <w:t>d) nepredstavuje hrozbu pre bezpečnosť štátu, verejný poriadok alebo verejné zdravie.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524CB3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F5E08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909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56176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61763">
              <w:rPr>
                <w:rFonts w:ascii="Times New Roman" w:hAnsi="Times New Roman"/>
                <w:sz w:val="20"/>
                <w:szCs w:val="20"/>
              </w:rPr>
              <w:t>Č: 23</w:t>
            </w:r>
          </w:p>
          <w:p w:rsidR="00AF5E08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3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BF3130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0942">
              <w:rPr>
                <w:rFonts w:ascii="Times New Roman" w:hAnsi="Times New Roman"/>
                <w:sz w:val="20"/>
                <w:szCs w:val="20"/>
              </w:rPr>
              <w:t>3.Hostiteľský subjekt druhého členského štátu informuje príslušné orgány druhého členského štátu o všetkých zmenách, ktoré majú vplyv na podmienky, na základe ktorých sa povolilo uskutočnenie mobility.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3A41" w:rsidR="009C3A41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187E79" w:rsidRPr="00187E79" w:rsidP="00187E7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E79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187E79" w:rsidRPr="00187E79" w:rsidP="00187E7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E79">
              <w:rPr>
                <w:rFonts w:ascii="Times New Roman" w:hAnsi="Times New Roman"/>
                <w:sz w:val="20"/>
                <w:szCs w:val="20"/>
              </w:rPr>
              <w:t>+</w:t>
            </w:r>
          </w:p>
          <w:p w:rsidR="00AF5E08" w:rsidRPr="00281C98" w:rsidP="00187E79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7E79" w:rsidR="00187E79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87E79">
              <w:rPr>
                <w:rFonts w:ascii="Times New Roman" w:hAnsi="Times New Roman"/>
                <w:sz w:val="20"/>
                <w:szCs w:val="20"/>
              </w:rPr>
              <w:t>§ 115</w:t>
            </w:r>
          </w:p>
          <w:p w:rsidR="00187E79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O: </w:t>
            </w:r>
            <w:r w:rsidR="00260CA4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260CA4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87E79" w:rsidRPr="00281C98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60CA4">
              <w:rPr>
                <w:rFonts w:ascii="Times New Roman" w:hAnsi="Times New Roman"/>
                <w:sz w:val="20"/>
                <w:szCs w:val="20"/>
              </w:rPr>
              <w:t>P: b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260CA4" w:rsidP="00260CA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(12) Hostiteľský subjekt so sídlom na území Slovenskej republiky je povinný do troch pracovných dní písomne oznámiť policajnému útvaru</w:t>
            </w:r>
          </w:p>
          <w:p w:rsidR="00AF5E08" w:rsidRPr="00AF0B3B" w:rsidP="00260CA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="00260CA4">
              <w:rPr>
                <w:rFonts w:ascii="Times New Roman" w:hAnsi="Times New Roman"/>
              </w:rPr>
              <w:t xml:space="preserve">b) zmeny, ktoré majú vplyv na vykonávanie mobility na území Slovenskej republiky, najmä zmeny v skutočnostiach uvedených v </w:t>
            </w:r>
            <w:r w:rsidRPr="007C7165" w:rsidR="00260CA4">
              <w:rPr>
                <w:rFonts w:ascii="Times New Roman" w:hAnsi="Times New Roman"/>
                <w:b/>
              </w:rPr>
              <w:t>§ 36a alebo § 36d</w:t>
            </w:r>
            <w:r w:rsidR="00260CA4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187E79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F5E08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3273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24CB3" w:rsidRPr="0056176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61763">
              <w:rPr>
                <w:rFonts w:ascii="Times New Roman" w:hAnsi="Times New Roman"/>
                <w:sz w:val="20"/>
                <w:szCs w:val="20"/>
              </w:rPr>
              <w:t>Č: 23</w:t>
            </w:r>
          </w:p>
          <w:p w:rsidR="00524CB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4</w:t>
            </w:r>
          </w:p>
          <w:p w:rsidR="00524CB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524CB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524CB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524CB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b</w:t>
            </w:r>
          </w:p>
          <w:p w:rsidR="00524CB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524CB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c</w:t>
            </w:r>
          </w:p>
          <w:p w:rsidR="00524CB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524CB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d</w:t>
            </w:r>
          </w:p>
          <w:p w:rsidR="00524CB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524CB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524CB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24CB3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763">
              <w:rPr>
                <w:rFonts w:ascii="Times New Roman" w:hAnsi="Times New Roman"/>
                <w:sz w:val="20"/>
                <w:szCs w:val="20"/>
              </w:rPr>
              <w:t xml:space="preserve">4.Druhý členský štát môže požadovať, aby zamestnanec presunutý v rámci podniku bezodkladne prestal vykonávať akúkoľvek pracovnú činnosť a opustil jeho územie, ak: </w:t>
            </w:r>
          </w:p>
          <w:p w:rsidR="00524CB3" w:rsidRPr="00BF3130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763">
              <w:rPr>
                <w:rFonts w:ascii="Times New Roman" w:hAnsi="Times New Roman"/>
                <w:sz w:val="20"/>
                <w:szCs w:val="20"/>
              </w:rPr>
              <w:t>a) nebol upovedomený v súlade s článkom 21 ods. 2 a 3, pričom takéto oznámenie vyžaduje;</w:t>
            </w:r>
          </w:p>
          <w:p w:rsidR="00524CB3" w:rsidRPr="00BF3130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763">
              <w:rPr>
                <w:rFonts w:ascii="Times New Roman" w:hAnsi="Times New Roman"/>
                <w:sz w:val="20"/>
                <w:szCs w:val="20"/>
              </w:rPr>
              <w:t>b) vzniesol námietku voči mobilite v súlade s článkom 21 ods. 6;</w:t>
            </w:r>
          </w:p>
          <w:p w:rsidR="00524CB3" w:rsidP="00F24C27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763">
              <w:rPr>
                <w:rFonts w:ascii="Times New Roman" w:hAnsi="Times New Roman"/>
                <w:sz w:val="20"/>
                <w:szCs w:val="20"/>
              </w:rPr>
              <w:t>c) zamietol žiadosť o dlhodobú mobilitu v súlade s článkom 22 ods. 3;</w:t>
            </w:r>
          </w:p>
          <w:p w:rsidR="00524CB3" w:rsidRPr="00BF3130" w:rsidP="00BF3130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763">
              <w:rPr>
                <w:rFonts w:ascii="Times New Roman" w:hAnsi="Times New Roman"/>
                <w:sz w:val="20"/>
                <w:szCs w:val="20"/>
              </w:rPr>
              <w:t>d) povolenie zamestnanca presunutého v rámci podniku alebo povolenie na dlhodobú mobilitu sa používa na iné účely, ako sú účely, na ktoré bolo vydané;</w:t>
            </w:r>
          </w:p>
          <w:p w:rsidR="00524CB3" w:rsidRPr="00BF3130" w:rsidP="00BF3130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763">
              <w:rPr>
                <w:rFonts w:ascii="Times New Roman" w:hAnsi="Times New Roman"/>
                <w:sz w:val="20"/>
                <w:szCs w:val="20"/>
              </w:rPr>
              <w:t>e) podmienky, na základe ktorých sa uskutočnenie mobility povolilo, už nie sú splnené.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24CB3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24CB3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24CB3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11</w:t>
            </w:r>
            <w:r w:rsidR="00260CA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524CB3" w:rsidRPr="00281C98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24CB3" w:rsidRPr="007C7165" w:rsidP="007C7165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  <w:b/>
              </w:rPr>
            </w:pPr>
            <w:r w:rsidRPr="007C7165" w:rsidR="00260CA4">
              <w:rPr>
                <w:rFonts w:ascii="Times New Roman" w:hAnsi="Times New Roman"/>
                <w:b/>
              </w:rPr>
              <w:t>(7) Štátny príslušník tretej krajiny podľa § 36a až 36d je povinný bezodkladne opustiť územie  Slovenskej republiky,  ak  nespĺňa  podmienky podľa § 36a ods. 1, § 36b ods. 1, § 36c ods. 1 alebo § 36d ods. 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524CB3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textDirection w:val="lrTb"/>
            <w:vAlign w:val="top"/>
          </w:tcPr>
          <w:p w:rsidR="00524CB3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460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45972" w:rsidRPr="0056176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561763">
              <w:rPr>
                <w:rFonts w:ascii="Times New Roman" w:hAnsi="Times New Roman"/>
                <w:sz w:val="20"/>
                <w:szCs w:val="20"/>
              </w:rPr>
              <w:t>Č: 23</w:t>
            </w:r>
          </w:p>
          <w:p w:rsidR="00E45972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7</w:t>
            </w:r>
          </w:p>
          <w:p w:rsidR="00E45972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45972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a</w:t>
            </w:r>
          </w:p>
          <w:p w:rsidR="00E45972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45972" w:rsidRPr="0056176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45972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b</w:t>
            </w:r>
          </w:p>
          <w:p w:rsidR="00E45972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45972" w:rsidRPr="0056176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45972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c</w:t>
            </w:r>
          </w:p>
          <w:p w:rsidR="00E45972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45972" w:rsidRPr="0056176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45972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d</w:t>
            </w:r>
          </w:p>
          <w:p w:rsidR="00E45972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45972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45972" w:rsidRPr="0056176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E45972" w:rsidRPr="00561763" w:rsidP="00561763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 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45972" w:rsidP="00BF3130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763">
              <w:rPr>
                <w:rFonts w:ascii="Times New Roman" w:hAnsi="Times New Roman"/>
                <w:sz w:val="20"/>
                <w:szCs w:val="20"/>
              </w:rPr>
              <w:t xml:space="preserve">7.Členské štáty môžu voči hostiteľskému subjektu so sídlom na svojom území uložiť sankcie v súlade s článkom 9, ak: </w:t>
            </w:r>
          </w:p>
          <w:p w:rsidR="00E45972" w:rsidRPr="00561763" w:rsidP="00BF3130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763">
              <w:rPr>
                <w:rFonts w:ascii="Times New Roman" w:hAnsi="Times New Roman"/>
                <w:sz w:val="20"/>
                <w:szCs w:val="20"/>
              </w:rPr>
              <w:t>a) hostiteľský subjekt neoznámil mobilitu zamestnanca presunutého v rámci podniku v súlade s článkom 21 ods. 2 a 3;</w:t>
            </w:r>
          </w:p>
          <w:p w:rsidR="00E45972" w:rsidRPr="00561763" w:rsidP="00BF3130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763">
              <w:rPr>
                <w:rFonts w:ascii="Times New Roman" w:hAnsi="Times New Roman"/>
                <w:sz w:val="20"/>
                <w:szCs w:val="20"/>
              </w:rPr>
              <w:t>b) povolenie zamestnanca presunutého v rámci podniku alebo povolenie na dlhodobú mobilitu sa používa na iné účely, ako sú účely, na ktoré bolo vydané;</w:t>
            </w:r>
          </w:p>
          <w:p w:rsidR="00E45972" w:rsidRPr="00561763" w:rsidP="00BF3130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763">
              <w:rPr>
                <w:rFonts w:ascii="Times New Roman" w:hAnsi="Times New Roman"/>
                <w:sz w:val="20"/>
                <w:szCs w:val="20"/>
              </w:rPr>
              <w:t>c) žiadosť o povolenie zamestnanca presunutého v rámci podniku bola podaná členskému štátu, ktorý nie je štátom, v ktorom sa uskutoční pobyt s celkovo najdlhším trvaním;</w:t>
            </w:r>
          </w:p>
          <w:p w:rsidR="00E45972" w:rsidRPr="00561763" w:rsidP="00BF3130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763">
              <w:rPr>
                <w:rFonts w:ascii="Times New Roman" w:hAnsi="Times New Roman"/>
                <w:sz w:val="20"/>
                <w:szCs w:val="20"/>
              </w:rPr>
              <w:t>d)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763">
              <w:rPr>
                <w:rFonts w:ascii="Times New Roman" w:hAnsi="Times New Roman"/>
                <w:sz w:val="20"/>
                <w:szCs w:val="20"/>
              </w:rPr>
              <w:t>zamestnanec presunutý v rámci podniku už nespĺňa kritériá a podmienky, na základe ktorých sa povolilo uskutočnenie mobility a hostiteľský subjekt túto zmenu neoznámi príslušným orgánom druhého členského štátu;</w:t>
            </w:r>
          </w:p>
          <w:p w:rsidR="00E45972" w:rsidRPr="00561763" w:rsidP="00BF3130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61763">
              <w:rPr>
                <w:rFonts w:ascii="Times New Roman" w:hAnsi="Times New Roman"/>
                <w:sz w:val="20"/>
                <w:szCs w:val="20"/>
              </w:rPr>
              <w:t>e) sa uplatňuje článok 21 ods. 5 alebo článok 22 ods. 2 písm. d) a zamestnanec presunutý v rámci podniku začal pracovať v druhom členskom štáte, hoci neboli splnené podmienky mobility.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45972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45972" w:rsidRPr="00E45972" w:rsidP="00E45972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972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E45972" w:rsidRPr="00E45972" w:rsidP="00E45972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972">
              <w:rPr>
                <w:rFonts w:ascii="Times New Roman" w:hAnsi="Times New Roman"/>
                <w:sz w:val="20"/>
                <w:szCs w:val="20"/>
              </w:rPr>
              <w:t>+</w:t>
            </w:r>
          </w:p>
          <w:p w:rsidR="00E45972" w:rsidRPr="00281C98" w:rsidP="00E45972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972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45972" w:rsidRPr="00E45972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972">
              <w:rPr>
                <w:rFonts w:ascii="Times New Roman" w:hAnsi="Times New Roman"/>
                <w:sz w:val="20"/>
                <w:szCs w:val="20"/>
              </w:rPr>
              <w:t>§ 119</w:t>
            </w:r>
          </w:p>
          <w:p w:rsidR="00E45972" w:rsidRPr="00E45972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972"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E45972" w:rsidRPr="00E45972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972">
              <w:rPr>
                <w:rFonts w:ascii="Times New Roman" w:hAnsi="Times New Roman"/>
                <w:sz w:val="20"/>
                <w:szCs w:val="20"/>
              </w:rPr>
              <w:t>P: c</w:t>
            </w:r>
          </w:p>
          <w:p w:rsidR="00E45972" w:rsidRPr="00E45972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45972" w:rsidRPr="00E45972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972">
              <w:rPr>
                <w:rFonts w:ascii="Times New Roman" w:hAnsi="Times New Roman"/>
                <w:sz w:val="20"/>
                <w:szCs w:val="20"/>
              </w:rPr>
              <w:t>§ 115</w:t>
            </w:r>
          </w:p>
          <w:p w:rsidR="00E45972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60CA4">
              <w:rPr>
                <w:rFonts w:ascii="Times New Roman" w:hAnsi="Times New Roman"/>
                <w:sz w:val="20"/>
                <w:szCs w:val="20"/>
              </w:rPr>
              <w:t>O: 12</w:t>
            </w:r>
          </w:p>
          <w:p w:rsidR="00260CA4" w:rsidRPr="00E45972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0363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P:</w:t>
            </w:r>
            <w:r w:rsidR="00260CA4">
              <w:rPr>
                <w:rFonts w:ascii="Times New Roman" w:hAnsi="Times New Roman"/>
                <w:sz w:val="20"/>
                <w:szCs w:val="20"/>
              </w:rPr>
              <w:t xml:space="preserve"> a</w:t>
            </w:r>
          </w:p>
          <w:p w:rsidR="00610363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0363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10363" w:rsidRPr="00281C98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60CA4">
              <w:rPr>
                <w:rFonts w:ascii="Times New Roman" w:hAnsi="Times New Roman"/>
                <w:sz w:val="20"/>
                <w:szCs w:val="20"/>
              </w:rPr>
              <w:t>P: b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45972" w:rsidP="00E45972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 Správneho deliktu na úseku pobytu sa dopustí</w:t>
            </w:r>
          </w:p>
          <w:p w:rsidR="00E45972" w:rsidP="00E45972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c) zamestnávateľ, ktorý si nesplnil povinnosť podľa § 115 ods. 5</w:t>
            </w:r>
            <w:r w:rsidRPr="00A07330" w:rsidR="00A07330">
              <w:rPr>
                <w:rFonts w:ascii="Times New Roman" w:hAnsi="Times New Roman"/>
              </w:rPr>
              <w:t xml:space="preserve"> </w:t>
            </w:r>
            <w:r w:rsidRPr="007C7165" w:rsidR="00A07330">
              <w:rPr>
                <w:rFonts w:ascii="Times New Roman" w:hAnsi="Times New Roman"/>
                <w:b/>
              </w:rPr>
              <w:t>alebo ods. 12</w:t>
            </w:r>
            <w:r>
              <w:rPr>
                <w:rFonts w:ascii="Times New Roman" w:hAnsi="Times New Roman"/>
              </w:rPr>
              <w:t>,</w:t>
            </w:r>
          </w:p>
          <w:p w:rsidR="00E45972" w:rsidP="00E45972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</w:p>
          <w:p w:rsidR="00260CA4" w:rsidP="00260CA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(12) Hostiteľský subjekt so sídlom na území Slovenskej republiky je povinný do troch pracovných dní písomne oznámiť policajnému útvaru</w:t>
            </w:r>
          </w:p>
          <w:p w:rsidR="00260CA4" w:rsidP="00260CA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a) úmysel štátneho príslušníka tretej krajiny uplatňovať mobilitu, ak ide o štátneho príslušníka tretej krajiny, ktorý má udelený prechodný pobyt podľa § 23 ods. 5,</w:t>
            </w:r>
          </w:p>
          <w:p w:rsidR="00610363" w:rsidRPr="00AF0B3B" w:rsidP="00260CA4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="00260CA4">
              <w:rPr>
                <w:rFonts w:ascii="Times New Roman" w:hAnsi="Times New Roman"/>
              </w:rPr>
              <w:t xml:space="preserve">b) zmeny, ktoré majú vplyv na vykonávanie mobility na území Slovenskej republiky, najmä zmeny v skutočnostiach uvedených v </w:t>
            </w:r>
            <w:r w:rsidRPr="007C7165" w:rsidR="00260CA4">
              <w:rPr>
                <w:rFonts w:ascii="Times New Roman" w:hAnsi="Times New Roman"/>
                <w:b/>
              </w:rPr>
              <w:t>§ 36a alebo § 36d</w:t>
            </w:r>
            <w:r w:rsidR="00260CA4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E45972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0" w:space="0" w:color="auto"/>
              <w:right w:val="single" w:sz="4" w:space="0" w:color="000000"/>
            </w:tcBorders>
            <w:textDirection w:val="lrTb"/>
            <w:vAlign w:val="top"/>
          </w:tcPr>
          <w:p w:rsidR="00E45972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0" w:type="auto"/>
          <w:tblInd w:w="-572" w:type="dxa"/>
          <w:tblLayout w:type="fixed"/>
          <w:tblCellMar>
            <w:left w:w="43" w:type="dxa"/>
            <w:right w:w="43" w:type="dxa"/>
          </w:tblCellMar>
        </w:tblPrEx>
        <w:trPr>
          <w:trHeight w:val="563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P="00381038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26</w:t>
            </w:r>
          </w:p>
          <w:p w:rsidR="00AF5E08" w:rsidP="00381038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1</w:t>
            </w:r>
          </w:p>
          <w:p w:rsidR="00AF5E08" w:rsidP="00381038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381038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381038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AF5E08" w:rsidP="00381038">
            <w:pPr>
              <w:bidi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2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P="00BF3130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1038">
              <w:rPr>
                <w:rFonts w:ascii="Times New Roman" w:hAnsi="Times New Roman"/>
                <w:sz w:val="20"/>
                <w:szCs w:val="20"/>
              </w:rPr>
              <w:t>1.Členské štáty zriadia kontaktné body, ktoré budú účinne spolupracovať a budú zodpovedné za prijímanie a zasielanie informácií nevyhnutných na vykonávanie článkov 21, 22 a 23.Členské štáty uprednostnia uskutočňovanie výmeny informácií elektronicky.</w:t>
            </w:r>
          </w:p>
          <w:p w:rsidR="00AF5E08" w:rsidRPr="00381038" w:rsidP="00BF3130">
            <w:pPr>
              <w:bidi w:val="0"/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81038">
              <w:rPr>
                <w:rFonts w:ascii="Times New Roman" w:hAnsi="Times New Roman"/>
                <w:sz w:val="20"/>
                <w:szCs w:val="20"/>
              </w:rPr>
              <w:t>2.Každý členský štát informuje prostredníctvom národných kontaktných bodov uvedených v odseku 1 ostatné členské štáty o určených orgánoch uvedených v článku 11 ods. 4 a o postupe uplatňovanom pri mobilite podľa článkov 21 a 22.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8847A7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45972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E45972" w:rsidRPr="00E45972" w:rsidP="00E45972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972">
              <w:rPr>
                <w:rFonts w:ascii="Times New Roman" w:hAnsi="Times New Roman"/>
                <w:sz w:val="20"/>
                <w:szCs w:val="20"/>
              </w:rPr>
              <w:t>zákon č. 404/2011 Z. z.</w:t>
            </w:r>
          </w:p>
          <w:p w:rsidR="00E45972" w:rsidRPr="00E45972" w:rsidP="00E45972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972">
              <w:rPr>
                <w:rFonts w:ascii="Times New Roman" w:hAnsi="Times New Roman"/>
                <w:sz w:val="20"/>
                <w:szCs w:val="20"/>
              </w:rPr>
              <w:t>+</w:t>
            </w:r>
          </w:p>
          <w:p w:rsidR="00AF5E08" w:rsidRPr="00281C98" w:rsidP="00E45972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45972" w:rsidR="00E45972">
              <w:rPr>
                <w:rFonts w:ascii="Times New Roman" w:hAnsi="Times New Roman"/>
                <w:sz w:val="20"/>
                <w:szCs w:val="20"/>
              </w:rPr>
              <w:t>návrh zákona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45972">
              <w:rPr>
                <w:rFonts w:ascii="Times New Roman" w:hAnsi="Times New Roman"/>
                <w:sz w:val="20"/>
                <w:szCs w:val="20"/>
              </w:rPr>
              <w:t>§ 125</w:t>
            </w:r>
          </w:p>
          <w:p w:rsidR="00E45972" w:rsidRPr="00281C98" w:rsidP="007C7165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AF0B3B" w:rsidP="00CE4BD5">
            <w:pPr>
              <w:pStyle w:val="Normlny"/>
              <w:bidi w:val="0"/>
              <w:snapToGrid w:val="0"/>
              <w:jc w:val="both"/>
              <w:rPr>
                <w:rFonts w:ascii="Times New Roman" w:hAnsi="Times New Roman"/>
              </w:rPr>
            </w:pPr>
            <w:r w:rsidRPr="00FB4C1C" w:rsidR="00B76B06">
              <w:rPr>
                <w:rFonts w:ascii="Times New Roman" w:hAnsi="Times New Roman"/>
              </w:rPr>
              <w:t>(11) Ministerstvo vnútra určí kontaktné miesta na prijímanie a odovzdávanie informácií podľa § 33 ods. 11, § 36 ods. 4,</w:t>
            </w:r>
            <w:r w:rsidR="00B76B06">
              <w:rPr>
                <w:rFonts w:ascii="Times New Roman" w:hAnsi="Times New Roman"/>
              </w:rPr>
              <w:t xml:space="preserve"> </w:t>
            </w:r>
            <w:r w:rsidRPr="007E715B" w:rsidR="00B76B06">
              <w:rPr>
                <w:rFonts w:ascii="Times New Roman" w:hAnsi="Times New Roman"/>
                <w:b/>
              </w:rPr>
              <w:t>§ 36a až 36d</w:t>
            </w:r>
            <w:r w:rsidR="00B76B06">
              <w:rPr>
                <w:rFonts w:ascii="Times New Roman" w:hAnsi="Times New Roman"/>
              </w:rPr>
              <w:t>,</w:t>
            </w:r>
            <w:r w:rsidRPr="00FB4C1C" w:rsidR="00B76B06">
              <w:rPr>
                <w:rFonts w:ascii="Times New Roman" w:hAnsi="Times New Roman"/>
              </w:rPr>
              <w:t xml:space="preserve"> § 38 ods. 12, § 39 ods. 2, § 54 ods. 1, § 73 ods. 2, 8 a 9, § 83 ods. 7 a 9 a podľa odseku 9.</w:t>
            </w:r>
            <w:r w:rsidR="00B76B06">
              <w:rPr>
                <w:rFonts w:ascii="Times New Roman" w:hAnsi="Times New Roman"/>
              </w:rPr>
              <w:t xml:space="preserve"> </w:t>
            </w:r>
            <w:r w:rsidRPr="007E715B" w:rsidR="00B76B06">
              <w:rPr>
                <w:rFonts w:ascii="Times New Roman" w:hAnsi="Times New Roman"/>
                <w:b/>
              </w:rPr>
              <w:t>Kontaktné miesta podľa predchádzajúcej vety informujú príslušné kontaktné miesta členských štátov o právach a povinnostiach podľa § 36a až § 36d.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auto"/>
            </w:tcBorders>
            <w:textDirection w:val="lrTb"/>
            <w:vAlign w:val="top"/>
          </w:tcPr>
          <w:p w:rsidR="00AF5E08" w:rsidRPr="00281C98" w:rsidP="004E7A1F">
            <w:pPr>
              <w:bidi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E45972">
              <w:rPr>
                <w:rFonts w:ascii="Times New Roman" w:hAnsi="Times New Roman"/>
                <w:sz w:val="20"/>
                <w:szCs w:val="20"/>
              </w:rPr>
              <w:t>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AF5E08" w:rsidRPr="00281C98" w:rsidP="004E7A1F">
            <w:pPr>
              <w:pStyle w:val="Heading1"/>
              <w:bidi w:val="0"/>
              <w:snapToGrid w:val="0"/>
              <w:jc w:val="both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6C5AD8" w:rsidP="00C3513B">
      <w:pPr>
        <w:autoSpaceDE/>
        <w:bidi w:val="0"/>
        <w:jc w:val="both"/>
        <w:rPr>
          <w:rFonts w:ascii="Times New Roman" w:hAnsi="Times New Roman"/>
          <w:sz w:val="20"/>
          <w:szCs w:val="20"/>
        </w:rPr>
      </w:pPr>
    </w:p>
    <w:p w:rsidR="006C5AD8" w:rsidP="00C3513B">
      <w:pPr>
        <w:autoSpaceDE/>
        <w:bidi w:val="0"/>
        <w:jc w:val="both"/>
        <w:rPr>
          <w:rFonts w:ascii="Times New Roman" w:hAnsi="Times New Roman"/>
          <w:sz w:val="20"/>
          <w:szCs w:val="20"/>
        </w:rPr>
      </w:pPr>
    </w:p>
    <w:p w:rsidR="006C5AD8" w:rsidP="00C3513B">
      <w:pPr>
        <w:autoSpaceDE/>
        <w:bidi w:val="0"/>
        <w:jc w:val="both"/>
        <w:rPr>
          <w:rFonts w:ascii="Times New Roman" w:hAnsi="Times New Roman"/>
          <w:sz w:val="20"/>
          <w:szCs w:val="20"/>
        </w:rPr>
      </w:pPr>
    </w:p>
    <w:p w:rsidR="002762EC" w:rsidP="00C3513B">
      <w:pPr>
        <w:autoSpaceDE/>
        <w:bidi w:val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LEGENDA:</w:t>
      </w:r>
    </w:p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</w:tblPr>
      <w:tblGrid>
        <w:gridCol w:w="2163"/>
        <w:gridCol w:w="3719"/>
        <w:gridCol w:w="2164"/>
        <w:gridCol w:w="6081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</w:tblPrEx>
        <w:trPr>
          <w:trHeight w:val="1440"/>
        </w:trPr>
        <w:tc>
          <w:tcPr>
            <w:tcW w:w="21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762EC" w:rsidP="00C3513B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stĺpci (1):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762EC" w:rsidP="00C3513B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stĺpci (3):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 – bežná transpozícia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– transpozícia s možnosťou voľby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 – transpozícia podľa úvahy (dobrovoľná)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n.a. – transpozícia sa neuskutočňuje</w:t>
            </w:r>
          </w:p>
        </w:tc>
        <w:tc>
          <w:tcPr>
            <w:tcW w:w="21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762EC" w:rsidP="00C3513B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stĺpci (5):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 – článok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– paragraf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– odsek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 – veta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 – písmeno (číslo)</w:t>
            </w:r>
          </w:p>
        </w:tc>
        <w:tc>
          <w:tcPr>
            <w:tcW w:w="60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762EC" w:rsidP="00C3513B">
            <w:pPr>
              <w:pStyle w:val="Normlny"/>
              <w:autoSpaceDE/>
              <w:bidi w:val="0"/>
              <w:snapToGrid w:val="0"/>
              <w:spacing w:after="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 stĺpci (7):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Ú – úplná zhoda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 – čiastočná zhoda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 – rozpor (v príp., že zatiaľ nedošlo k transp., ale príde k nej v budúcnosti)</w:t>
            </w:r>
          </w:p>
          <w:p w:rsidR="002762EC" w:rsidP="00C3513B">
            <w:pPr>
              <w:autoSpaceDE/>
              <w:bidi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 – neaplikovateľné</w:t>
            </w:r>
          </w:p>
        </w:tc>
      </w:tr>
    </w:tbl>
    <w:p w:rsidR="002762EC" w:rsidP="00C3513B">
      <w:pPr>
        <w:bidi w:val="0"/>
        <w:jc w:val="both"/>
        <w:rPr>
          <w:rFonts w:ascii="Times New Roman" w:hAnsi="Times New Roman"/>
        </w:rPr>
      </w:pPr>
    </w:p>
    <w:sectPr w:rsidSect="00281C98">
      <w:footerReference w:type="default" r:id="rId5"/>
      <w:pgSz w:w="16838" w:h="11906" w:orient="landscape"/>
      <w:pgMar w:top="568" w:right="1418" w:bottom="1474" w:left="1418" w:header="708" w:footer="194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E0B">
    <w:pPr>
      <w:pStyle w:val="Footer"/>
      <w:bidi w:val="0"/>
      <w:jc w:val="center"/>
    </w:pPr>
    <w:r>
      <w:fldChar w:fldCharType="begin"/>
    </w:r>
    <w:r>
      <w:instrText xml:space="preserve"> PAGE </w:instrText>
    </w:r>
    <w:r>
      <w:fldChar w:fldCharType="separate"/>
    </w:r>
    <w:r w:rsidR="009E4E83">
      <w:rPr>
        <w:noProof/>
      </w:rPr>
      <w:t>1</w:t>
    </w:r>
    <w:r>
      <w:fldChar w:fldCharType="end"/>
    </w:r>
  </w:p>
  <w:p w:rsidR="00023E0B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  <w:rPr>
        <w:rFonts w:cs="Times New Roman"/>
        <w:rtl w:val="0"/>
        <w:cs w:val="0"/>
      </w:rPr>
    </w:lvl>
  </w:abstractNum>
  <w:abstractNum w:abstractNumId="1">
    <w:nsid w:val="00000002"/>
    <w:multiLevelType w:val="singleLevel"/>
    <w:tmpl w:val="A1C80E8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auto"/>
        <w:sz w:val="20"/>
        <w:szCs w:val="20"/>
        <w:rtl w:val="0"/>
        <w:cs w:val="0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5">
    <w:nsid w:val="081416F6"/>
    <w:multiLevelType w:val="hybridMultilevel"/>
    <w:tmpl w:val="02CC83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43204C1"/>
    <w:multiLevelType w:val="hybridMultilevel"/>
    <w:tmpl w:val="EAC41CD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">
    <w:nsid w:val="1E3F7CBA"/>
    <w:multiLevelType w:val="hybridMultilevel"/>
    <w:tmpl w:val="64AC8FA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244236FF"/>
    <w:multiLevelType w:val="hybridMultilevel"/>
    <w:tmpl w:val="3DDA549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A907E1"/>
    <w:multiLevelType w:val="hybridMultilevel"/>
    <w:tmpl w:val="E2A6A2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B1218B5"/>
    <w:multiLevelType w:val="hybridMultilevel"/>
    <w:tmpl w:val="4A087E8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D85775C"/>
    <w:multiLevelType w:val="hybridMultilevel"/>
    <w:tmpl w:val="F4F634A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46A7AD8"/>
    <w:multiLevelType w:val="hybridMultilevel"/>
    <w:tmpl w:val="58CC098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CC4742E"/>
    <w:multiLevelType w:val="hybridMultilevel"/>
    <w:tmpl w:val="2DC2F6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3E9C1E66"/>
    <w:multiLevelType w:val="hybridMultilevel"/>
    <w:tmpl w:val="AB4644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9ED54F1"/>
    <w:multiLevelType w:val="hybridMultilevel"/>
    <w:tmpl w:val="74787D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A392E11"/>
    <w:multiLevelType w:val="hybridMultilevel"/>
    <w:tmpl w:val="0032DB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40F1871"/>
    <w:multiLevelType w:val="hybridMultilevel"/>
    <w:tmpl w:val="B4A0043C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18">
    <w:nsid w:val="5C3C41D7"/>
    <w:multiLevelType w:val="hybridMultilevel"/>
    <w:tmpl w:val="4D505D9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7E9292A"/>
    <w:multiLevelType w:val="hybridMultilevel"/>
    <w:tmpl w:val="0110FC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D535FB2"/>
    <w:multiLevelType w:val="hybridMultilevel"/>
    <w:tmpl w:val="A01284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FD457F1"/>
    <w:multiLevelType w:val="hybridMultilevel"/>
    <w:tmpl w:val="F13AF51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0A11915"/>
    <w:multiLevelType w:val="hybridMultilevel"/>
    <w:tmpl w:val="97C8394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3F12BE9"/>
    <w:multiLevelType w:val="hybridMultilevel"/>
    <w:tmpl w:val="8714ACF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6864175"/>
    <w:multiLevelType w:val="hybridMultilevel"/>
    <w:tmpl w:val="D09440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2"/>
  </w:num>
  <w:num w:numId="8">
    <w:abstractNumId w:val="9"/>
  </w:num>
  <w:num w:numId="9">
    <w:abstractNumId w:val="20"/>
  </w:num>
  <w:num w:numId="10">
    <w:abstractNumId w:val="13"/>
  </w:num>
  <w:num w:numId="11">
    <w:abstractNumId w:val="15"/>
  </w:num>
  <w:num w:numId="12">
    <w:abstractNumId w:val="10"/>
  </w:num>
  <w:num w:numId="13">
    <w:abstractNumId w:val="24"/>
  </w:num>
  <w:num w:numId="14">
    <w:abstractNumId w:val="11"/>
  </w:num>
  <w:num w:numId="15">
    <w:abstractNumId w:val="22"/>
  </w:num>
  <w:num w:numId="16">
    <w:abstractNumId w:val="19"/>
  </w:num>
  <w:num w:numId="17">
    <w:abstractNumId w:val="21"/>
  </w:num>
  <w:num w:numId="18">
    <w:abstractNumId w:val="5"/>
  </w:num>
  <w:num w:numId="19">
    <w:abstractNumId w:val="23"/>
  </w:num>
  <w:num w:numId="20">
    <w:abstractNumId w:val="14"/>
  </w:num>
  <w:num w:numId="21">
    <w:abstractNumId w:val="16"/>
  </w:num>
  <w:num w:numId="22">
    <w:abstractNumId w:val="8"/>
  </w:num>
  <w:num w:numId="23">
    <w:abstractNumId w:val="17"/>
  </w:num>
  <w:num w:numId="24">
    <w:abstractNumId w:val="6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characterSpacingControl w:val="doNotCompress"/>
  <w:compat/>
  <w:rsids>
    <w:rsidRoot w:val="008D202D"/>
    <w:rsid w:val="00010663"/>
    <w:rsid w:val="00023E0B"/>
    <w:rsid w:val="00044E48"/>
    <w:rsid w:val="0004546C"/>
    <w:rsid w:val="0007709A"/>
    <w:rsid w:val="0009103D"/>
    <w:rsid w:val="000B55F5"/>
    <w:rsid w:val="000C1272"/>
    <w:rsid w:val="000C672E"/>
    <w:rsid w:val="000D0FB2"/>
    <w:rsid w:val="000D3FE7"/>
    <w:rsid w:val="000E018D"/>
    <w:rsid w:val="000F73E8"/>
    <w:rsid w:val="00110F79"/>
    <w:rsid w:val="00121D2C"/>
    <w:rsid w:val="0014014E"/>
    <w:rsid w:val="00144DB1"/>
    <w:rsid w:val="001524F2"/>
    <w:rsid w:val="00161B65"/>
    <w:rsid w:val="00161C8A"/>
    <w:rsid w:val="00162DDC"/>
    <w:rsid w:val="00183FB6"/>
    <w:rsid w:val="00184954"/>
    <w:rsid w:val="00187E79"/>
    <w:rsid w:val="00195733"/>
    <w:rsid w:val="001B4472"/>
    <w:rsid w:val="0021041F"/>
    <w:rsid w:val="0022095B"/>
    <w:rsid w:val="00251F6C"/>
    <w:rsid w:val="00260CA4"/>
    <w:rsid w:val="0026335C"/>
    <w:rsid w:val="002748FB"/>
    <w:rsid w:val="002762EC"/>
    <w:rsid w:val="00281C98"/>
    <w:rsid w:val="002856DC"/>
    <w:rsid w:val="00290210"/>
    <w:rsid w:val="002A13E0"/>
    <w:rsid w:val="002B3014"/>
    <w:rsid w:val="002B48FC"/>
    <w:rsid w:val="002F4541"/>
    <w:rsid w:val="00320C89"/>
    <w:rsid w:val="00351E51"/>
    <w:rsid w:val="00381038"/>
    <w:rsid w:val="003A6F41"/>
    <w:rsid w:val="003D5B00"/>
    <w:rsid w:val="003D5CD8"/>
    <w:rsid w:val="003E21DE"/>
    <w:rsid w:val="004024FA"/>
    <w:rsid w:val="00430C62"/>
    <w:rsid w:val="00447E9B"/>
    <w:rsid w:val="00452D34"/>
    <w:rsid w:val="004A4531"/>
    <w:rsid w:val="004C5AE6"/>
    <w:rsid w:val="004E77DB"/>
    <w:rsid w:val="004E7A1F"/>
    <w:rsid w:val="004F2182"/>
    <w:rsid w:val="004F52C0"/>
    <w:rsid w:val="00514426"/>
    <w:rsid w:val="00524CB3"/>
    <w:rsid w:val="00561763"/>
    <w:rsid w:val="005733BE"/>
    <w:rsid w:val="00584FA8"/>
    <w:rsid w:val="005A046F"/>
    <w:rsid w:val="005A0F11"/>
    <w:rsid w:val="005B349D"/>
    <w:rsid w:val="005F699A"/>
    <w:rsid w:val="005F712D"/>
    <w:rsid w:val="0060362E"/>
    <w:rsid w:val="00610363"/>
    <w:rsid w:val="006200F6"/>
    <w:rsid w:val="00637218"/>
    <w:rsid w:val="00662E73"/>
    <w:rsid w:val="006745C3"/>
    <w:rsid w:val="00675263"/>
    <w:rsid w:val="00684453"/>
    <w:rsid w:val="006A67F0"/>
    <w:rsid w:val="006C5AD8"/>
    <w:rsid w:val="007339BE"/>
    <w:rsid w:val="00773E81"/>
    <w:rsid w:val="00785AFC"/>
    <w:rsid w:val="0079771E"/>
    <w:rsid w:val="007A4852"/>
    <w:rsid w:val="007C7165"/>
    <w:rsid w:val="007E715B"/>
    <w:rsid w:val="00814B19"/>
    <w:rsid w:val="00837230"/>
    <w:rsid w:val="00873E3B"/>
    <w:rsid w:val="008835B3"/>
    <w:rsid w:val="008847A7"/>
    <w:rsid w:val="00885ABC"/>
    <w:rsid w:val="008D202D"/>
    <w:rsid w:val="008D3A38"/>
    <w:rsid w:val="008F200A"/>
    <w:rsid w:val="00952AF3"/>
    <w:rsid w:val="009579B3"/>
    <w:rsid w:val="0096578B"/>
    <w:rsid w:val="0097020E"/>
    <w:rsid w:val="00975F01"/>
    <w:rsid w:val="009C3A41"/>
    <w:rsid w:val="009E4E83"/>
    <w:rsid w:val="009E6D48"/>
    <w:rsid w:val="009F268D"/>
    <w:rsid w:val="00A07330"/>
    <w:rsid w:val="00A0736F"/>
    <w:rsid w:val="00A1135D"/>
    <w:rsid w:val="00A41050"/>
    <w:rsid w:val="00A47E57"/>
    <w:rsid w:val="00A772E9"/>
    <w:rsid w:val="00A94F7E"/>
    <w:rsid w:val="00A958E1"/>
    <w:rsid w:val="00AB6D63"/>
    <w:rsid w:val="00AC7E68"/>
    <w:rsid w:val="00AD738B"/>
    <w:rsid w:val="00AE5B89"/>
    <w:rsid w:val="00AF0B3B"/>
    <w:rsid w:val="00AF19E0"/>
    <w:rsid w:val="00AF2A3F"/>
    <w:rsid w:val="00AF5E08"/>
    <w:rsid w:val="00B14CAD"/>
    <w:rsid w:val="00B25667"/>
    <w:rsid w:val="00B33FE5"/>
    <w:rsid w:val="00B41FC3"/>
    <w:rsid w:val="00B76B06"/>
    <w:rsid w:val="00BB33D8"/>
    <w:rsid w:val="00BB5B66"/>
    <w:rsid w:val="00BE30FC"/>
    <w:rsid w:val="00BF2AA6"/>
    <w:rsid w:val="00BF3130"/>
    <w:rsid w:val="00C13E6E"/>
    <w:rsid w:val="00C210BA"/>
    <w:rsid w:val="00C23C8F"/>
    <w:rsid w:val="00C3513B"/>
    <w:rsid w:val="00C36EBF"/>
    <w:rsid w:val="00C56594"/>
    <w:rsid w:val="00C855CB"/>
    <w:rsid w:val="00C8640A"/>
    <w:rsid w:val="00C864EA"/>
    <w:rsid w:val="00CA2254"/>
    <w:rsid w:val="00CB248A"/>
    <w:rsid w:val="00CD445F"/>
    <w:rsid w:val="00CE4BD5"/>
    <w:rsid w:val="00D818EE"/>
    <w:rsid w:val="00DB7EBC"/>
    <w:rsid w:val="00DC0942"/>
    <w:rsid w:val="00DD01FC"/>
    <w:rsid w:val="00DF2ECC"/>
    <w:rsid w:val="00E45972"/>
    <w:rsid w:val="00E625C5"/>
    <w:rsid w:val="00E7008B"/>
    <w:rsid w:val="00E76592"/>
    <w:rsid w:val="00E82B6B"/>
    <w:rsid w:val="00E90371"/>
    <w:rsid w:val="00EA179C"/>
    <w:rsid w:val="00EC60EB"/>
    <w:rsid w:val="00ED56A5"/>
    <w:rsid w:val="00ED5F37"/>
    <w:rsid w:val="00ED7833"/>
    <w:rsid w:val="00EF10A6"/>
    <w:rsid w:val="00F055F4"/>
    <w:rsid w:val="00F24C27"/>
    <w:rsid w:val="00F2587E"/>
    <w:rsid w:val="00F53820"/>
    <w:rsid w:val="00F65C48"/>
    <w:rsid w:val="00FB4C1C"/>
    <w:rsid w:val="00FB692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A1F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num" w:pos="0"/>
      </w:tabs>
      <w:ind w:left="432" w:hanging="432"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num" w:pos="0"/>
      </w:tabs>
      <w:ind w:left="864" w:hanging="864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5z0">
    <w:name w:val="WW8Num5z0"/>
    <w:rPr>
      <w:rFonts w:ascii="Times New Roman" w:hAnsi="Times New Roman" w:cs="Times New Roman"/>
      <w:sz w:val="24"/>
    </w:rPr>
  </w:style>
  <w:style w:type="character" w:customStyle="1" w:styleId="Predvolenpsmoodseku2">
    <w:name w:val="Predvolené písmo odseku2"/>
  </w:style>
  <w:style w:type="character" w:customStyle="1" w:styleId="Absatz-Standardschriftart">
    <w:name w:val="Absatz-Standardschriftart"/>
  </w:style>
  <w:style w:type="character" w:customStyle="1" w:styleId="WW8Num7z2">
    <w:name w:val="WW8Num7z2"/>
    <w:rPr>
      <w:rFonts w:ascii="Times New Roman" w:hAnsi="Times New Roman" w:cs="Times New Roman"/>
    </w:rPr>
  </w:style>
  <w:style w:type="character" w:customStyle="1" w:styleId="WW8Num13z1">
    <w:name w:val="WW8Num13z1"/>
    <w:rPr>
      <w:color w:val="auto"/>
    </w:rPr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21z0">
    <w:name w:val="WW8Num21z0"/>
    <w:rPr>
      <w:color w:val="auto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8z0">
    <w:name w:val="WW8Num28z0"/>
    <w:rPr>
      <w:color w:val="auto"/>
    </w:rPr>
  </w:style>
  <w:style w:type="character" w:customStyle="1" w:styleId="WW8Num36z0">
    <w:name w:val="WW8Num36z0"/>
    <w:rPr>
      <w:color w:val="auto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2z0">
    <w:name w:val="WW8Num22z0"/>
    <w:rPr>
      <w:color w:val="auto"/>
    </w:rPr>
  </w:style>
  <w:style w:type="character" w:customStyle="1" w:styleId="WW8Num22z1">
    <w:name w:val="WW8Num22z1"/>
    <w:rPr>
      <w:rFonts w:ascii="Times New Roman" w:hAnsi="Times New Roman" w:cs="Times New Roman"/>
    </w:rPr>
  </w:style>
  <w:style w:type="character" w:customStyle="1" w:styleId="WW8Num29z0">
    <w:name w:val="WW8Num29z0"/>
    <w:rPr>
      <w:rFonts w:ascii="Times New Roman" w:hAnsi="Times New Roman" w:cs="Times New Roman"/>
    </w:rPr>
  </w:style>
  <w:style w:type="character" w:customStyle="1" w:styleId="WW8Num37z0">
    <w:name w:val="WW8Num37z0"/>
    <w:rPr>
      <w:color w:val="auto"/>
    </w:rPr>
  </w:style>
  <w:style w:type="character" w:customStyle="1" w:styleId="WW-Absatz-Standardschriftart11">
    <w:name w:val="WW-Absatz-Standardschriftart11"/>
  </w:style>
  <w:style w:type="character" w:customStyle="1" w:styleId="WW8Num8z2">
    <w:name w:val="WW8Num8z2"/>
    <w:rPr>
      <w:rFonts w:ascii="Times New Roman" w:hAnsi="Times New Roman" w:cs="Times New Roman"/>
    </w:rPr>
  </w:style>
  <w:style w:type="character" w:customStyle="1" w:styleId="WW8Num14z1">
    <w:name w:val="WW8Num14z1"/>
    <w:rPr>
      <w:color w:val="auto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23z0">
    <w:name w:val="WW8Num23z0"/>
    <w:rPr>
      <w:color w:val="auto"/>
    </w:rPr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40z0">
    <w:name w:val="WW8Num40z0"/>
    <w:rPr>
      <w:color w:val="auto"/>
    </w:rPr>
  </w:style>
  <w:style w:type="character" w:customStyle="1" w:styleId="WW-Absatz-Standardschriftart111">
    <w:name w:val="WW-Absatz-Standardschriftart111"/>
  </w:style>
  <w:style w:type="character" w:customStyle="1" w:styleId="WW8Num13z0">
    <w:name w:val="WW8Num13z0"/>
    <w:rPr>
      <w:rFonts w:ascii="Times New Roman" w:hAnsi="Times New Roman" w:cs="Times New Roman"/>
    </w:rPr>
  </w:style>
  <w:style w:type="character" w:customStyle="1" w:styleId="WW8Num15z1">
    <w:name w:val="WW8Num15z1"/>
    <w:rPr>
      <w:color w:val="auto"/>
    </w:rPr>
  </w:style>
  <w:style w:type="character" w:customStyle="1" w:styleId="WW8Num16z0">
    <w:name w:val="WW8Num16z0"/>
    <w:rPr>
      <w:rFonts w:ascii="Times New Roman" w:hAnsi="Times New Roman" w:cs="Times New Roman"/>
    </w:rPr>
  </w:style>
  <w:style w:type="character" w:customStyle="1" w:styleId="WW8Num17z2">
    <w:name w:val="WW8Num17z2"/>
    <w:rPr>
      <w:color w:val="auto"/>
    </w:rPr>
  </w:style>
  <w:style w:type="character" w:customStyle="1" w:styleId="WW8Num25z0">
    <w:name w:val="WW8Num25z0"/>
    <w:rPr>
      <w:color w:val="auto"/>
    </w:rPr>
  </w:style>
  <w:style w:type="character" w:customStyle="1" w:styleId="WW8Num25z1">
    <w:name w:val="WW8Num25z1"/>
    <w:rPr>
      <w:rFonts w:ascii="Times New Roman" w:hAnsi="Times New Roman" w:cs="Times New Roman"/>
    </w:rPr>
  </w:style>
  <w:style w:type="character" w:customStyle="1" w:styleId="WW8Num34z0">
    <w:name w:val="WW8Num34z0"/>
    <w:rPr>
      <w:rFonts w:ascii="Times New Roman" w:hAnsi="Times New Roman" w:cs="Times New Roman"/>
    </w:rPr>
  </w:style>
  <w:style w:type="character" w:customStyle="1" w:styleId="WW8Num42z0">
    <w:name w:val="WW8Num42z0"/>
    <w:rPr>
      <w:color w:val="auto"/>
    </w:rPr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</w:style>
  <w:style w:type="character" w:customStyle="1" w:styleId="WW8Num3z0">
    <w:name w:val="WW8Num3z0"/>
    <w:rPr>
      <w:color w:val="auto"/>
    </w:rPr>
  </w:style>
  <w:style w:type="character" w:customStyle="1" w:styleId="WW8Num4z0">
    <w:name w:val="WW8Num4z0"/>
  </w:style>
  <w:style w:type="character" w:customStyle="1" w:styleId="WW8Num4z2">
    <w:name w:val="WW8Num4z2"/>
    <w:rPr>
      <w:color w:val="auto"/>
    </w:rPr>
  </w:style>
  <w:style w:type="character" w:customStyle="1" w:styleId="WW8Num6z0">
    <w:name w:val="WW8Num6z0"/>
  </w:style>
  <w:style w:type="character" w:customStyle="1" w:styleId="WW8Num10z1">
    <w:name w:val="WW8Num10z1"/>
    <w:rPr>
      <w:color w:val="auto"/>
    </w:rPr>
  </w:style>
  <w:style w:type="character" w:customStyle="1" w:styleId="WW8Num11z2">
    <w:name w:val="WW8Num11z2"/>
    <w:rPr>
      <w:rFonts w:ascii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8z1">
    <w:name w:val="WW8Num18z1"/>
    <w:rPr>
      <w:color w:val="auto"/>
    </w:rPr>
  </w:style>
  <w:style w:type="character" w:customStyle="1" w:styleId="WW8Num19z0">
    <w:name w:val="WW8Num19z0"/>
    <w:rPr>
      <w:color w:val="auto"/>
    </w:rPr>
  </w:style>
  <w:style w:type="character" w:customStyle="1" w:styleId="WW8Num20z2">
    <w:name w:val="WW8Num20z2"/>
    <w:rPr>
      <w:color w:val="auto"/>
    </w:rPr>
  </w:style>
  <w:style w:type="character" w:customStyle="1" w:styleId="WW8Num28z1">
    <w:name w:val="WW8Num28z1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48z0">
    <w:name w:val="WW8Num48z0"/>
    <w:rPr>
      <w:color w:val="auto"/>
    </w:rPr>
  </w:style>
  <w:style w:type="character" w:customStyle="1" w:styleId="WW8Num49z0">
    <w:name w:val="WW8Num49z0"/>
  </w:style>
  <w:style w:type="character" w:customStyle="1" w:styleId="Predvolenpsmoodseku1">
    <w:name w:val="Predvolené písmo odseku1"/>
  </w:style>
  <w:style w:type="character" w:customStyle="1" w:styleId="FootnoteTextChar">
    <w:name w:val="Footnote Text Char"/>
    <w:rPr>
      <w:lang w:val="sk-SK" w:eastAsia="ar-SA" w:bidi="ar-SA"/>
    </w:rPr>
  </w:style>
  <w:style w:type="character" w:styleId="PageNumber">
    <w:name w:val="page number"/>
    <w:basedOn w:val="Predvolenpsmoodseku1"/>
    <w:rPr>
      <w:rFonts w:cs="Times New Roman"/>
      <w:rtl w:val="0"/>
      <w:cs w:val="0"/>
    </w:rPr>
  </w:style>
  <w:style w:type="character" w:customStyle="1" w:styleId="Znakyprepoznmkupodiarou">
    <w:name w:val="Znaky pre poznámku pod čiarou"/>
    <w:rPr>
      <w:vertAlign w:val="superscript"/>
    </w:rPr>
  </w:style>
  <w:style w:type="character" w:customStyle="1" w:styleId="Odkaznapoznmkupodiarou1">
    <w:name w:val="Odkaz na poznámku pod čiarou1"/>
    <w:rPr>
      <w:vertAlign w:val="superscript"/>
    </w:rPr>
  </w:style>
  <w:style w:type="character" w:customStyle="1" w:styleId="Znakyprevysvetlivky">
    <w:name w:val="Znaky pre vysvetlivky"/>
    <w:rPr>
      <w:vertAlign w:val="superscript"/>
    </w:rPr>
  </w:style>
  <w:style w:type="character" w:customStyle="1" w:styleId="WW-Znakyprevysvetlivky">
    <w:name w:val="WW-Znaky pre vysvetlivky"/>
  </w:style>
  <w:style w:type="character" w:customStyle="1" w:styleId="Odkaznavysvetlivku1">
    <w:name w:val="Odkaz na vysvetlivku1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character" w:customStyle="1" w:styleId="Symbolypreslovanie">
    <w:name w:val="Symboly pre číslovanie"/>
  </w:style>
  <w:style w:type="character" w:customStyle="1" w:styleId="TextbublinyChar">
    <w:name w:val="Text bubliny Char"/>
    <w:rPr>
      <w:rFonts w:ascii="Tahoma" w:hAnsi="Tahoma" w:cs="Tahoma"/>
      <w:sz w:val="16"/>
    </w:rPr>
  </w:style>
  <w:style w:type="character" w:customStyle="1" w:styleId="num1">
    <w:name w:val="num1"/>
    <w:rPr>
      <w:b/>
      <w:color w:val="303030"/>
    </w:rPr>
  </w:style>
  <w:style w:type="character" w:customStyle="1" w:styleId="PtaChar">
    <w:name w:val="Päta Char"/>
    <w:rPr>
      <w:rFonts w:ascii="Arial" w:hAnsi="Arial" w:cs="Arial"/>
      <w:sz w:val="22"/>
    </w:rPr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List">
    <w:name w:val="List"/>
    <w:basedOn w:val="BodyText"/>
    <w:pPr>
      <w:jc w:val="left"/>
    </w:pPr>
    <w:rPr>
      <w:rFonts w:cs="Mangal"/>
    </w:r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Mangal"/>
    </w:rPr>
  </w:style>
  <w:style w:type="paragraph" w:customStyle="1" w:styleId="Zkladntext31">
    <w:name w:val="Základný text 31"/>
    <w:basedOn w:val="Normal"/>
    <w:pPr>
      <w:spacing w:line="240" w:lineRule="atLeast"/>
      <w:jc w:val="both"/>
    </w:pPr>
  </w:style>
  <w:style w:type="paragraph" w:styleId="BodyTextIndent">
    <w:name w:val="Body Text Indent"/>
    <w:basedOn w:val="Normal"/>
    <w:pPr>
      <w:spacing w:after="120" w:line="480" w:lineRule="auto"/>
      <w:jc w:val="left"/>
    </w:pPr>
  </w:style>
  <w:style w:type="paragraph" w:customStyle="1" w:styleId="Normlny">
    <w:name w:val="_Normálny"/>
    <w:basedOn w:val="Normal"/>
    <w:pPr>
      <w:jc w:val="left"/>
    </w:pPr>
    <w:rPr>
      <w:sz w:val="20"/>
      <w:szCs w:val="20"/>
    </w:rPr>
  </w:style>
  <w:style w:type="paragraph" w:styleId="FootnoteText">
    <w:name w:val="footnote text"/>
    <w:basedOn w:val="Normal"/>
    <w:pPr>
      <w:jc w:val="left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pPr>
      <w:autoSpaceDE/>
      <w:spacing w:before="280" w:after="280"/>
      <w:jc w:val="left"/>
    </w:pPr>
    <w:rPr>
      <w:rFonts w:ascii="Arial Unicode MS" w:eastAsia="Arial Unicode MS" w:hAnsi="Arial Unicode MS" w:cs="Arial Unicode MS"/>
      <w:lang w:val="cs-CZ"/>
    </w:rPr>
  </w:style>
  <w:style w:type="paragraph" w:customStyle="1" w:styleId="Default">
    <w:name w:val="Default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ascii="EUAlbertina" w:eastAsia="Arial" w:hAnsi="EUAlbertina" w:cs="EUAlbertina"/>
      <w:color w:val="000000"/>
      <w:sz w:val="24"/>
      <w:szCs w:val="24"/>
      <w:rtl w:val="0"/>
      <w:cs w:val="0"/>
      <w:lang w:val="sk-SK" w:eastAsia="ar-SA" w:bidi="ar-SA"/>
    </w:rPr>
  </w:style>
  <w:style w:type="paragraph" w:customStyle="1" w:styleId="CM4">
    <w:name w:val="CM4"/>
    <w:basedOn w:val="Default"/>
    <w:next w:val="Default"/>
    <w:pPr>
      <w:jc w:val="left"/>
    </w:pPr>
    <w:rPr>
      <w:rFonts w:cs="Times New Roman"/>
      <w:color w:val="auto"/>
    </w:rPr>
  </w:style>
  <w:style w:type="paragraph" w:customStyle="1" w:styleId="titulok">
    <w:name w:val="titulok"/>
    <w:basedOn w:val="Normal"/>
    <w:pPr>
      <w:autoSpaceDE/>
      <w:spacing w:before="280" w:after="280"/>
      <w:jc w:val="center"/>
    </w:pPr>
    <w:rPr>
      <w:rFonts w:ascii="Arial" w:hAnsi="Arial" w:cs="Arial"/>
      <w:b/>
      <w:bCs/>
      <w:color w:val="007060"/>
    </w:rPr>
  </w:style>
  <w:style w:type="paragraph" w:customStyle="1" w:styleId="Odsekzoznamu1">
    <w:name w:val="Odsek zoznamu1"/>
    <w:basedOn w:val="Normal"/>
    <w:pPr>
      <w:autoSpaceDE/>
      <w:ind w:left="708"/>
      <w:jc w:val="left"/>
    </w:pPr>
  </w:style>
  <w:style w:type="paragraph" w:customStyle="1" w:styleId="Obsahtabuky">
    <w:name w:val="Obsah tabuľky"/>
    <w:basedOn w:val="Normal"/>
    <w:pPr>
      <w:suppressLineNumbers/>
      <w:jc w:val="left"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BodyText"/>
    <w:pPr>
      <w:jc w:val="left"/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  <w:jc w:val="left"/>
    </w:p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customStyle="1" w:styleId="l71">
    <w:name w:val="l71"/>
    <w:basedOn w:val="Normal"/>
    <w:pPr>
      <w:suppressAutoHyphens w:val="0"/>
      <w:autoSpaceDE/>
      <w:jc w:val="both"/>
    </w:pPr>
  </w:style>
  <w:style w:type="paragraph" w:styleId="NoSpacing">
    <w:name w:val="No Spacing"/>
    <w:uiPriority w:val="1"/>
    <w:qFormat/>
    <w:rsid w:val="00010663"/>
    <w:pPr>
      <w:framePr w:wrap="auto"/>
      <w:widowControl/>
      <w:suppressAutoHyphens/>
      <w:autoSpaceDE w:val="0"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ListParagraph">
    <w:name w:val="List Paragraph"/>
    <w:basedOn w:val="Normal"/>
    <w:uiPriority w:val="99"/>
    <w:qFormat/>
    <w:rsid w:val="00662E73"/>
    <w:pPr>
      <w:suppressAutoHyphens w:val="0"/>
      <w:autoSpaceDE/>
      <w:ind w:left="720"/>
      <w:contextualSpacing/>
      <w:jc w:val="both"/>
    </w:pPr>
    <w:rPr>
      <w:rFonts w:ascii="Times New Roman" w:eastAsia="Calibri" w:hAnsi="Times New Roman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tab_zhody-2014_66"/>
    <f:field ref="objsubject" par="" edit="true" text=""/>
    <f:field ref="objcreatedby" par="" text="Gregušová, Klaudia"/>
    <f:field ref="objcreatedat" par="" text="5.10.2017 6:49:28"/>
    <f:field ref="objchangedby" par="" text="Administrator, System"/>
    <f:field ref="objmodifiedat" par="" text="5.10.2017 6:49:2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2802</Words>
  <Characters>15975</Characters>
  <Application>Microsoft Office Word</Application>
  <DocSecurity>0</DocSecurity>
  <Lines>0</Lines>
  <Paragraphs>0</Paragraphs>
  <ScaleCrop>false</ScaleCrop>
  <Company>MVSR</Company>
  <LinksUpToDate>false</LinksUpToDate>
  <CharactersWithSpaces>18740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sipkova1269377</dc:creator>
  <cp:lastModifiedBy>Marianna Ferancova</cp:lastModifiedBy>
  <cp:revision>2</cp:revision>
  <cp:lastPrinted>2012-09-25T08:43:00Z</cp:lastPrinted>
  <dcterms:created xsi:type="dcterms:W3CDTF">2018-01-05T10:51:00Z</dcterms:created>
  <dcterms:modified xsi:type="dcterms:W3CDTF">2018-01-05T10:51:00Z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COO.2145.1000.3.2182254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/>
  </property>
  <property fmtid="{D5CDD505-2E9C-101B-9397-08002B2CF9AE}" pid="7" name="FSC#SKEDITIONSLOVLEX@103.510:AttrStrDocPropVplyvNaInformatizaciu">
    <vt:lpwstr/>
  </property>
  <property fmtid="{D5CDD505-2E9C-101B-9397-08002B2CF9AE}" pid="8" name="FSC#SKEDITIONSLOVLEX@103.510:AttrStrDocPropVplyvNaZivotProstr">
    <vt:lpwstr/>
  </property>
  <property fmtid="{D5CDD505-2E9C-101B-9397-08002B2CF9AE}" pid="9" name="FSC#SKEDITIONSLOVLEX@103.510:AttrStrDocPropVplyvPodnikatelskeProstr">
    <vt:lpwstr/>
  </property>
  <property fmtid="{D5CDD505-2E9C-101B-9397-08002B2CF9AE}" pid="10" name="FSC#SKEDITIONSLOVLEX@103.510:AttrStrDocPropVplyvRozpocetVS">
    <vt:lpwstr/>
  </property>
  <property fmtid="{D5CDD505-2E9C-101B-9397-08002B2CF9AE}" pid="11" name="FSC#SKEDITIONSLOVLEX@103.510:AttrStrDocPropVplyvSocialny">
    <vt:lpwstr/>
  </property>
  <property fmtid="{D5CDD505-2E9C-101B-9397-08002B2CF9AE}" pid="12" name="FSC#SKEDITIONSLOVLEX@103.510:AttrStrListDocPropAltRiesenia">
    <vt:lpwstr/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vnútra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 ktorým sa mení a dopĺňa zákon č. 404/2011 Z. z. o pobyte cudzincov a o zmene a doplnení niektorých zákonov v znení neskorších predpisov a ktorým</vt:lpwstr>
  </property>
  <property fmtid="{D5CDD505-2E9C-101B-9397-08002B2CF9AE}" pid="32" name="FSC#SKEDITIONSLOVLEX@103.510:AttrStrListDocPropTextPredklSpravy">
    <vt:lpwstr>&lt;p&gt;Návrh zákona, ktorým sa mení a dopĺňa zákon č. 404/2011 Z. z. o&amp;nbsp;pobyte cudzincov a&amp;nbsp;o&amp;nbsp;zmene a&amp;nbsp;doplnení niektorých zákonov v&amp;nbsp;znení neskorších predpisov a&amp;nbsp;ktorým sa menia a dopĺňajú &amp;nbsp;niektoré zákony (ďalej len „návrh zák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podpredseda vlády a minister vnútra SR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LP/2017/716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podpredseda vlády a minister vnútra SR</vt:lpwstr>
  </property>
  <property fmtid="{D5CDD505-2E9C-101B-9397-08002B2CF9AE}" pid="122" name="FSC#SKEDITIONSLOVLEX@103.510:funkciaZodpPredAkuzativ">
    <vt:lpwstr>podpredsedovi vlády a ministerovi vnútra Slovenskej republiky</vt:lpwstr>
  </property>
  <property fmtid="{D5CDD505-2E9C-101B-9397-08002B2CF9AE}" pid="123" name="FSC#SKEDITIONSLOVLEX@103.510:funkciaZodpPredDativ">
    <vt:lpwstr>podpredsedu vlády a ministra vnútra Slovenskej republiky</vt:lpwstr>
  </property>
  <property fmtid="{D5CDD505-2E9C-101B-9397-08002B2CF9AE}" pid="124" name="FSC#SKEDITIONSLOVLEX@103.510:legoblast">
    <vt:lpwstr>Správne právo</vt:lpwstr>
  </property>
  <property fmtid="{D5CDD505-2E9C-101B-9397-08002B2CF9AE}" pid="125" name="FSC#SKEDITIONSLOVLEX@103.510:nazovpredpis">
    <vt:lpwstr> ktorým sa mení a dopĺňa zákon č. 404/2011 Z. z. o pobyte cudzincov a o zmene a doplnení niektorých zákonov v znení neskorších predpisov a ktorým sa menia a dopĺňajú niektoré zákony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ktorým sa mení a dopĺňa zákon č. 404/2011 Z. z. o pobyte cudzincov a o zmene a doplnení niektorých zákonov v znení neskorších predpisov a ktorým sa menia a dopĺňajú niektoré zákony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rok 2017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Klaudia Gregušová</vt:lpwstr>
  </property>
  <property fmtid="{D5CDD505-2E9C-101B-9397-08002B2CF9AE}" pid="138" name="FSC#SKEDITIONSLOVLEX@103.510:predkladateliaObalSD">
    <vt:lpwstr>Robert Kaliňák
podpredseda vlády a minister vnútra SR</vt:lpwstr>
  </property>
  <property fmtid="{D5CDD505-2E9C-101B-9397-08002B2CF9AE}" pid="139" name="FSC#SKEDITIONSLOVLEX@103.510:pripomienkovatelia">
    <vt:lpwstr>Ministerstvo vnútra Slovenskej republiky, Ministerstvo vnútra Slovenskej republiky, Ministerstvo vnútra Slovenskej republiky, Ministerstvo vnútra Slovenskej republiky, Ministerstvo vnútra Slovenskej republiky, Ministerstvo vnútra Slovenskej republiky, Min</vt:lpwstr>
  </property>
  <property fmtid="{D5CDD505-2E9C-101B-9397-08002B2CF9AE}" pid="140" name="FSC#SKEDITIONSLOVLEX@103.510:rezortcislopredpis">
    <vt:lpwstr>KM-OBL-130/2017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&lt;p&gt;Návrh zákona, ktorým sa mení a dopĺňa zákon č. 404/2011 Z. z. o pobyte cudzincov a o zmene a doplnení niektorých zákonov v znení neskorších predpisov a ktorým sa menia a dopĺňajú niektoré zákony bol vypracovaný v&amp;nbsp;spolupráci s dotknutými podnikateľ</vt:lpwstr>
  </property>
  <property fmtid="{D5CDD505-2E9C-101B-9397-08002B2CF9AE}" pid="143" name="FSC#SKEDITIONSLOVLEX@103.510:stavpredpis">
    <vt:lpwstr>Vyhodnotenie medzirezortného pripomienkového konania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Tabuľka zhody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5. 10. 2017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vnútra Slovenskej republiky</vt:lpwstr>
  </property>
  <property fmtid="{D5CDD505-2E9C-101B-9397-08002B2CF9AE}" pid="152" name="FSC#SKEDITIONSLOVLEX@103.510:zodppredkladatel">
    <vt:lpwstr>Robert Kaliňák</vt:lpwstr>
  </property>
</Properties>
</file>