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14B99" w:rsidRPr="00117A7E">
      <w:pPr>
        <w:bidi w:val="0"/>
        <w:jc w:val="center"/>
        <w:rPr>
          <w:rFonts w:ascii="Times New Roman" w:hAnsi="Times New Roman"/>
          <w:b/>
          <w:caps/>
          <w:spacing w:val="30"/>
          <w:sz w:val="25"/>
          <w:szCs w:val="25"/>
        </w:rPr>
      </w:pPr>
      <w:r w:rsidRPr="00117A7E" w:rsidR="00B326AA">
        <w:rPr>
          <w:rFonts w:ascii="Times New Roman" w:hAnsi="Times New Roman"/>
          <w:b/>
          <w:caps/>
          <w:spacing w:val="30"/>
          <w:sz w:val="25"/>
          <w:szCs w:val="25"/>
        </w:rPr>
        <w:t>Doložka zlučiteľnosti</w:t>
      </w:r>
    </w:p>
    <w:p w:rsidR="001F0AA3" w:rsidRPr="00117A7E" w:rsidP="00DC377E">
      <w:pPr>
        <w:bidi w:val="0"/>
        <w:jc w:val="center"/>
        <w:rPr>
          <w:rFonts w:ascii="Times New Roman" w:hAnsi="Times New Roman"/>
          <w:b/>
          <w:sz w:val="25"/>
          <w:szCs w:val="25"/>
        </w:rPr>
      </w:pPr>
      <w:r w:rsidR="00C12975">
        <w:rPr>
          <w:rFonts w:ascii="Times New Roman" w:hAnsi="Times New Roman"/>
          <w:b/>
          <w:sz w:val="25"/>
          <w:szCs w:val="25"/>
        </w:rPr>
        <w:t xml:space="preserve">návrhu </w:t>
      </w:r>
      <w:r w:rsidRPr="00117A7E" w:rsidR="00B326AA">
        <w:rPr>
          <w:rFonts w:ascii="Times New Roman" w:hAnsi="Times New Roman"/>
          <w:b/>
          <w:sz w:val="25"/>
          <w:szCs w:val="25"/>
        </w:rPr>
        <w:t>právneho p</w:t>
      </w:r>
      <w:r w:rsidRPr="00117A7E" w:rsidR="00DC377E">
        <w:rPr>
          <w:rFonts w:ascii="Times New Roman" w:hAnsi="Times New Roman"/>
          <w:b/>
          <w:sz w:val="25"/>
          <w:szCs w:val="25"/>
        </w:rPr>
        <w:t>redpisu s právom Európskej únie</w:t>
      </w:r>
    </w:p>
    <w:p w:rsidR="00DC377E" w:rsidRPr="00117A7E" w:rsidP="00DC377E">
      <w:pPr>
        <w:bidi w:val="0"/>
        <w:jc w:val="center"/>
        <w:rPr>
          <w:rFonts w:ascii="Times New Roman" w:hAnsi="Times New Roman"/>
          <w:b/>
          <w:sz w:val="25"/>
          <w:szCs w:val="25"/>
        </w:rPr>
      </w:pPr>
    </w:p>
    <w:p w:rsidR="00DC377E" w:rsidRPr="00117A7E" w:rsidP="00DC377E">
      <w:pPr>
        <w:bidi w:val="0"/>
        <w:jc w:val="center"/>
        <w:rPr>
          <w:rFonts w:ascii="Times New Roman" w:hAnsi="Times New Roman"/>
          <w:b/>
          <w:sz w:val="25"/>
          <w:szCs w:val="25"/>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9627"/>
      </w:tblGrid>
      <w:tr>
        <w:tblPrEx>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5"/>
                <w:szCs w:val="25"/>
              </w:rPr>
            </w:pPr>
            <w:r w:rsidRPr="00117A7E">
              <w:rPr>
                <w:rFonts w:ascii="Times New Roman" w:hAnsi="Times New Roman"/>
                <w:b/>
                <w:sz w:val="25"/>
                <w:szCs w:val="25"/>
              </w:rPr>
              <w:t>1.</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5"/>
                <w:szCs w:val="25"/>
              </w:rPr>
            </w:pPr>
            <w:r w:rsidRPr="00117A7E">
              <w:rPr>
                <w:rFonts w:ascii="Times New Roman" w:hAnsi="Times New Roman"/>
                <w:b/>
                <w:sz w:val="25"/>
                <w:szCs w:val="25"/>
              </w:rPr>
              <w:t xml:space="preserve">Predkladateľ </w:t>
            </w:r>
            <w:r w:rsidR="00C12975">
              <w:rPr>
                <w:rFonts w:ascii="Times New Roman" w:hAnsi="Times New Roman"/>
                <w:b/>
                <w:sz w:val="25"/>
                <w:szCs w:val="25"/>
              </w:rPr>
              <w:t xml:space="preserve">návrhu </w:t>
            </w:r>
            <w:r w:rsidRPr="00117A7E">
              <w:rPr>
                <w:rFonts w:ascii="Times New Roman" w:hAnsi="Times New Roman"/>
                <w:b/>
                <w:sz w:val="25"/>
                <w:szCs w:val="25"/>
              </w:rPr>
              <w:t>právneho predpisu:</w:t>
            </w:r>
            <w:r w:rsidRPr="00117A7E" w:rsidR="00632C56">
              <w:rPr>
                <w:rFonts w:ascii="Times New Roman" w:hAnsi="Times New Roman"/>
                <w:sz w:val="25"/>
                <w:szCs w:val="25"/>
              </w:rPr>
              <w:t xml:space="preserve"> </w:t>
            </w:r>
            <w:r w:rsidR="004D00C4">
              <w:rPr>
                <w:rFonts w:ascii="Times New Roman" w:hAnsi="Times New Roman"/>
                <w:sz w:val="25"/>
                <w:szCs w:val="25"/>
              </w:rPr>
              <w:t xml:space="preserve">Ministerstvo spravodlivosti Slovenskej republiky </w:t>
            </w:r>
            <w:r w:rsidRPr="00117A7E" w:rsidR="00D7275F">
              <w:rPr>
                <w:rFonts w:ascii="Times New Roman" w:hAnsi="Times New Roman"/>
                <w:sz w:val="25"/>
                <w:szCs w:val="25"/>
              </w:rPr>
              <w:fldChar w:fldCharType="begin"/>
            </w:r>
            <w:r w:rsidRPr="00117A7E" w:rsidR="00D7275F">
              <w:rPr>
                <w:rFonts w:ascii="Times New Roman" w:hAnsi="Times New Roman"/>
                <w:sz w:val="25"/>
                <w:szCs w:val="25"/>
              </w:rPr>
              <w:instrText xml:space="preserve"> DOCPROPERTY  FSC#SKEDITIONSLOVLEX@103.510:zodpinstitucia  \* MERGEFORMAT </w:instrText>
            </w:r>
            <w:r w:rsidRPr="00117A7E" w:rsidR="00D7275F">
              <w:rPr>
                <w:rFonts w:ascii="Times New Roman" w:hAnsi="Times New Roman"/>
                <w:sz w:val="25"/>
                <w:szCs w:val="25"/>
              </w:rPr>
              <w:fldChar w:fldCharType="separate"/>
            </w:r>
            <w:r w:rsidRPr="00117A7E" w:rsidR="00D7275F">
              <w:rPr>
                <w:rFonts w:ascii="Times New Roman" w:hAnsi="Times New Roman"/>
                <w:sz w:val="25"/>
                <w:szCs w:val="25"/>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117A7E" w:rsidP="00632C56">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5"/>
                <w:szCs w:val="25"/>
              </w:rPr>
            </w:pPr>
            <w:r w:rsidRPr="00117A7E">
              <w:rPr>
                <w:rFonts w:ascii="Times New Roman" w:hAnsi="Times New Roman"/>
                <w:b/>
                <w:sz w:val="25"/>
                <w:szCs w:val="25"/>
              </w:rPr>
              <w:t>2.</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345EA">
            <w:pPr>
              <w:tabs>
                <w:tab w:val="left" w:pos="360"/>
              </w:tabs>
              <w:bidi w:val="0"/>
              <w:rPr>
                <w:rFonts w:ascii="Times New Roman" w:hAnsi="Times New Roman"/>
                <w:sz w:val="25"/>
                <w:szCs w:val="25"/>
              </w:rPr>
            </w:pPr>
            <w:r w:rsidRPr="00117A7E">
              <w:rPr>
                <w:rFonts w:ascii="Times New Roman" w:hAnsi="Times New Roman"/>
                <w:b/>
                <w:sz w:val="25"/>
                <w:szCs w:val="25"/>
              </w:rPr>
              <w:t>Názov návrhu právneho predpisu:</w:t>
            </w:r>
            <w:r w:rsidRPr="00117A7E" w:rsidR="00632C56">
              <w:rPr>
                <w:rFonts w:ascii="Times New Roman" w:hAnsi="Times New Roman"/>
                <w:sz w:val="25"/>
                <w:szCs w:val="25"/>
              </w:rPr>
              <w:t xml:space="preserve"> </w:t>
            </w:r>
            <w:r w:rsidR="001345EA">
              <w:rPr>
                <w:rFonts w:ascii="Times New Roman" w:hAnsi="Times New Roman"/>
                <w:sz w:val="25"/>
                <w:szCs w:val="25"/>
              </w:rPr>
              <w:t>Vládny n</w:t>
            </w:r>
            <w:r w:rsidR="004D00C4">
              <w:rPr>
                <w:rFonts w:ascii="Times New Roman" w:hAnsi="Times New Roman"/>
                <w:sz w:val="25"/>
                <w:szCs w:val="25"/>
              </w:rPr>
              <w:t xml:space="preserve">ávrh zákona o </w:t>
            </w:r>
            <w:r w:rsidRPr="004D00C4" w:rsidR="004D00C4">
              <w:rPr>
                <w:rFonts w:ascii="Times New Roman" w:hAnsi="Times New Roman"/>
                <w:sz w:val="25"/>
                <w:szCs w:val="25"/>
              </w:rPr>
              <w:t>výkone rozhodnutia a zaistení majetku a správe zaisteného majetku a o zmene a doplnení niektorých zákonov</w:t>
            </w:r>
            <w:r w:rsidRPr="00117A7E" w:rsidR="00632C56">
              <w:rPr>
                <w:rFonts w:ascii="Times New Roman" w:hAnsi="Times New Roman"/>
                <w:sz w:val="25"/>
                <w:szCs w:val="25"/>
              </w:rPr>
              <w:fldChar w:fldCharType="begin"/>
            </w:r>
            <w:r w:rsidRPr="00117A7E" w:rsidR="00632C56">
              <w:rPr>
                <w:rFonts w:ascii="Times New Roman" w:hAnsi="Times New Roman"/>
                <w:sz w:val="25"/>
                <w:szCs w:val="25"/>
              </w:rPr>
              <w:instrText xml:space="preserve"> DOCPROPERTY  FSC#SKEDITIONSLOVLEX@103.510:plnynazovpredpis  \* MERGEFORMAT </w:instrText>
            </w:r>
            <w:r w:rsidRPr="00117A7E" w:rsidR="00632C56">
              <w:rPr>
                <w:rFonts w:ascii="Times New Roman" w:hAnsi="Times New Roman"/>
                <w:sz w:val="25"/>
                <w:szCs w:val="25"/>
              </w:rPr>
              <w:fldChar w:fldCharType="separate"/>
            </w:r>
            <w:r w:rsidRPr="00117A7E" w:rsidR="00632C56">
              <w:rPr>
                <w:rFonts w:ascii="Times New Roman" w:hAnsi="Times New Roman"/>
                <w:sz w:val="25"/>
                <w:szCs w:val="25"/>
              </w:rPr>
              <w:fldChar w:fldCharType="end"/>
            </w:r>
            <w:r w:rsidRPr="00117A7E" w:rsidR="00DB3DB1">
              <w:rPr>
                <w:rFonts w:ascii="Times New Roman" w:hAnsi="Times New Roman"/>
                <w:sz w:val="25"/>
                <w:szCs w:val="25"/>
              </w:rPr>
              <w:fldChar w:fldCharType="begin"/>
            </w:r>
            <w:r w:rsidRPr="00117A7E" w:rsidR="00DB3DB1">
              <w:rPr>
                <w:rFonts w:ascii="Times New Roman" w:hAnsi="Times New Roman"/>
                <w:sz w:val="25"/>
                <w:szCs w:val="25"/>
              </w:rPr>
              <w:instrText xml:space="preserve"> DOCPROPERTY  FSC#SKEDITIONSLOVLEX@103.510:plnynazovpredpis1  \* MERGEFORMAT </w:instrText>
            </w:r>
            <w:r w:rsidRPr="00117A7E" w:rsidR="00DB3DB1">
              <w:rPr>
                <w:rFonts w:ascii="Times New Roman" w:hAnsi="Times New Roman"/>
                <w:sz w:val="25"/>
                <w:szCs w:val="25"/>
              </w:rPr>
              <w:fldChar w:fldCharType="separate"/>
            </w:r>
            <w:r w:rsidRPr="00117A7E" w:rsidR="00DB3DB1">
              <w:rPr>
                <w:rFonts w:ascii="Times New Roman" w:hAnsi="Times New Roman"/>
                <w:sz w:val="25"/>
                <w:szCs w:val="25"/>
              </w:rPr>
              <w:fldChar w:fldCharType="end"/>
            </w:r>
            <w:r w:rsidRPr="00117A7E" w:rsidR="00DB3DB1">
              <w:rPr>
                <w:rFonts w:ascii="Times New Roman" w:hAnsi="Times New Roman"/>
                <w:sz w:val="25"/>
                <w:szCs w:val="25"/>
              </w:rPr>
              <w:fldChar w:fldCharType="begin"/>
            </w:r>
            <w:r w:rsidRPr="00117A7E" w:rsidR="00DB3DB1">
              <w:rPr>
                <w:rFonts w:ascii="Times New Roman" w:hAnsi="Times New Roman"/>
                <w:sz w:val="25"/>
                <w:szCs w:val="25"/>
              </w:rPr>
              <w:instrText xml:space="preserve"> DOCPROPERTY  FSC#SKEDITIONSLOVLEX@103.510:plnynazovpredpis2  \* MERGEFORMAT </w:instrText>
            </w:r>
            <w:r w:rsidRPr="00117A7E" w:rsidR="00DB3DB1">
              <w:rPr>
                <w:rFonts w:ascii="Times New Roman" w:hAnsi="Times New Roman"/>
                <w:sz w:val="25"/>
                <w:szCs w:val="25"/>
              </w:rPr>
              <w:fldChar w:fldCharType="separate"/>
            </w:r>
            <w:r w:rsidRPr="00117A7E" w:rsidR="00DB3DB1">
              <w:rPr>
                <w:rFonts w:ascii="Times New Roman" w:hAnsi="Times New Roman"/>
                <w:sz w:val="25"/>
                <w:szCs w:val="25"/>
              </w:rPr>
              <w:fldChar w:fldCharType="end"/>
            </w:r>
            <w:r w:rsidRPr="00117A7E" w:rsidR="00DB3DB1">
              <w:rPr>
                <w:rFonts w:ascii="Times New Roman" w:hAnsi="Times New Roman"/>
                <w:sz w:val="25"/>
                <w:szCs w:val="25"/>
              </w:rPr>
              <w:fldChar w:fldCharType="begin"/>
            </w:r>
            <w:r w:rsidRPr="00117A7E" w:rsidR="00DB3DB1">
              <w:rPr>
                <w:rFonts w:ascii="Times New Roman" w:hAnsi="Times New Roman"/>
                <w:sz w:val="25"/>
                <w:szCs w:val="25"/>
              </w:rPr>
              <w:instrText xml:space="preserve"> DOCPROPERTY  FSC#SKEDITIONSLOVLEX@103.510:plnynazovpredpis3  \* MERGEFORMAT </w:instrText>
            </w:r>
            <w:r w:rsidRPr="00117A7E" w:rsidR="00DB3DB1">
              <w:rPr>
                <w:rFonts w:ascii="Times New Roman" w:hAnsi="Times New Roman"/>
                <w:sz w:val="25"/>
                <w:szCs w:val="25"/>
              </w:rPr>
              <w:fldChar w:fldCharType="separate"/>
            </w:r>
            <w:r w:rsidRPr="00117A7E" w:rsidR="00DB3DB1">
              <w:rPr>
                <w:rFonts w:ascii="Times New Roman" w:hAnsi="Times New Roman"/>
                <w:sz w:val="25"/>
                <w:szCs w:val="25"/>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117A7E" w:rsidP="001F0AA3">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5"/>
                <w:szCs w:val="25"/>
              </w:rPr>
            </w:pPr>
            <w:r w:rsidRPr="00117A7E">
              <w:rPr>
                <w:rFonts w:ascii="Times New Roman" w:hAnsi="Times New Roman"/>
                <w:b/>
                <w:sz w:val="25"/>
                <w:szCs w:val="25"/>
              </w:rPr>
              <w:t>3.</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5"/>
                <w:szCs w:val="25"/>
              </w:rPr>
            </w:pPr>
            <w:r w:rsidRPr="00117A7E">
              <w:rPr>
                <w:rFonts w:ascii="Times New Roman" w:hAnsi="Times New Roman"/>
                <w:b/>
                <w:sz w:val="25"/>
                <w:szCs w:val="25"/>
              </w:rPr>
              <w:t>Problematika návrhu právneho predpisu:</w:t>
            </w:r>
          </w:p>
          <w:p w:rsidR="003841E0" w:rsidRPr="00117A7E" w:rsidP="001F0AA3">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8570D4" w:rsidRPr="00117A7E" w:rsidP="002B14DD">
            <w:pPr>
              <w:pStyle w:val="ListParagraph"/>
              <w:numPr>
                <w:numId w:val="7"/>
              </w:numPr>
              <w:tabs>
                <w:tab w:val="left" w:pos="360"/>
              </w:tabs>
              <w:bidi w:val="0"/>
              <w:rPr>
                <w:rFonts w:ascii="Times New Roman" w:hAnsi="Times New Roman"/>
                <w:sz w:val="22"/>
                <w:szCs w:val="22"/>
              </w:rPr>
            </w:pPr>
            <w:r w:rsidR="00BD14E7">
              <w:rPr>
                <w:rFonts w:ascii="Times" w:hAnsi="Times" w:cs="Times"/>
                <w:sz w:val="25"/>
                <w:szCs w:val="25"/>
              </w:rPr>
              <w:t>je upravená v práve Európskej únie</w:t>
            </w:r>
          </w:p>
          <w:p w:rsidR="00BD14E7">
            <w:pPr>
              <w:divId w:val="12"/>
              <w:bidi w:val="0"/>
              <w:rPr>
                <w:rFonts w:ascii="Times" w:hAnsi="Times" w:cs="Times"/>
                <w:sz w:val="25"/>
                <w:szCs w:val="25"/>
              </w:rPr>
            </w:pPr>
            <w:r>
              <w:rPr>
                <w:rFonts w:ascii="Times" w:hAnsi="Times" w:cs="Times"/>
                <w:sz w:val="25"/>
                <w:szCs w:val="25"/>
              </w:rPr>
              <w:br/>
            </w:r>
            <w:r>
              <w:rPr>
                <w:rFonts w:ascii="Times" w:hAnsi="Times" w:cs="Times"/>
                <w:i/>
                <w:iCs/>
                <w:sz w:val="25"/>
                <w:szCs w:val="25"/>
              </w:rPr>
              <w:t xml:space="preserve">- primárnom </w:t>
            </w:r>
            <w:r>
              <w:rPr>
                <w:rFonts w:ascii="Times" w:hAnsi="Times" w:cs="Times"/>
                <w:sz w:val="25"/>
                <w:szCs w:val="25"/>
              </w:rPr>
              <w:br/>
              <w:br/>
              <w:t>čl. 82 ods. 2 a čl. 87 až 89 Zmluvy o fungovaní Európskej únie</w:t>
            </w:r>
          </w:p>
          <w:p w:rsidR="00054456" w:rsidRPr="00117A7E" w:rsidP="00054456">
            <w:pPr>
              <w:pStyle w:val="ListParagraph"/>
              <w:tabs>
                <w:tab w:val="left" w:pos="360"/>
              </w:tabs>
              <w:bidi w:val="0"/>
              <w:ind w:left="360"/>
              <w:rPr>
                <w:rFonts w:ascii="Times New Roman" w:hAnsi="Times New Roman"/>
                <w:sz w:val="22"/>
                <w:szCs w:val="22"/>
              </w:rPr>
            </w:pPr>
          </w:p>
          <w:p w:rsidR="00BD14E7">
            <w:pPr>
              <w:divId w:val="13"/>
              <w:bidi w:val="0"/>
              <w:rPr>
                <w:rFonts w:ascii="Times" w:hAnsi="Times" w:cs="Times"/>
                <w:sz w:val="25"/>
                <w:szCs w:val="25"/>
              </w:rPr>
            </w:pPr>
            <w:r>
              <w:rPr>
                <w:rFonts w:ascii="Times" w:hAnsi="Times" w:cs="Times"/>
                <w:i/>
                <w:iCs/>
                <w:sz w:val="25"/>
                <w:szCs w:val="25"/>
              </w:rPr>
              <w:t>- sekundárnom (prijatom po nadobudnutím platnosti Lisabonskej zmluvy, ktorou sa mení a dopĺňa Zmluva o Európskom spoločenstve a Zmluva o Európskej únii – po 30. novembri 2009)</w:t>
            </w:r>
            <w:r>
              <w:rPr>
                <w:rFonts w:ascii="Times" w:hAnsi="Times" w:cs="Times"/>
                <w:sz w:val="25"/>
                <w:szCs w:val="25"/>
              </w:rPr>
              <w:br/>
              <w:br/>
              <w:t xml:space="preserve">1. legislatívne akty: </w:t>
              <w:br/>
              <w:br/>
              <w:t>- Smernica Európskeho parlamentu a Rady 2014/42/EÚ z 3. apríla 2014 o zaistení a konfiškácii prostriedkov a príjmov z trestnej činnosti v Európskej únii (Ú. v. EÚ L 127, 29. 4. 2014)</w:t>
            </w:r>
          </w:p>
          <w:p w:rsidR="006F3E6F" w:rsidRPr="00117A7E" w:rsidP="006F3E6F">
            <w:pPr>
              <w:pStyle w:val="ListParagraph"/>
              <w:tabs>
                <w:tab w:val="left" w:pos="360"/>
              </w:tabs>
              <w:bidi w:val="0"/>
              <w:ind w:left="360"/>
              <w:rPr>
                <w:rFonts w:ascii="Times New Roman" w:hAnsi="Times New Roman"/>
                <w:sz w:val="22"/>
                <w:szCs w:val="22"/>
              </w:rPr>
            </w:pPr>
          </w:p>
          <w:p w:rsidR="00BD14E7">
            <w:pPr>
              <w:divId w:val="3"/>
              <w:bidi w:val="0"/>
              <w:rPr>
                <w:rFonts w:ascii="Times" w:hAnsi="Times" w:cs="Times"/>
                <w:sz w:val="25"/>
                <w:szCs w:val="25"/>
              </w:rPr>
            </w:pPr>
            <w:r>
              <w:rPr>
                <w:rFonts w:ascii="Times" w:hAnsi="Times" w:cs="Times"/>
                <w:sz w:val="25"/>
                <w:szCs w:val="25"/>
              </w:rPr>
              <w:t xml:space="preserve">2. nelegislatívne akty: </w:t>
              <w:br/>
              <w:br/>
              <w:t>-</w:t>
            </w:r>
          </w:p>
          <w:p w:rsidR="0023485C" w:rsidRPr="00117A7E" w:rsidP="006F3E6F">
            <w:pPr>
              <w:pStyle w:val="ListParagraph"/>
              <w:tabs>
                <w:tab w:val="left" w:pos="360"/>
              </w:tabs>
              <w:bidi w:val="0"/>
              <w:ind w:left="360"/>
              <w:rPr>
                <w:rFonts w:ascii="Times New Roman" w:hAnsi="Times New Roman"/>
                <w:sz w:val="22"/>
                <w:szCs w:val="22"/>
              </w:rPr>
            </w:pPr>
          </w:p>
          <w:p w:rsidR="00BD14E7">
            <w:pPr>
              <w:divId w:val="1"/>
              <w:bidi w:val="0"/>
              <w:rPr>
                <w:rFonts w:ascii="Times" w:hAnsi="Times" w:cs="Times"/>
                <w:sz w:val="25"/>
                <w:szCs w:val="25"/>
              </w:rPr>
            </w:pPr>
            <w:r>
              <w:rPr>
                <w:rFonts w:ascii="Times" w:hAnsi="Times" w:cs="Times"/>
                <w:i/>
                <w:iCs/>
                <w:sz w:val="25"/>
                <w:szCs w:val="25"/>
              </w:rPr>
              <w:t>- sekundárnom (prijatom pred nadobudnutím platnosti Lisabonskej zmluvy)</w:t>
              <w:br/>
              <w:br/>
              <w:t>-</w:t>
            </w:r>
          </w:p>
          <w:p w:rsidR="0023485C" w:rsidRPr="00117A7E" w:rsidP="006F3E6F">
            <w:pPr>
              <w:pStyle w:val="ListParagraph"/>
              <w:tabs>
                <w:tab w:val="left" w:pos="360"/>
              </w:tabs>
              <w:bidi w:val="0"/>
              <w:ind w:left="360"/>
              <w:rPr>
                <w:rFonts w:ascii="Times New Roman" w:hAnsi="Times New Roman"/>
                <w:sz w:val="22"/>
                <w:szCs w:val="22"/>
              </w:rPr>
            </w:pPr>
          </w:p>
          <w:p w:rsidR="0023485C" w:rsidRPr="00117A7E" w:rsidP="006F3E6F">
            <w:pPr>
              <w:pStyle w:val="ListParagraph"/>
              <w:tabs>
                <w:tab w:val="left" w:pos="360"/>
              </w:tabs>
              <w:bidi w:val="0"/>
              <w:ind w:left="36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117A7E" w:rsidP="003841E0">
            <w:pPr>
              <w:pStyle w:val="ListParagraph"/>
              <w:numPr>
                <w:numId w:val="7"/>
              </w:numPr>
              <w:tabs>
                <w:tab w:val="left" w:pos="360"/>
              </w:tabs>
              <w:bidi w:val="0"/>
              <w:rPr>
                <w:rFonts w:ascii="Times New Roman" w:hAnsi="Times New Roman"/>
                <w:sz w:val="22"/>
                <w:szCs w:val="22"/>
              </w:rPr>
            </w:pPr>
            <w:r w:rsidR="00BD14E7">
              <w:rPr>
                <w:rFonts w:ascii="Times" w:hAnsi="Times" w:cs="Times"/>
                <w:sz w:val="25"/>
                <w:szCs w:val="25"/>
              </w:rPr>
              <w:t>nie je obsiahnutá v judikatúre Súdneho dvora Európskej únie</w:t>
            </w:r>
          </w:p>
          <w:p w:rsidR="00BD14E7">
            <w:pPr>
              <w:divId w:val="2"/>
              <w:bidi w:val="0"/>
              <w:spacing w:after="250"/>
              <w:rPr>
                <w:rFonts w:ascii="Times" w:hAnsi="Times" w:cs="Times"/>
                <w:sz w:val="25"/>
                <w:szCs w:val="25"/>
              </w:rPr>
            </w:pPr>
          </w:p>
          <w:p w:rsidR="0023485C" w:rsidRPr="00117A7E" w:rsidP="00BD14E7">
            <w:pPr>
              <w:pStyle w:val="ListParagraph"/>
              <w:tabs>
                <w:tab w:val="left" w:pos="360"/>
              </w:tabs>
              <w:bidi w:val="0"/>
              <w:ind w:left="36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117A7E" w:rsidP="0023485C">
            <w:pPr>
              <w:tabs>
                <w:tab w:val="left" w:pos="360"/>
              </w:tabs>
              <w:bidi w:val="0"/>
              <w:rPr>
                <w:rFonts w:ascii="Times New Roman" w:hAnsi="Times New Roman"/>
                <w:sz w:val="22"/>
                <w:szCs w:val="22"/>
              </w:rPr>
            </w:pPr>
          </w:p>
        </w:tc>
      </w:tr>
    </w:tbl>
    <w:p w:rsidR="001F0AA3" w:rsidRPr="00117A7E" w:rsidP="001F0AA3">
      <w:pPr>
        <w:tabs>
          <w:tab w:val="left" w:pos="360"/>
        </w:tabs>
        <w:bidi w:val="0"/>
        <w:rPr>
          <w:rFonts w:ascii="Times New Roman" w:hAnsi="Times New Roman"/>
        </w:rPr>
      </w:pPr>
    </w:p>
    <w:p w:rsidR="00BD14E7" w:rsidP="00814DF5">
      <w:pPr>
        <w:tabs>
          <w:tab w:val="left" w:pos="360"/>
        </w:tabs>
        <w:bidi w:val="0"/>
        <w:jc w:val="both"/>
        <w:rPr>
          <w:rFonts w:ascii="Times New Roman" w:hAnsi="Times New Roman"/>
        </w:rPr>
      </w:pPr>
    </w:p>
    <w:tbl>
      <w:tblPr>
        <w:tblStyle w:val="TableNormal"/>
        <w:tblW w:w="5000" w:type="pct"/>
        <w:jc w:val="center"/>
        <w:tblCellMar>
          <w:left w:w="0" w:type="dxa"/>
          <w:right w:w="0" w:type="dxa"/>
        </w:tblCellMar>
        <w:tblLook w:val="04A0"/>
      </w:tblPr>
      <w:tblGrid>
        <w:gridCol w:w="470"/>
        <w:gridCol w:w="282"/>
        <w:gridCol w:w="8654"/>
      </w:tblGrid>
      <w:tr>
        <w:tblPrEx>
          <w:tblW w:w="5000" w:type="pct"/>
          <w:jc w:val="center"/>
          <w:tblCellMar>
            <w:left w:w="0" w:type="dxa"/>
            <w:right w:w="0" w:type="dxa"/>
          </w:tblCellMar>
          <w:tblLook w:val="04A0"/>
        </w:tblPrEx>
        <w:trPr>
          <w:divId w:val="10"/>
          <w:jc w:val="center"/>
        </w:trPr>
        <w:tc>
          <w:tcPr>
            <w:tcW w:w="250" w:type="pct"/>
            <w:tcBorders>
              <w:top w:val="nil"/>
              <w:left w:val="nil"/>
              <w:bottom w:val="nil"/>
              <w:right w:val="nil"/>
            </w:tcBorders>
            <w:textDirection w:val="lrTb"/>
            <w:vAlign w:val="top"/>
            <w:hideMark/>
          </w:tcPr>
          <w:p w:rsidR="00BD14E7">
            <w:pPr>
              <w:bidi w:val="0"/>
              <w:spacing w:after="0" w:line="240" w:lineRule="auto"/>
              <w:rPr>
                <w:rFonts w:ascii="Times" w:hAnsi="Times" w:cs="Times"/>
                <w:b/>
                <w:bCs/>
                <w:sz w:val="25"/>
                <w:szCs w:val="25"/>
              </w:rPr>
            </w:pPr>
            <w:r>
              <w:rPr>
                <w:rFonts w:ascii="Times" w:hAnsi="Times" w:cs="Times"/>
                <w:b/>
                <w:bCs/>
                <w:sz w:val="25"/>
                <w:szCs w:val="25"/>
              </w:rPr>
              <w:t>4.</w:t>
            </w:r>
          </w:p>
        </w:tc>
        <w:tc>
          <w:tcPr>
            <w:tcW w:w="4750" w:type="pct"/>
            <w:gridSpan w:val="2"/>
            <w:tcBorders>
              <w:top w:val="nil"/>
              <w:left w:val="nil"/>
              <w:bottom w:val="nil"/>
              <w:right w:val="nil"/>
            </w:tcBorders>
            <w:textDirection w:val="lrTb"/>
            <w:vAlign w:val="center"/>
            <w:hideMark/>
          </w:tcPr>
          <w:p w:rsidR="00BD14E7">
            <w:pPr>
              <w:bidi w:val="0"/>
              <w:spacing w:after="250" w:line="240" w:lineRule="auto"/>
              <w:rPr>
                <w:rFonts w:ascii="Times" w:hAnsi="Times" w:cs="Times"/>
                <w:b/>
                <w:bCs/>
                <w:sz w:val="25"/>
                <w:szCs w:val="25"/>
              </w:rPr>
            </w:pPr>
            <w:r>
              <w:rPr>
                <w:rFonts w:ascii="Times" w:hAnsi="Times" w:cs="Times"/>
                <w:b/>
                <w:bCs/>
                <w:sz w:val="25"/>
                <w:szCs w:val="25"/>
              </w:rPr>
              <w:t>Záväzky Slovenskej republiky vo vzťahu k Európskej únii:</w:t>
            </w:r>
          </w:p>
        </w:tc>
      </w:tr>
      <w:tr>
        <w:tblPrEx>
          <w:tblW w:w="5000" w:type="pct"/>
          <w:jc w:val="center"/>
          <w:tblCellMar>
            <w:left w:w="0" w:type="dxa"/>
            <w:right w:w="0" w:type="dxa"/>
          </w:tblCellMar>
          <w:tblLook w:val="04A0"/>
        </w:tblPrEx>
        <w:trPr>
          <w:divId w:val="10"/>
          <w:jc w:val="center"/>
        </w:trPr>
        <w:tc>
          <w:tcPr>
            <w:tcW w:w="0" w:type="auto"/>
            <w:tcBorders>
              <w:top w:val="nil"/>
              <w:left w:val="nil"/>
              <w:bottom w:val="nil"/>
              <w:right w:val="nil"/>
            </w:tcBorders>
            <w:textDirection w:val="lrTb"/>
            <w:vAlign w:val="top"/>
            <w:hideMark/>
          </w:tcPr>
          <w:p w:rsidR="00BD14E7">
            <w:pPr>
              <w:bidi w:val="0"/>
              <w:spacing w:after="250" w:line="240" w:lineRule="auto"/>
              <w:rPr>
                <w:rFonts w:ascii="Times" w:hAnsi="Times" w:cs="Times"/>
                <w:b/>
                <w:bCs/>
                <w:sz w:val="25"/>
                <w:szCs w:val="25"/>
              </w:rPr>
            </w:pPr>
          </w:p>
        </w:tc>
        <w:tc>
          <w:tcPr>
            <w:tcW w:w="150" w:type="pct"/>
            <w:tcBorders>
              <w:top w:val="nil"/>
              <w:left w:val="nil"/>
              <w:bottom w:val="nil"/>
              <w:right w:val="nil"/>
            </w:tcBorders>
            <w:textDirection w:val="lrTb"/>
            <w:vAlign w:val="top"/>
            <w:hideMark/>
          </w:tcPr>
          <w:p w:rsidR="00BD14E7">
            <w:pPr>
              <w:bidi w:val="0"/>
              <w:spacing w:after="0" w:line="240" w:lineRule="auto"/>
              <w:rPr>
                <w:rFonts w:ascii="Times" w:hAnsi="Times" w:cs="Times"/>
                <w:sz w:val="25"/>
                <w:szCs w:val="25"/>
              </w:rPr>
            </w:pPr>
            <w:r>
              <w:rPr>
                <w:rFonts w:ascii="Times" w:hAnsi="Times" w:cs="Times"/>
                <w:sz w:val="25"/>
                <w:szCs w:val="25"/>
              </w:rPr>
              <w:t>a)</w:t>
            </w:r>
          </w:p>
        </w:tc>
        <w:tc>
          <w:tcPr>
            <w:tcW w:w="0" w:type="auto"/>
            <w:tcBorders>
              <w:top w:val="nil"/>
              <w:left w:val="nil"/>
              <w:bottom w:val="nil"/>
              <w:right w:val="nil"/>
            </w:tcBorders>
            <w:textDirection w:val="lrTb"/>
            <w:vAlign w:val="center"/>
            <w:hideMark/>
          </w:tcPr>
          <w:p w:rsidR="00BD14E7">
            <w:pPr>
              <w:bidi w:val="0"/>
              <w:spacing w:after="250" w:line="240" w:lineRule="auto"/>
              <w:rPr>
                <w:rFonts w:ascii="Times" w:hAnsi="Times" w:cs="Times"/>
                <w:sz w:val="25"/>
                <w:szCs w:val="25"/>
              </w:rPr>
            </w:pPr>
            <w:r>
              <w:rPr>
                <w:rFonts w:ascii="Times" w:hAnsi="Times" w:cs="Times"/>
                <w:sz w:val="25"/>
                <w:szCs w:val="25"/>
              </w:rPr>
              <w:t>lehota na prebratie smernice alebo lehota na implementáciu nariadenia alebo rozhodnutia</w:t>
            </w:r>
          </w:p>
        </w:tc>
      </w:tr>
      <w:tr>
        <w:tblPrEx>
          <w:tblW w:w="5000" w:type="pct"/>
          <w:jc w:val="center"/>
          <w:tblCellMar>
            <w:left w:w="0" w:type="dxa"/>
            <w:right w:w="0" w:type="dxa"/>
          </w:tblCellMar>
          <w:tblLook w:val="04A0"/>
        </w:tblPrEx>
        <w:trPr>
          <w:divId w:val="10"/>
          <w:jc w:val="center"/>
        </w:trPr>
        <w:tc>
          <w:tcPr>
            <w:tcW w:w="0" w:type="auto"/>
            <w:tcBorders>
              <w:top w:val="nil"/>
              <w:left w:val="nil"/>
              <w:bottom w:val="nil"/>
              <w:right w:val="nil"/>
            </w:tcBorders>
            <w:textDirection w:val="lrTb"/>
            <w:vAlign w:val="top"/>
            <w:hideMark/>
          </w:tcPr>
          <w:p w:rsidR="00BD14E7">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D14E7">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BD14E7">
            <w:pPr>
              <w:bidi w:val="0"/>
              <w:spacing w:after="250" w:line="240" w:lineRule="auto"/>
              <w:rPr>
                <w:rFonts w:ascii="Times" w:hAnsi="Times" w:cs="Times"/>
                <w:sz w:val="25"/>
                <w:szCs w:val="25"/>
              </w:rPr>
            </w:pPr>
            <w:r>
              <w:rPr>
                <w:rFonts w:ascii="Times" w:hAnsi="Times" w:cs="Times"/>
                <w:sz w:val="25"/>
                <w:szCs w:val="25"/>
              </w:rPr>
              <w:t>smernica 2014/42/EÚ - 4. október 2016</w:t>
              <w:br/>
            </w:r>
          </w:p>
        </w:tc>
      </w:tr>
      <w:tr>
        <w:tblPrEx>
          <w:tblW w:w="5000" w:type="pct"/>
          <w:jc w:val="center"/>
          <w:tblCellMar>
            <w:left w:w="0" w:type="dxa"/>
            <w:right w:w="0" w:type="dxa"/>
          </w:tblCellMar>
          <w:tblLook w:val="04A0"/>
        </w:tblPrEx>
        <w:trPr>
          <w:divId w:val="10"/>
          <w:jc w:val="center"/>
        </w:trPr>
        <w:tc>
          <w:tcPr>
            <w:tcW w:w="0" w:type="auto"/>
            <w:tcBorders>
              <w:top w:val="nil"/>
              <w:left w:val="nil"/>
              <w:bottom w:val="nil"/>
              <w:right w:val="nil"/>
            </w:tcBorders>
            <w:textDirection w:val="lrTb"/>
            <w:vAlign w:val="top"/>
            <w:hideMark/>
          </w:tcPr>
          <w:p w:rsidR="00BD14E7">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D14E7">
            <w:pPr>
              <w:bidi w:val="0"/>
              <w:spacing w:after="0" w:line="240" w:lineRule="auto"/>
              <w:rPr>
                <w:rFonts w:ascii="Times" w:hAnsi="Times" w:cs="Times"/>
                <w:sz w:val="25"/>
                <w:szCs w:val="25"/>
              </w:rPr>
            </w:pPr>
            <w:r>
              <w:rPr>
                <w:rFonts w:ascii="Times" w:hAnsi="Times" w:cs="Times"/>
                <w:sz w:val="25"/>
                <w:szCs w:val="25"/>
              </w:rPr>
              <w:t>b)</w:t>
            </w:r>
          </w:p>
        </w:tc>
        <w:tc>
          <w:tcPr>
            <w:tcW w:w="0" w:type="auto"/>
            <w:tcBorders>
              <w:top w:val="nil"/>
              <w:left w:val="nil"/>
              <w:bottom w:val="nil"/>
              <w:right w:val="nil"/>
            </w:tcBorders>
            <w:textDirection w:val="lrTb"/>
            <w:vAlign w:val="center"/>
            <w:hideMark/>
          </w:tcPr>
          <w:p w:rsidR="00BD14E7">
            <w:pPr>
              <w:bidi w:val="0"/>
              <w:spacing w:after="250" w:line="240" w:lineRule="auto"/>
              <w:rPr>
                <w:rFonts w:ascii="Times" w:hAnsi="Times" w:cs="Times"/>
                <w:sz w:val="25"/>
                <w:szCs w:val="25"/>
              </w:rPr>
            </w:pPr>
            <w:r>
              <w:rPr>
                <w:rFonts w:ascii="Times" w:hAnsi="Times" w:cs="Times"/>
                <w:sz w:val="25"/>
                <w:szCs w:val="25"/>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tc>
      </w:tr>
      <w:tr>
        <w:tblPrEx>
          <w:tblW w:w="5000" w:type="pct"/>
          <w:jc w:val="center"/>
          <w:tblCellMar>
            <w:left w:w="0" w:type="dxa"/>
            <w:right w:w="0" w:type="dxa"/>
          </w:tblCellMar>
          <w:tblLook w:val="04A0"/>
        </w:tblPrEx>
        <w:trPr>
          <w:divId w:val="10"/>
          <w:jc w:val="center"/>
        </w:trPr>
        <w:tc>
          <w:tcPr>
            <w:tcW w:w="0" w:type="auto"/>
            <w:tcBorders>
              <w:top w:val="nil"/>
              <w:left w:val="nil"/>
              <w:bottom w:val="nil"/>
              <w:right w:val="nil"/>
            </w:tcBorders>
            <w:textDirection w:val="lrTb"/>
            <w:vAlign w:val="top"/>
            <w:hideMark/>
          </w:tcPr>
          <w:p w:rsidR="00BD14E7">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D14E7">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BD14E7">
            <w:pPr>
              <w:bidi w:val="0"/>
              <w:spacing w:after="250" w:line="240" w:lineRule="auto"/>
              <w:rPr>
                <w:rFonts w:ascii="Times" w:hAnsi="Times" w:cs="Times"/>
                <w:sz w:val="25"/>
                <w:szCs w:val="25"/>
              </w:rPr>
            </w:pPr>
            <w:r w:rsidR="00EA3466">
              <w:rPr>
                <w:rFonts w:ascii="Times" w:hAnsi="Times" w:cs="Times"/>
                <w:sz w:val="25"/>
                <w:szCs w:val="25"/>
              </w:rPr>
              <w:t xml:space="preserve"> 4. október 2014 na základe uznesenia vlády č. 484 z 24. septembra 2014</w:t>
            </w:r>
            <w:r>
              <w:rPr>
                <w:rFonts w:ascii="Times" w:hAnsi="Times" w:cs="Times"/>
                <w:sz w:val="25"/>
                <w:szCs w:val="25"/>
              </w:rPr>
              <w:br/>
            </w:r>
          </w:p>
        </w:tc>
      </w:tr>
      <w:tr>
        <w:tblPrEx>
          <w:tblW w:w="5000" w:type="pct"/>
          <w:jc w:val="center"/>
          <w:tblCellMar>
            <w:left w:w="0" w:type="dxa"/>
            <w:right w:w="0" w:type="dxa"/>
          </w:tblCellMar>
          <w:tblLook w:val="04A0"/>
        </w:tblPrEx>
        <w:trPr>
          <w:divId w:val="10"/>
          <w:jc w:val="center"/>
        </w:trPr>
        <w:tc>
          <w:tcPr>
            <w:tcW w:w="0" w:type="auto"/>
            <w:tcBorders>
              <w:top w:val="nil"/>
              <w:left w:val="nil"/>
              <w:bottom w:val="nil"/>
              <w:right w:val="nil"/>
            </w:tcBorders>
            <w:textDirection w:val="lrTb"/>
            <w:vAlign w:val="top"/>
            <w:hideMark/>
          </w:tcPr>
          <w:p w:rsidR="00BD14E7">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D14E7">
            <w:pPr>
              <w:bidi w:val="0"/>
              <w:spacing w:after="0" w:line="240" w:lineRule="auto"/>
              <w:rPr>
                <w:rFonts w:ascii="Times" w:hAnsi="Times" w:cs="Times"/>
                <w:sz w:val="25"/>
                <w:szCs w:val="25"/>
              </w:rPr>
            </w:pPr>
            <w:r>
              <w:rPr>
                <w:rFonts w:ascii="Times" w:hAnsi="Times" w:cs="Times"/>
                <w:sz w:val="25"/>
                <w:szCs w:val="25"/>
              </w:rPr>
              <w:t>c)</w:t>
            </w:r>
          </w:p>
        </w:tc>
        <w:tc>
          <w:tcPr>
            <w:tcW w:w="0" w:type="auto"/>
            <w:tcBorders>
              <w:top w:val="nil"/>
              <w:left w:val="nil"/>
              <w:bottom w:val="nil"/>
              <w:right w:val="nil"/>
            </w:tcBorders>
            <w:textDirection w:val="lrTb"/>
            <w:vAlign w:val="center"/>
            <w:hideMark/>
          </w:tcPr>
          <w:p w:rsidR="00BD14E7">
            <w:pPr>
              <w:bidi w:val="0"/>
              <w:spacing w:after="250" w:line="240" w:lineRule="auto"/>
              <w:rPr>
                <w:rFonts w:ascii="Times" w:hAnsi="Times" w:cs="Times"/>
                <w:sz w:val="25"/>
                <w:szCs w:val="25"/>
              </w:rPr>
            </w:pPr>
            <w:r>
              <w:rPr>
                <w:rFonts w:ascii="Times" w:hAnsi="Times" w:cs="Times"/>
                <w:sz w:val="25"/>
                <w:szCs w:val="25"/>
              </w:rPr>
              <w:t>informácia o konaní začatom proti Slovenskej republike o porušení podľa čl. 258 až 260 Zmluvy o fungovaní Európskej únie</w:t>
            </w:r>
          </w:p>
        </w:tc>
      </w:tr>
      <w:tr>
        <w:tblPrEx>
          <w:tblW w:w="5000" w:type="pct"/>
          <w:jc w:val="center"/>
          <w:tblCellMar>
            <w:left w:w="0" w:type="dxa"/>
            <w:right w:w="0" w:type="dxa"/>
          </w:tblCellMar>
          <w:tblLook w:val="04A0"/>
        </w:tblPrEx>
        <w:trPr>
          <w:divId w:val="10"/>
          <w:jc w:val="center"/>
        </w:trPr>
        <w:tc>
          <w:tcPr>
            <w:tcW w:w="0" w:type="auto"/>
            <w:tcBorders>
              <w:top w:val="nil"/>
              <w:left w:val="nil"/>
              <w:bottom w:val="nil"/>
              <w:right w:val="nil"/>
            </w:tcBorders>
            <w:textDirection w:val="lrTb"/>
            <w:vAlign w:val="top"/>
            <w:hideMark/>
          </w:tcPr>
          <w:p w:rsidR="00BD14E7">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D14E7">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BD14E7" w:rsidP="00C006A5">
            <w:pPr>
              <w:bidi w:val="0"/>
              <w:spacing w:after="250" w:line="240" w:lineRule="auto"/>
              <w:rPr>
                <w:rFonts w:ascii="Times" w:hAnsi="Times" w:cs="Times"/>
                <w:sz w:val="25"/>
                <w:szCs w:val="25"/>
              </w:rPr>
            </w:pPr>
            <w:r w:rsidR="00C006A5">
              <w:rPr>
                <w:rFonts w:ascii="Times" w:hAnsi="Times" w:cs="Times"/>
                <w:sz w:val="25"/>
                <w:szCs w:val="25"/>
              </w:rPr>
              <w:t>K</w:t>
            </w:r>
            <w:r w:rsidR="00EA3466">
              <w:rPr>
                <w:rFonts w:ascii="Times" w:hAnsi="Times" w:cs="Times"/>
                <w:sz w:val="25"/>
                <w:szCs w:val="25"/>
              </w:rPr>
              <w:t>onanie o porušení podľa čl. 258 až 260 Zmluvy o fungovaní Európskej únie proti Slovenskej republike nezačalo</w:t>
            </w:r>
            <w:r>
              <w:rPr>
                <w:rFonts w:ascii="Times" w:hAnsi="Times" w:cs="Times"/>
                <w:sz w:val="25"/>
                <w:szCs w:val="25"/>
              </w:rPr>
              <w:br/>
            </w:r>
          </w:p>
        </w:tc>
      </w:tr>
      <w:tr>
        <w:tblPrEx>
          <w:tblW w:w="5000" w:type="pct"/>
          <w:jc w:val="center"/>
          <w:tblCellMar>
            <w:left w:w="0" w:type="dxa"/>
            <w:right w:w="0" w:type="dxa"/>
          </w:tblCellMar>
          <w:tblLook w:val="04A0"/>
        </w:tblPrEx>
        <w:trPr>
          <w:divId w:val="10"/>
          <w:jc w:val="center"/>
        </w:trPr>
        <w:tc>
          <w:tcPr>
            <w:tcW w:w="0" w:type="auto"/>
            <w:tcBorders>
              <w:top w:val="nil"/>
              <w:left w:val="nil"/>
              <w:bottom w:val="nil"/>
              <w:right w:val="nil"/>
            </w:tcBorders>
            <w:textDirection w:val="lrTb"/>
            <w:vAlign w:val="top"/>
            <w:hideMark/>
          </w:tcPr>
          <w:p w:rsidR="00BD14E7">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D14E7">
            <w:pPr>
              <w:bidi w:val="0"/>
              <w:spacing w:after="0" w:line="240" w:lineRule="auto"/>
              <w:rPr>
                <w:rFonts w:ascii="Times" w:hAnsi="Times" w:cs="Times"/>
                <w:sz w:val="25"/>
                <w:szCs w:val="25"/>
              </w:rPr>
            </w:pPr>
            <w:r>
              <w:rPr>
                <w:rFonts w:ascii="Times" w:hAnsi="Times" w:cs="Times"/>
                <w:sz w:val="25"/>
                <w:szCs w:val="25"/>
              </w:rPr>
              <w:t>d)</w:t>
            </w:r>
          </w:p>
        </w:tc>
        <w:tc>
          <w:tcPr>
            <w:tcW w:w="0" w:type="auto"/>
            <w:tcBorders>
              <w:top w:val="nil"/>
              <w:left w:val="nil"/>
              <w:bottom w:val="nil"/>
              <w:right w:val="nil"/>
            </w:tcBorders>
            <w:textDirection w:val="lrTb"/>
            <w:vAlign w:val="center"/>
            <w:hideMark/>
          </w:tcPr>
          <w:p w:rsidR="00BD14E7">
            <w:pPr>
              <w:bidi w:val="0"/>
              <w:spacing w:after="250" w:line="240" w:lineRule="auto"/>
              <w:rPr>
                <w:rFonts w:ascii="Times" w:hAnsi="Times" w:cs="Times"/>
                <w:sz w:val="25"/>
                <w:szCs w:val="25"/>
              </w:rPr>
            </w:pPr>
            <w:r>
              <w:rPr>
                <w:rFonts w:ascii="Times" w:hAnsi="Times" w:cs="Times"/>
                <w:sz w:val="25"/>
                <w:szCs w:val="25"/>
              </w:rPr>
              <w:t>informácia o právnych predpisoch, v ktorých sú preberané smernice už prebraté spolu s uvedením rozsahu tohto prebratia</w:t>
            </w:r>
          </w:p>
        </w:tc>
      </w:tr>
      <w:tr>
        <w:tblPrEx>
          <w:tblW w:w="5000" w:type="pct"/>
          <w:jc w:val="center"/>
          <w:tblCellMar>
            <w:left w:w="0" w:type="dxa"/>
            <w:right w:w="0" w:type="dxa"/>
          </w:tblCellMar>
          <w:tblLook w:val="04A0"/>
        </w:tblPrEx>
        <w:trPr>
          <w:divId w:val="10"/>
          <w:jc w:val="center"/>
        </w:trPr>
        <w:tc>
          <w:tcPr>
            <w:tcW w:w="0" w:type="auto"/>
            <w:tcBorders>
              <w:top w:val="nil"/>
              <w:left w:val="nil"/>
              <w:bottom w:val="nil"/>
              <w:right w:val="nil"/>
            </w:tcBorders>
            <w:textDirection w:val="lrTb"/>
            <w:vAlign w:val="top"/>
            <w:hideMark/>
          </w:tcPr>
          <w:p w:rsidR="00BD14E7">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D14E7">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BD14E7">
            <w:pPr>
              <w:bidi w:val="0"/>
              <w:spacing w:after="250" w:line="240" w:lineRule="auto"/>
              <w:rPr>
                <w:rFonts w:ascii="Times" w:hAnsi="Times" w:cs="Times"/>
                <w:sz w:val="25"/>
                <w:szCs w:val="25"/>
              </w:rPr>
            </w:pPr>
            <w:r>
              <w:rPr>
                <w:rFonts w:ascii="Times" w:hAnsi="Times" w:cs="Times"/>
                <w:sz w:val="25"/>
                <w:szCs w:val="25"/>
              </w:rPr>
              <w:t>zákon č. 300/2005 Z. z. Trestný zákon v znení neskorších predpisov (čiastočná transpozícia) zákon č. 301/2005 Z. z. Trestný poriadok v znení neskorších predpisov (čiastočná transpozícia) zákon č. 91/2016 Z. z. o trestnej zodpovednosti právnických osôb a o zmene a doplnení niektorých zákonov v znení neskorších predpisov (čiastočná transpozícia)</w:t>
              <w:br/>
            </w:r>
          </w:p>
        </w:tc>
      </w:tr>
      <w:tr>
        <w:tblPrEx>
          <w:tblW w:w="5000" w:type="pct"/>
          <w:jc w:val="center"/>
          <w:tblCellMar>
            <w:left w:w="0" w:type="dxa"/>
            <w:right w:w="0" w:type="dxa"/>
          </w:tblCellMar>
          <w:tblLook w:val="04A0"/>
        </w:tblPrEx>
        <w:trPr>
          <w:divId w:val="10"/>
          <w:jc w:val="center"/>
        </w:trPr>
        <w:tc>
          <w:tcPr>
            <w:tcW w:w="0" w:type="auto"/>
            <w:tcBorders>
              <w:top w:val="nil"/>
              <w:left w:val="nil"/>
              <w:bottom w:val="nil"/>
              <w:right w:val="nil"/>
            </w:tcBorders>
            <w:textDirection w:val="lrTb"/>
            <w:vAlign w:val="top"/>
            <w:hideMark/>
          </w:tcPr>
          <w:p w:rsidR="00BD14E7">
            <w:pPr>
              <w:bidi w:val="0"/>
              <w:spacing w:after="0" w:line="240" w:lineRule="auto"/>
              <w:rPr>
                <w:rFonts w:ascii="Times" w:hAnsi="Times" w:cs="Times"/>
                <w:b/>
                <w:bCs/>
                <w:sz w:val="25"/>
                <w:szCs w:val="25"/>
              </w:rPr>
            </w:pPr>
            <w:r>
              <w:rPr>
                <w:rFonts w:ascii="Times" w:hAnsi="Times" w:cs="Times"/>
                <w:b/>
                <w:bCs/>
                <w:sz w:val="25"/>
                <w:szCs w:val="25"/>
              </w:rPr>
              <w:t>5.</w:t>
            </w:r>
          </w:p>
        </w:tc>
        <w:tc>
          <w:tcPr>
            <w:tcW w:w="0" w:type="auto"/>
            <w:gridSpan w:val="2"/>
            <w:tcBorders>
              <w:top w:val="nil"/>
              <w:left w:val="nil"/>
              <w:bottom w:val="nil"/>
              <w:right w:val="nil"/>
            </w:tcBorders>
            <w:textDirection w:val="lrTb"/>
            <w:vAlign w:val="top"/>
            <w:hideMark/>
          </w:tcPr>
          <w:p w:rsidR="00BD14E7">
            <w:pPr>
              <w:bidi w:val="0"/>
              <w:spacing w:after="250" w:line="240" w:lineRule="auto"/>
              <w:rPr>
                <w:rFonts w:ascii="Times" w:hAnsi="Times" w:cs="Times"/>
                <w:b/>
                <w:bCs/>
                <w:sz w:val="25"/>
                <w:szCs w:val="25"/>
              </w:rPr>
            </w:pPr>
            <w:r>
              <w:rPr>
                <w:rFonts w:ascii="Times" w:hAnsi="Times" w:cs="Times"/>
                <w:b/>
                <w:bCs/>
                <w:sz w:val="25"/>
                <w:szCs w:val="25"/>
              </w:rPr>
              <w:t>Stupeň zlučiteľnosti návrhu právneho predpisu s právom Európskej únie:</w:t>
            </w:r>
          </w:p>
        </w:tc>
      </w:tr>
      <w:tr>
        <w:tblPrEx>
          <w:tblW w:w="5000" w:type="pct"/>
          <w:jc w:val="center"/>
          <w:tblCellMar>
            <w:left w:w="0" w:type="dxa"/>
            <w:right w:w="0" w:type="dxa"/>
          </w:tblCellMar>
          <w:tblLook w:val="04A0"/>
        </w:tblPrEx>
        <w:trPr>
          <w:divId w:val="10"/>
          <w:jc w:val="center"/>
        </w:trPr>
        <w:tc>
          <w:tcPr>
            <w:tcW w:w="0" w:type="auto"/>
            <w:tcBorders>
              <w:top w:val="nil"/>
              <w:left w:val="nil"/>
              <w:bottom w:val="nil"/>
              <w:right w:val="nil"/>
            </w:tcBorders>
            <w:textDirection w:val="lrTb"/>
            <w:vAlign w:val="top"/>
            <w:hideMark/>
          </w:tcPr>
          <w:p w:rsidR="00BD14E7">
            <w:pPr>
              <w:bidi w:val="0"/>
              <w:spacing w:after="250" w:line="240" w:lineRule="auto"/>
              <w:rPr>
                <w:rFonts w:ascii="Times" w:hAnsi="Times" w:cs="Times"/>
                <w:b/>
                <w:bCs/>
                <w:sz w:val="25"/>
                <w:szCs w:val="25"/>
              </w:rPr>
            </w:pPr>
          </w:p>
        </w:tc>
        <w:tc>
          <w:tcPr>
            <w:tcW w:w="0" w:type="auto"/>
            <w:tcBorders>
              <w:top w:val="nil"/>
              <w:left w:val="nil"/>
              <w:bottom w:val="nil"/>
              <w:right w:val="nil"/>
            </w:tcBorders>
            <w:textDirection w:val="lrTb"/>
            <w:vAlign w:val="top"/>
            <w:hideMark/>
          </w:tcPr>
          <w:p w:rsidR="00BD14E7">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BD14E7">
            <w:pPr>
              <w:bidi w:val="0"/>
              <w:spacing w:after="250" w:line="240" w:lineRule="auto"/>
              <w:rPr>
                <w:rFonts w:ascii="Times" w:hAnsi="Times" w:cs="Times"/>
                <w:sz w:val="25"/>
                <w:szCs w:val="25"/>
              </w:rPr>
            </w:pPr>
            <w:r w:rsidR="008C4D72">
              <w:rPr>
                <w:rFonts w:ascii="Times" w:hAnsi="Times" w:cs="Times"/>
                <w:sz w:val="25"/>
                <w:szCs w:val="25"/>
              </w:rPr>
              <w:t>úplný</w:t>
            </w:r>
          </w:p>
        </w:tc>
      </w:tr>
      <w:tr>
        <w:tblPrEx>
          <w:tblW w:w="5000" w:type="pct"/>
          <w:jc w:val="center"/>
          <w:tblCellMar>
            <w:left w:w="0" w:type="dxa"/>
            <w:right w:w="0" w:type="dxa"/>
          </w:tblCellMar>
          <w:tblLook w:val="04A0"/>
        </w:tblPrEx>
        <w:trPr>
          <w:divId w:val="10"/>
          <w:jc w:val="center"/>
        </w:trPr>
        <w:tc>
          <w:tcPr>
            <w:tcW w:w="0" w:type="auto"/>
            <w:tcBorders>
              <w:top w:val="nil"/>
              <w:left w:val="nil"/>
              <w:bottom w:val="nil"/>
              <w:right w:val="nil"/>
            </w:tcBorders>
            <w:textDirection w:val="lrTb"/>
            <w:vAlign w:val="top"/>
            <w:hideMark/>
          </w:tcPr>
          <w:p w:rsidR="00BD14E7">
            <w:pPr>
              <w:bidi w:val="0"/>
              <w:spacing w:after="0" w:line="240" w:lineRule="auto"/>
              <w:rPr>
                <w:rFonts w:ascii="Times" w:hAnsi="Times" w:cs="Times"/>
                <w:b/>
                <w:bCs/>
                <w:sz w:val="25"/>
                <w:szCs w:val="25"/>
              </w:rPr>
            </w:pPr>
            <w:r>
              <w:rPr>
                <w:rFonts w:ascii="Times" w:hAnsi="Times" w:cs="Times"/>
                <w:b/>
                <w:bCs/>
                <w:sz w:val="25"/>
                <w:szCs w:val="25"/>
              </w:rPr>
              <w:t>6.</w:t>
            </w:r>
          </w:p>
        </w:tc>
        <w:tc>
          <w:tcPr>
            <w:tcW w:w="0" w:type="auto"/>
            <w:gridSpan w:val="2"/>
            <w:tcBorders>
              <w:top w:val="nil"/>
              <w:left w:val="nil"/>
              <w:bottom w:val="nil"/>
              <w:right w:val="nil"/>
            </w:tcBorders>
            <w:textDirection w:val="lrTb"/>
            <w:vAlign w:val="top"/>
            <w:hideMark/>
          </w:tcPr>
          <w:p w:rsidR="00BD14E7">
            <w:pPr>
              <w:bidi w:val="0"/>
              <w:spacing w:after="250" w:line="240" w:lineRule="auto"/>
              <w:rPr>
                <w:rFonts w:ascii="Times" w:hAnsi="Times" w:cs="Times"/>
                <w:b/>
                <w:bCs/>
                <w:sz w:val="25"/>
                <w:szCs w:val="25"/>
              </w:rPr>
            </w:pPr>
            <w:r>
              <w:rPr>
                <w:rFonts w:ascii="Times" w:hAnsi="Times" w:cs="Times"/>
                <w:b/>
                <w:bCs/>
                <w:sz w:val="25"/>
                <w:szCs w:val="25"/>
              </w:rPr>
              <w:t>Gestor a spolupracujúce rezorty:</w:t>
            </w:r>
          </w:p>
        </w:tc>
      </w:tr>
      <w:tr>
        <w:tblPrEx>
          <w:tblW w:w="5000" w:type="pct"/>
          <w:jc w:val="center"/>
          <w:tblCellMar>
            <w:left w:w="0" w:type="dxa"/>
            <w:right w:w="0" w:type="dxa"/>
          </w:tblCellMar>
          <w:tblLook w:val="04A0"/>
        </w:tblPrEx>
        <w:trPr>
          <w:divId w:val="10"/>
          <w:jc w:val="center"/>
        </w:trPr>
        <w:tc>
          <w:tcPr>
            <w:tcW w:w="0" w:type="auto"/>
            <w:tcBorders>
              <w:top w:val="nil"/>
              <w:left w:val="nil"/>
              <w:bottom w:val="nil"/>
              <w:right w:val="nil"/>
            </w:tcBorders>
            <w:textDirection w:val="lrTb"/>
            <w:vAlign w:val="top"/>
            <w:hideMark/>
          </w:tcPr>
          <w:p w:rsidR="00BD14E7">
            <w:pPr>
              <w:bidi w:val="0"/>
              <w:spacing w:after="250" w:line="240" w:lineRule="auto"/>
              <w:rPr>
                <w:rFonts w:ascii="Times" w:hAnsi="Times" w:cs="Times"/>
                <w:b/>
                <w:bCs/>
                <w:sz w:val="25"/>
                <w:szCs w:val="25"/>
              </w:rPr>
            </w:pPr>
          </w:p>
        </w:tc>
        <w:tc>
          <w:tcPr>
            <w:tcW w:w="0" w:type="auto"/>
            <w:tcBorders>
              <w:top w:val="nil"/>
              <w:left w:val="nil"/>
              <w:bottom w:val="nil"/>
              <w:right w:val="nil"/>
            </w:tcBorders>
            <w:textDirection w:val="lrTb"/>
            <w:vAlign w:val="top"/>
            <w:hideMark/>
          </w:tcPr>
          <w:p w:rsidR="00BD14E7">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BD14E7">
            <w:pPr>
              <w:bidi w:val="0"/>
              <w:spacing w:after="250" w:line="240" w:lineRule="auto"/>
              <w:rPr>
                <w:rFonts w:ascii="Times" w:hAnsi="Times" w:cs="Times"/>
                <w:sz w:val="25"/>
                <w:szCs w:val="25"/>
              </w:rPr>
            </w:pPr>
            <w:r>
              <w:rPr>
                <w:rFonts w:ascii="Times" w:hAnsi="Times" w:cs="Times"/>
                <w:sz w:val="25"/>
                <w:szCs w:val="25"/>
              </w:rPr>
              <w:t>Ministerstvo spravodlivosti Slovenskej republiky</w:t>
              <w:br/>
            </w:r>
          </w:p>
        </w:tc>
      </w:tr>
    </w:tbl>
    <w:p w:rsidR="003D0DA4" w:rsidRPr="00117A7E" w:rsidP="00814DF5">
      <w:pPr>
        <w:tabs>
          <w:tab w:val="left" w:pos="360"/>
        </w:tabs>
        <w:bidi w:val="0"/>
        <w:jc w:val="both"/>
        <w:rPr>
          <w:rFonts w:ascii="Times New Roman" w:hAnsi="Times New Roman"/>
        </w:rPr>
      </w:pPr>
    </w:p>
    <w:sectPr>
      <w:pgSz w:w="12240" w:h="15840"/>
      <w:pgMar w:top="1417" w:right="1417" w:bottom="1417" w:left="1417"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1484D"/>
    <w:multiLevelType w:val="hybridMultilevel"/>
    <w:tmpl w:val="81A87962"/>
    <w:lvl w:ilvl="0">
      <w:start w:val="3"/>
      <w:numFmt w:val="bullet"/>
      <w:lvlText w:val="-"/>
      <w:lvlJc w:val="left"/>
      <w:pPr>
        <w:ind w:left="1080" w:hanging="360"/>
      </w:pPr>
      <w:rPr>
        <w:rFonts w:ascii="Times New Roman" w:eastAsia="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1E01323C"/>
    <w:multiLevelType w:val="hybridMultilevel"/>
    <w:tmpl w:val="F5C89F76"/>
    <w:lvl w:ilvl="0">
      <w:start w:val="1"/>
      <w:numFmt w:val="decimal"/>
      <w:lvlText w:val="%1."/>
      <w:lvlJc w:val="left"/>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4613B58"/>
    <w:multiLevelType w:val="hybridMultilevel"/>
    <w:tmpl w:val="1EF280DA"/>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25B21DE"/>
    <w:multiLevelType w:val="hybridMultilevel"/>
    <w:tmpl w:val="2078F9F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E5642E0"/>
    <w:multiLevelType w:val="hybridMultilevel"/>
    <w:tmpl w:val="0E729AC6"/>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E8B16FD"/>
    <w:multiLevelType w:val="hybridMultilevel"/>
    <w:tmpl w:val="A0F68696"/>
    <w:lvl w:ilvl="0">
      <w:start w:val="2"/>
      <w:numFmt w:val="bullet"/>
      <w:lvlText w:val="-"/>
      <w:lvlJc w:val="left"/>
      <w:pPr>
        <w:ind w:left="1080" w:hanging="360"/>
      </w:pPr>
      <w:rPr>
        <w:rFonts w:ascii="Times New Roman" w:eastAsia="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7E6A6D74"/>
    <w:multiLevelType w:val="hybridMultilevel"/>
    <w:tmpl w:val="EB42C24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oNotTrackMoves/>
  <w:defaultTabStop w:val="708"/>
  <w:hyphenationZone w:val="425"/>
  <w:doNotShadeFormData/>
  <w:characterSpacingControl w:val="doNotCompress"/>
  <w:doNotValidateAgainstSchema/>
  <w:compat>
    <w:spaceForUL/>
    <w:balanceSingleByteDoubleByteWidth/>
    <w:doNotLeaveBackslashAlone/>
    <w:ulTrailSpace/>
    <w:doNotExpandShiftReturn/>
    <w:adjustLineHeightInTable/>
  </w:compat>
  <w:rsids>
    <w:rsidRoot w:val="00824CCF"/>
    <w:rsid w:val="00010D7F"/>
    <w:rsid w:val="00054456"/>
    <w:rsid w:val="00074DA7"/>
    <w:rsid w:val="000C03E4"/>
    <w:rsid w:val="000C5887"/>
    <w:rsid w:val="00117A7E"/>
    <w:rsid w:val="001212DC"/>
    <w:rsid w:val="001345EA"/>
    <w:rsid w:val="001D60ED"/>
    <w:rsid w:val="001F0AA3"/>
    <w:rsid w:val="0020025E"/>
    <w:rsid w:val="0023485C"/>
    <w:rsid w:val="002B14DD"/>
    <w:rsid w:val="002E6AC0"/>
    <w:rsid w:val="003841E0"/>
    <w:rsid w:val="003D0DA4"/>
    <w:rsid w:val="00482868"/>
    <w:rsid w:val="004A3CCB"/>
    <w:rsid w:val="004B1E6E"/>
    <w:rsid w:val="004D00C4"/>
    <w:rsid w:val="004E7F23"/>
    <w:rsid w:val="00596545"/>
    <w:rsid w:val="00632C56"/>
    <w:rsid w:val="006C0FA0"/>
    <w:rsid w:val="006E1D9C"/>
    <w:rsid w:val="006F3E6F"/>
    <w:rsid w:val="00785F65"/>
    <w:rsid w:val="007F5B72"/>
    <w:rsid w:val="00814DF5"/>
    <w:rsid w:val="00824CCF"/>
    <w:rsid w:val="00847169"/>
    <w:rsid w:val="008570D4"/>
    <w:rsid w:val="008655C8"/>
    <w:rsid w:val="008C4D72"/>
    <w:rsid w:val="008E2891"/>
    <w:rsid w:val="00970F68"/>
    <w:rsid w:val="009C63EB"/>
    <w:rsid w:val="00B128CD"/>
    <w:rsid w:val="00B326AA"/>
    <w:rsid w:val="00B526D6"/>
    <w:rsid w:val="00BD14E7"/>
    <w:rsid w:val="00C006A5"/>
    <w:rsid w:val="00C12975"/>
    <w:rsid w:val="00C90146"/>
    <w:rsid w:val="00CA5D08"/>
    <w:rsid w:val="00D14B99"/>
    <w:rsid w:val="00D465F6"/>
    <w:rsid w:val="00D5344B"/>
    <w:rsid w:val="00D7275F"/>
    <w:rsid w:val="00D75FDD"/>
    <w:rsid w:val="00DB3DB1"/>
    <w:rsid w:val="00DC377E"/>
    <w:rsid w:val="00DC3BFE"/>
    <w:rsid w:val="00E85F6B"/>
    <w:rsid w:val="00EA3466"/>
    <w:rsid w:val="00EC5BF8"/>
    <w:rsid w:val="00FA32F7"/>
    <w:rsid w:val="00FD64BC"/>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nhideWhenUsed="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5">
    <w:name w:val="heading 5"/>
    <w:basedOn w:val="Normal"/>
    <w:link w:val="Nadpis5Char"/>
    <w:uiPriority w:val="9"/>
    <w:qFormat/>
    <w:rsid w:val="009C63EB"/>
    <w:pPr>
      <w:widowControl/>
      <w:autoSpaceDE/>
      <w:autoSpaceDN/>
      <w:adjustRightInd/>
      <w:spacing w:before="100" w:beforeAutospacing="1" w:after="100" w:afterAutospacing="1"/>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
    <w:locked/>
    <w:rsid w:val="009C63EB"/>
    <w:rPr>
      <w:rFonts w:cs="Times New Roman"/>
      <w:b/>
      <w:bCs/>
      <w:sz w:val="20"/>
      <w:szCs w:val="20"/>
      <w:rtl w:val="0"/>
      <w:cs w:val="0"/>
    </w:rPr>
  </w:style>
  <w:style w:type="character" w:styleId="CommentReference">
    <w:name w:val="annotation reference"/>
    <w:basedOn w:val="DefaultParagraphFont"/>
    <w:uiPriority w:val="99"/>
    <w:semiHidden/>
    <w:unhideWhenUsed/>
    <w:rsid w:val="00EC5BF8"/>
    <w:rPr>
      <w:rFonts w:cs="Times New Roman"/>
      <w:sz w:val="16"/>
      <w:szCs w:val="16"/>
      <w:rtl w:val="0"/>
      <w:cs w:val="0"/>
    </w:rPr>
  </w:style>
  <w:style w:type="paragraph" w:styleId="CommentText">
    <w:name w:val="annotation text"/>
    <w:basedOn w:val="Normal"/>
    <w:link w:val="TextkomentraChar"/>
    <w:uiPriority w:val="99"/>
    <w:semiHidden/>
    <w:unhideWhenUsed/>
    <w:rsid w:val="00EC5BF8"/>
    <w:pPr>
      <w:jc w:val="left"/>
    </w:pPr>
    <w:rPr>
      <w:sz w:val="20"/>
      <w:szCs w:val="20"/>
    </w:rPr>
  </w:style>
  <w:style w:type="character" w:customStyle="1" w:styleId="TextkomentraChar">
    <w:name w:val="Text komentára Char"/>
    <w:basedOn w:val="DefaultParagraphFont"/>
    <w:link w:val="CommentText"/>
    <w:uiPriority w:val="99"/>
    <w:semiHidden/>
    <w:locked/>
    <w:rsid w:val="00EC5BF8"/>
    <w:rPr>
      <w:rFonts w:cs="Times New Roman"/>
      <w:sz w:val="20"/>
      <w:szCs w:val="20"/>
      <w:rtl w:val="0"/>
      <w:cs w:val="0"/>
      <w:lang w:val="ru-RU" w:eastAsia="x-none"/>
    </w:rPr>
  </w:style>
  <w:style w:type="paragraph" w:styleId="CommentSubject">
    <w:name w:val="annotation subject"/>
    <w:basedOn w:val="CommentText"/>
    <w:next w:val="CommentText"/>
    <w:link w:val="PredmetkomentraChar"/>
    <w:uiPriority w:val="99"/>
    <w:semiHidden/>
    <w:unhideWhenUsed/>
    <w:rsid w:val="00EC5BF8"/>
    <w:pPr>
      <w:jc w:val="left"/>
    </w:pPr>
    <w:rPr>
      <w:b/>
      <w:bCs/>
    </w:rPr>
  </w:style>
  <w:style w:type="character" w:customStyle="1" w:styleId="PredmetkomentraChar">
    <w:name w:val="Predmet komentára Char"/>
    <w:basedOn w:val="TextkomentraChar"/>
    <w:link w:val="CommentSubject"/>
    <w:uiPriority w:val="99"/>
    <w:semiHidden/>
    <w:locked/>
    <w:rsid w:val="00EC5BF8"/>
    <w:rPr>
      <w:b/>
      <w:bCs/>
    </w:rPr>
  </w:style>
  <w:style w:type="paragraph" w:styleId="BalloonText">
    <w:name w:val="Balloon Text"/>
    <w:basedOn w:val="Normal"/>
    <w:link w:val="TextbublinyChar"/>
    <w:uiPriority w:val="99"/>
    <w:semiHidden/>
    <w:unhideWhenUsed/>
    <w:rsid w:val="00EC5BF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C5BF8"/>
    <w:rPr>
      <w:rFonts w:ascii="Tahoma" w:hAnsi="Tahoma" w:cs="Tahoma"/>
      <w:sz w:val="16"/>
      <w:szCs w:val="16"/>
      <w:rtl w:val="0"/>
      <w:cs w:val="0"/>
      <w:lang w:val="ru-RU" w:eastAsia="x-none"/>
    </w:rPr>
  </w:style>
  <w:style w:type="paragraph" w:styleId="ListParagraph">
    <w:name w:val="List Paragraph"/>
    <w:basedOn w:val="Normal"/>
    <w:uiPriority w:val="99"/>
    <w:qFormat/>
    <w:rsid w:val="00E85F6B"/>
    <w:pPr>
      <w:ind w:left="720"/>
      <w:contextualSpacing/>
      <w:jc w:val="left"/>
    </w:pPr>
  </w:style>
  <w:style w:type="table" w:styleId="TableGrid">
    <w:name w:val="Table Grid"/>
    <w:basedOn w:val="TableNormal"/>
    <w:uiPriority w:val="99"/>
    <w:unhideWhenUsed/>
    <w:rsid w:val="001F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Doložka zlučiteľnosti"/>
    <f:field ref="objsubject" par="" edit="true" text="Doložka zlučiteľnosti"/>
    <f:field ref="objcreatedby" par="" text="Fscclone"/>
    <f:field ref="objcreatedat" par="" text="6.10.2017 1:06:39"/>
    <f:field ref="objchangedby" par="" text="Fscclone"/>
    <f:field ref="objmodifiedat" par="" text="6.10.2017 1:06:56"/>
    <f:field ref="doc_FSCFOLIO_1_1001_FieldDocumentNumber" par="" text=""/>
    <f:field ref="doc_FSCFOLIO_1_1001_FieldSubject" par="" edit="true" text="Doložka zlučiteľnosti"/>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570672C-D00C-4C13-AA6C-95681F4585B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2</Pages>
  <Words>427</Words>
  <Characters>2435</Characters>
  <Application>Microsoft Office Word</Application>
  <DocSecurity>0</DocSecurity>
  <Lines>0</Lines>
  <Paragraphs>0</Paragraphs>
  <ScaleCrop>false</ScaleCrop>
  <Company>Hewlett-Packard Company</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BALESOVA Jana</cp:lastModifiedBy>
  <cp:revision>3</cp:revision>
  <cp:lastPrinted>2017-11-07T10:45:00Z</cp:lastPrinted>
  <dcterms:created xsi:type="dcterms:W3CDTF">2017-11-07T10:49:00Z</dcterms:created>
  <dcterms:modified xsi:type="dcterms:W3CDTF">2018-01-30T13:02:00Z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COO.2145.1000.3.2182863</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28. 7. 2017</vt:lpwstr>
  </property>
  <property fmtid="{D5CDD505-2E9C-101B-9397-08002B2CF9AE}" pid="6" name="FSC#SKEDITIONSLOVLEX@103.510:AttrDateDocPropZaciatokPKK">
    <vt:lpwstr>14. 7. 2017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Pozitívne_x000D__x000D_Negatívne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Alternatívne riešenia neboli posudzované.</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spravodlivosti Slovenskej republiky</vt:lpwstr>
  </property>
  <property fmtid="{D5CDD505-2E9C-101B-9397-08002B2CF9AE}" pid="15" name="FSC#SKEDITIONSLOVLEX@103.510:AttrStrListDocPropInfoUzPreberanePP">
    <vt:lpwstr>zákon č. 300/2005 Z. z. Trestný zákon v znení neskorších predpisov (čiastočná transpozícia)_x000D__x000D__x000D__x000D_zákon č. 301/2005 Z. z. Trestný poriadok v znení neskorších predpisov (čiastočná transpozícia)_x000D__x000D__x000D__x000D_zákon č. 91/2016 Z. z. o trestnej zodpovednosti právnických os</vt:lpwstr>
  </property>
  <property fmtid="{D5CDD505-2E9C-101B-9397-08002B2CF9AE}" pid="16" name="FSC#SKEDITIONSLOVLEX@103.510:AttrStrListDocPropInfoZaciatokKonania">
    <vt:lpwstr>bezpredmetné</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júl 2017</vt:lpwstr>
  </property>
  <property fmtid="{D5CDD505-2E9C-101B-9397-08002B2CF9AE}" pid="20" name="FSC#SKEDITIONSLOVLEX@103.510:AttrStrListDocPropLehotaPrebratieSmernice">
    <vt:lpwstr>smernica 2014/42/EÚ - 4. október 2016</vt:lpwstr>
  </property>
  <property fmtid="{D5CDD505-2E9C-101B-9397-08002B2CF9AE}" pid="21" name="FSC#SKEDITIONSLOVLEX@103.510:AttrStrListDocPropNazovPredpisuEU">
    <vt:lpwstr/>
  </property>
  <property fmtid="{D5CDD505-2E9C-101B-9397-08002B2CF9AE}" pid="22" name="FSC#SKEDITIONSLOVLEX@103.510:AttrStrListDocPropPoznamkaVplyv">
    <vt:lpwstr>S prihliadnutím na novú úpravu správy zaisteného majetku, ktorú bude vykonávať Finančné riaditeľstvo Slovenskej republiky, možno predpokladať zvýšené nároky na štátny rozpočet, avšak tieto nie je možné kvantifikovať nakoľko nie je možné exaktne určiť v ko</vt:lpwstr>
  </property>
  <property fmtid="{D5CDD505-2E9C-101B-9397-08002B2CF9AE}" pid="23" name="FSC#SKEDITIONSLOVLEX@103.510:AttrStrListDocPropPrimarnePravoEU">
    <vt:lpwstr>čl. 82 ods. 2 a čl. 87 až 89 Zmluvy o fungovaní Európskej únie</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2014/42/EÚ z 3. apríla 2014 o zaistení a konfiškácii prostriedkov a príjmov z trestnej činnosti v Európskej únii (Ú. v. EÚ L 127, 29. 4. 2014)</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Vzhľadom na to, že komisia sa v ustanovenej lehote nevyjadrila, bol vyslovený súhlas s doložkou vplyvov.</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o výkone rozhodnutia o zaistení majetku a správe zaisteného majetku o zmene a doplnení niektorých zákonov. </vt:lpwstr>
  </property>
  <property fmtid="{D5CDD505-2E9C-101B-9397-08002B2CF9AE}" pid="32" name="FSC#SKEDITIONSLOVLEX@103.510:AttrStrListDocPropTextPredklSpravy">
    <vt:lpwstr>&lt;p style="text-align: justify;"&gt;&amp;nbsp;&amp;nbsp;&amp;nbsp;&amp;nbsp; Ministerstvo spravodlivosti Slovenskej republiky predkladá na medzirezortné pripomienkové konanie návrh zákona výkone rozhodnutia o zaistení majetku a správe zaisteného majetku o zmene a doplnení ni</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republiky_x000D__x000D_podpredsedníčka vlády a ministerka spravodlivosti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LP/2017/626</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podpredsedníčka vlády a ministerka spravodlivosti Slovenskej republiky</vt:lpwstr>
  </property>
  <property fmtid="{D5CDD505-2E9C-101B-9397-08002B2CF9AE}" pid="122" name="FSC#SKEDITIONSLOVLEX@103.510:funkciaZodpPredAkuzativ">
    <vt:lpwstr>podpredsedníčke vlády a ministerke spravodlivosti Slovenskej republiky</vt:lpwstr>
  </property>
  <property fmtid="{D5CDD505-2E9C-101B-9397-08002B2CF9AE}" pid="123" name="FSC#SKEDITIONSLOVLEX@103.510:funkciaZodpPredDativ">
    <vt:lpwstr>podpredsedníčku vlády a ministerku spravodlivosti Slovenskej republiky</vt:lpwstr>
  </property>
  <property fmtid="{D5CDD505-2E9C-101B-9397-08002B2CF9AE}" pid="124" name="FSC#SKEDITIONSLOVLEX@103.510:legoblast">
    <vt:lpwstr>Trestné právo_x000D__x000D_Správne právo</vt:lpwstr>
  </property>
  <property fmtid="{D5CDD505-2E9C-101B-9397-08002B2CF9AE}" pid="125" name="FSC#SKEDITIONSLOVLEX@103.510:nazovpredpis">
    <vt:lpwstr> o výkone rozhodnutia o zaistení majetku a správe zaisteného majetku o zmene a doplnení niektorých zákonov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o výkone rozhodnutia o zaistení majetku a správe zaisteného majetku o zmene a doplnení niektorých zákonov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2017,   Akčný plán, boja proti daňovým podvodom 2017 – 2018, Akčný plán na posilnenie Slovenskej republiky ako právneho štátu</vt:lpwstr>
  </property>
  <property fmtid="{D5CDD505-2E9C-101B-9397-08002B2CF9AE}" pid="136" name="FSC#SKEDITIONSLOVLEX@103.510:povodpredpis">
    <vt:lpwstr>Slovlex (eLeg)</vt:lpwstr>
  </property>
  <property fmtid="{D5CDD505-2E9C-101B-9397-08002B2CF9AE}" pid="137" name="FSC#SKEDITIONSLOVLEX@103.510:predkladatel">
    <vt:lpwstr>Dagmar Fillová</vt:lpwstr>
  </property>
  <property fmtid="{D5CDD505-2E9C-101B-9397-08002B2CF9AE}" pid="138" name="FSC#SKEDITIONSLOVLEX@103.510:predkladateliaObalSD">
    <vt:lpwstr>Lucia Žitňanská_x000D__x000D_podpredsedníčka vlády a ministerka spravodlivosti Slovenskej republiky</vt:lpwstr>
  </property>
  <property fmtid="{D5CDD505-2E9C-101B-9397-08002B2CF9AE}" pid="139" name="FSC#SKEDITIONSLOVLEX@103.510:pripomienkovatelia">
    <vt:lpwstr/>
  </property>
  <property fmtid="{D5CDD505-2E9C-101B-9397-08002B2CF9AE}" pid="140" name="FSC#SKEDITIONSLOVLEX@103.510:rezortcislopredpis">
    <vt:lpwstr>33052/2017/120</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width="100%"&gt;_&lt;tbody&gt;__&lt;tr&gt;___&lt;td colspan="5" style="width: 100%; height: 37px;"&gt;___&lt;h2 align="center"&gt;Správa o účasti verejnosti na tvorbe právneho predpisu&lt;/h2&gt;___&lt;h2&gt;Scenár 3: Verejnosť sa </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Doložka zlučiteľnosti</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6. 10. 2017</vt:lpwstr>
  </property>
  <property fmtid="{D5CDD505-2E9C-101B-9397-08002B2CF9AE}" pid="150" name="FSC#SKEDITIONSLOVLEX@103.510:vztahypredpis">
    <vt:lpwstr/>
  </property>
  <property fmtid="{D5CDD505-2E9C-101B-9397-08002B2CF9AE}" pid="151" name="FSC#SKEDITIONSLOVLEX@103.510:zodpinstitucia">
    <vt:lpwstr>Ministerstvo spravodlivosti Slovenskej republiky</vt:lpwstr>
  </property>
  <property fmtid="{D5CDD505-2E9C-101B-9397-08002B2CF9AE}" pid="152" name="FSC#SKEDITIONSLOVLEX@103.510:zodppredkladatel">
    <vt:lpwstr>Lucia Žitňanská</vt:lpwstr>
  </property>
</Properties>
</file>