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770F10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CA5704">
        <w:t>43</w:t>
      </w:r>
      <w:r w:rsidRPr="00D14EA4" w:rsidR="00985280">
        <w:t>.</w:t>
      </w:r>
      <w:r w:rsidRPr="00D14EA4">
        <w:t xml:space="preserve"> schôdza</w:t>
      </w:r>
    </w:p>
    <w:p w:rsidR="00E20A99" w:rsidRPr="00500C97" w:rsidP="000D040E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Pr="00770F10" w:rsidR="00770F10">
        <w:t>2197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704">
        <w:rPr>
          <w:b/>
        </w:rPr>
        <w:t xml:space="preserve">        </w:t>
      </w:r>
    </w:p>
    <w:p w:rsidR="00770F10" w:rsidP="00067F0B">
      <w:pPr>
        <w:ind w:left="3540" w:firstLine="708"/>
        <w:rPr>
          <w:b/>
        </w:rPr>
      </w:pPr>
      <w:r w:rsidR="006908AE">
        <w:rPr>
          <w:b/>
        </w:rPr>
        <w:t xml:space="preserve">        248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</w:t>
      </w:r>
      <w:r>
        <w:rPr>
          <w:b/>
        </w:rPr>
        <w:t>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CA5704">
        <w:rPr>
          <w:b/>
        </w:rPr>
        <w:t>29</w:t>
      </w:r>
      <w:r w:rsidR="00C72FBD">
        <w:rPr>
          <w:b/>
        </w:rPr>
        <w:t xml:space="preserve">. </w:t>
      </w:r>
      <w:r w:rsidR="00CA5704">
        <w:rPr>
          <w:b/>
        </w:rPr>
        <w:t>januára</w:t>
      </w:r>
      <w:r w:rsidR="00830899">
        <w:rPr>
          <w:b/>
        </w:rPr>
        <w:t xml:space="preserve"> 201</w:t>
      </w:r>
      <w:r w:rsidR="00CA5704">
        <w:rPr>
          <w:b/>
        </w:rPr>
        <w:t>8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770F10" w:rsidP="00770F10">
      <w:pPr>
        <w:pStyle w:val="BodyText"/>
        <w:spacing w:after="0"/>
        <w:jc w:val="both"/>
        <w:rPr>
          <w:bCs w:val="0"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770F10" w:rsidR="00050225">
        <w:rPr>
          <w:bCs w:val="0"/>
        </w:rPr>
        <w:t xml:space="preserve"> </w:t>
      </w:r>
      <w:r w:rsidR="00770F10">
        <w:t>v</w:t>
      </w:r>
      <w:r w:rsidRPr="00770F10" w:rsidR="00770F10">
        <w:t xml:space="preserve">ládny návrh zákona o regionálnej investičnej pomoci a o zmene a doplnení niektorých zákonov </w:t>
      </w:r>
      <w:r w:rsidRPr="00770F10" w:rsidR="00770F10">
        <w:rPr>
          <w:b/>
        </w:rPr>
        <w:t>(tlač 747)</w:t>
      </w:r>
      <w:r w:rsidR="00770F10">
        <w:rPr>
          <w:b/>
        </w:rPr>
        <w:t xml:space="preserve"> </w:t>
      </w:r>
      <w:r w:rsidRPr="00770F10">
        <w:rPr>
          <w:b/>
          <w:bCs w:val="0"/>
        </w:rPr>
        <w:t>a</w:t>
      </w:r>
    </w:p>
    <w:p w:rsidR="00302EB6" w:rsidP="00BD7172"/>
    <w:p w:rsidR="00AC2960" w:rsidP="00BD7172"/>
    <w:p w:rsidR="00770F1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770F10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770F10">
        <w:t>v</w:t>
      </w:r>
      <w:r w:rsidRPr="00770F10" w:rsidR="00770F10">
        <w:t>ládny</w:t>
      </w:r>
      <w:r w:rsidR="00770F10">
        <w:t>m</w:t>
      </w:r>
      <w:r w:rsidRPr="00770F10" w:rsidR="00770F10">
        <w:t xml:space="preserve"> návr</w:t>
      </w:r>
      <w:r w:rsidRPr="00770F10" w:rsidR="00770F10">
        <w:t>h</w:t>
      </w:r>
      <w:r w:rsidR="00770F10">
        <w:t>om</w:t>
      </w:r>
      <w:r w:rsidRPr="00770F10" w:rsidR="00770F10">
        <w:t xml:space="preserve"> zákona o regionálnej investičnej pomoci a o zmene a doplnení niektorých zákonov </w:t>
      </w:r>
      <w:r w:rsidRPr="00770F10" w:rsidR="00770F10">
        <w:rPr>
          <w:b/>
        </w:rPr>
        <w:t>(tlač 747)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770F1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CA5704" w:rsidRPr="00E20A99" w:rsidP="00CA5704">
      <w:pPr>
        <w:pStyle w:val="Heading1"/>
        <w:ind w:left="0" w:firstLine="360"/>
        <w:jc w:val="both"/>
      </w:pPr>
      <w:r w:rsidRPr="00770F10" w:rsidR="00770F10">
        <w:rPr>
          <w:b w:val="0"/>
        </w:rPr>
        <w:t>vládny návrh zákona o regionálnej investičnej pomoci a o zmene a doplnení niektorých zákonov (tlač 747)</w:t>
      </w:r>
      <w:r w:rsidR="00770F10">
        <w:rPr>
          <w:b w:val="0"/>
        </w:rPr>
        <w:t xml:space="preserve"> </w:t>
      </w:r>
      <w:r w:rsidRPr="00E20A99" w:rsidR="00F33022">
        <w:t>schváliť</w:t>
      </w:r>
      <w:r>
        <w:t xml:space="preserve"> s pozmeňujúcimi a doplňujúcimi </w:t>
      </w:r>
      <w:r w:rsidRPr="00E20A99">
        <w:t>návrhm</w:t>
      </w:r>
      <w:r>
        <w:t>i</w:t>
      </w:r>
      <w:r w:rsidRPr="00E20A99">
        <w:t xml:space="preserve"> tak, ako </w:t>
      </w:r>
      <w:r>
        <w:t xml:space="preserve">sú uvedené </w:t>
      </w:r>
      <w:r w:rsidRPr="00E20A99">
        <w:t>v prílohe tohto uznesenia</w:t>
      </w:r>
      <w:r>
        <w:t>;</w:t>
      </w:r>
    </w:p>
    <w:p w:rsidR="00E13467" w:rsidP="000139BA">
      <w:pPr>
        <w:ind w:left="1416"/>
        <w:jc w:val="both"/>
        <w:rPr>
          <w:b/>
        </w:rPr>
      </w:pPr>
    </w:p>
    <w:p w:rsidR="00AC2960" w:rsidP="000139BA">
      <w:pPr>
        <w:ind w:left="1416"/>
        <w:jc w:val="both"/>
        <w:rPr>
          <w:b/>
        </w:rPr>
      </w:pPr>
    </w:p>
    <w:p w:rsidR="00770F1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>podať predsed</w:t>
      </w:r>
      <w:r w:rsidR="00DE66B6">
        <w:rPr>
          <w:lang w:val="sk-SK"/>
        </w:rPr>
        <w:t>níčke</w:t>
      </w:r>
      <w:r>
        <w:rPr>
          <w:lang w:val="sk-SK"/>
        </w:rPr>
        <w:t xml:space="preserve"> </w:t>
      </w:r>
      <w:r w:rsidR="000D040E">
        <w:rPr>
          <w:lang w:val="sk-SK"/>
        </w:rPr>
        <w:t>V</w:t>
      </w:r>
      <w:r>
        <w:rPr>
          <w:lang w:val="sk-SK"/>
        </w:rPr>
        <w:t>ýboru Národnej rady Slovenskej republiky</w:t>
      </w:r>
      <w:r w:rsidR="000D040E">
        <w:rPr>
          <w:lang w:val="sk-SK"/>
        </w:rPr>
        <w:t xml:space="preserve"> pre </w:t>
      </w:r>
      <w:r w:rsidR="00CA5704">
        <w:rPr>
          <w:lang w:val="sk-SK"/>
        </w:rPr>
        <w:t>hospodárske záležitosti</w:t>
      </w:r>
      <w:r>
        <w:rPr>
          <w:lang w:val="sk-SK"/>
        </w:rPr>
        <w:t xml:space="preserve">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</w:t>
      </w:r>
      <w:r>
        <w:rPr>
          <w:lang w:val="sk-SK"/>
        </w:rPr>
        <w:t>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CA5704" w:rsidP="00CA5704">
      <w:pPr>
        <w:pStyle w:val="Heading4"/>
        <w:widowControl w:val="0"/>
        <w:rPr>
          <w:rFonts w:ascii="AT*Zurich Calligraphic" w:hAnsi="AT*Zurich Calligraphic"/>
        </w:rPr>
      </w:pPr>
    </w:p>
    <w:p w:rsidR="00770F10" w:rsidRPr="00770F10" w:rsidP="00770F10"/>
    <w:p w:rsidR="00CA5704" w:rsidP="00CA5704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CA5704" w:rsidP="00CA5704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 a rozpočet </w:t>
      </w:r>
    </w:p>
    <w:p w:rsidR="00CA5704" w:rsidP="00CA5704">
      <w:pPr>
        <w:jc w:val="right"/>
        <w:rPr>
          <w:sz w:val="28"/>
        </w:rPr>
      </w:pPr>
    </w:p>
    <w:p w:rsidR="00CA5704" w:rsidP="00CA5704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CA5704" w:rsidP="00CA5704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6908AE">
        <w:rPr>
          <w:b/>
        </w:rPr>
        <w:t xml:space="preserve"> 248</w:t>
      </w:r>
    </w:p>
    <w:p w:rsidR="00CA5704" w:rsidRPr="003371B9" w:rsidP="00CA5704">
      <w:pPr>
        <w:jc w:val="right"/>
      </w:pPr>
      <w:r>
        <w:rPr>
          <w:bCs w:val="0"/>
        </w:rPr>
        <w:t>43</w:t>
      </w:r>
      <w:r w:rsidRPr="003371B9">
        <w:rPr>
          <w:bCs w:val="0"/>
        </w:rPr>
        <w:t xml:space="preserve">. </w:t>
      </w:r>
      <w:r w:rsidRPr="003371B9">
        <w:t>schôdza</w:t>
      </w:r>
    </w:p>
    <w:p w:rsidR="00CA5704" w:rsidP="00CA5704">
      <w:pPr>
        <w:jc w:val="center"/>
        <w:rPr>
          <w:b/>
          <w:bCs w:val="0"/>
        </w:rPr>
      </w:pPr>
    </w:p>
    <w:p w:rsidR="00CA5704" w:rsidP="00CA5704">
      <w:pPr>
        <w:jc w:val="center"/>
        <w:rPr>
          <w:b/>
          <w:bCs w:val="0"/>
        </w:rPr>
      </w:pPr>
    </w:p>
    <w:p w:rsidR="00CA5704" w:rsidRPr="00067F0B" w:rsidP="00CA5704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>
        <w:rPr>
          <w:b/>
          <w:bCs w:val="0"/>
        </w:rPr>
        <w:t>a doplňujúce návrhy</w:t>
      </w:r>
    </w:p>
    <w:p w:rsidR="00CA5704" w:rsidRPr="00CA5704" w:rsidP="00770F10">
      <w:pPr>
        <w:pStyle w:val="Heading1"/>
        <w:ind w:left="360"/>
        <w:jc w:val="center"/>
      </w:pPr>
      <w:r>
        <w:t>k </w:t>
      </w:r>
      <w:r w:rsidR="00770F10">
        <w:t>v</w:t>
      </w:r>
      <w:r w:rsidRPr="00770F10" w:rsidR="00770F10">
        <w:t>ládn</w:t>
      </w:r>
      <w:r w:rsidR="00770F10">
        <w:t>emu</w:t>
      </w:r>
      <w:r w:rsidRPr="00770F10" w:rsidR="00770F10">
        <w:t xml:space="preserve"> návrh</w:t>
      </w:r>
      <w:r w:rsidR="00770F10">
        <w:t>u</w:t>
      </w:r>
      <w:r w:rsidRPr="00770F10" w:rsidR="00770F10">
        <w:t xml:space="preserve"> zákona o regionálnej investičnej pomoci a o zmene a doplnení niektorých zákonov (tlač 747)</w:t>
      </w:r>
    </w:p>
    <w:p w:rsidR="00CA5704" w:rsidP="00CA5704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––––––––––––––––––––––––––––––––––––––––––––––––––  </w:t>
      </w:r>
    </w:p>
    <w:p w:rsidR="00632B62" w:rsidP="006908AE"/>
    <w:p w:rsidR="006908AE" w:rsidRPr="006908AE" w:rsidP="006908AE">
      <w:pPr>
        <w:widowControl w:val="0"/>
        <w:numPr>
          <w:ilvl w:val="0"/>
          <w:numId w:val="47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/>
          <w:bCs w:val="0"/>
          <w:lang w:eastAsia="en-US"/>
        </w:rPr>
      </w:pPr>
      <w:bookmarkStart w:id="0" w:name="_Hlk501445864"/>
      <w:r w:rsidRPr="006908AE">
        <w:rPr>
          <w:rFonts w:eastAsia="Calibri"/>
          <w:b/>
          <w:bCs w:val="0"/>
          <w:lang w:eastAsia="en-US"/>
        </w:rPr>
        <w:t xml:space="preserve">K čl. I, § 1 </w:t>
      </w:r>
    </w:p>
    <w:p w:rsidR="006908AE" w:rsidRPr="006908AE" w:rsidP="006908AE">
      <w:pPr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V čl. I § 1 ods. 2 v poznámke pod čiarou k odkazu 2</w:t>
      </w:r>
      <w:bookmarkEnd w:id="0"/>
      <w:r w:rsidRPr="006908AE">
        <w:rPr>
          <w:rFonts w:eastAsia="Calibri"/>
          <w:bCs w:val="0"/>
          <w:lang w:eastAsia="en-US"/>
        </w:rPr>
        <w:t xml:space="preserve"> sa na konci prvej vety pripájajú tieto slová: „(Ú. v. EÚ C 202, 7. 6. 2016)“.</w:t>
      </w:r>
    </w:p>
    <w:p w:rsidR="006908AE" w:rsidRPr="006908AE" w:rsidP="006908AE">
      <w:pPr>
        <w:tabs>
          <w:tab w:val="left" w:pos="3686"/>
        </w:tabs>
        <w:ind w:left="3260"/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tabs>
          <w:tab w:val="left" w:pos="3686"/>
        </w:tabs>
        <w:ind w:left="3260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Ide o legislatívno-technickú úpravu, ktorou sa dopĺňa abs</w:t>
      </w:r>
      <w:r w:rsidRPr="006908AE">
        <w:rPr>
          <w:rFonts w:eastAsia="Calibri"/>
          <w:bCs w:val="0"/>
          <w:lang w:eastAsia="en-US"/>
        </w:rPr>
        <w:t>entujúca informácia o publikácii v úradnom vestníku</w:t>
      </w:r>
      <w:r w:rsidRPr="006908AE">
        <w:rPr>
          <w:rFonts w:eastAsia="Calibri"/>
          <w:bCs w:val="0"/>
          <w:i/>
          <w:iCs/>
          <w:lang w:eastAsia="en-US"/>
        </w:rPr>
        <w:t>.</w:t>
      </w:r>
    </w:p>
    <w:p w:rsidR="006908AE" w:rsidRPr="006908AE" w:rsidP="006908AE">
      <w:pPr>
        <w:tabs>
          <w:tab w:val="left" w:pos="3686"/>
        </w:tabs>
        <w:ind w:left="3260"/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I, § 4, 5, 6, 14 a § 29 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4 ods. 1 písm. a) sa na konci pripájajú slová „(ďalej len „žiadosť“)“, v § 5 písm. k),   § 6 ods. 4 a 11 a v § 29 ods. 1 písm. g) 5. bod sa vypúšťajú slová „o investičnú pomoc“ a v        § 14 ods. 1 sa vypúšťajú slová „o investičnú pomoc (ďalej len „žiadosť“)“.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260"/>
        <w:jc w:val="both"/>
        <w:rPr>
          <w:bCs w:val="0"/>
        </w:rPr>
      </w:pP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260"/>
        <w:jc w:val="both"/>
        <w:rPr>
          <w:bCs w:val="0"/>
        </w:rPr>
      </w:pPr>
      <w:r w:rsidRPr="006908AE">
        <w:rPr>
          <w:bCs w:val="0"/>
        </w:rPr>
        <w:t xml:space="preserve">Pozmeňujúci návrh zabezpečuje, aby legislatívna skratka bola zavedená na mieste v texte, kde sa predmetný pojem použije prvýkrát (8. bod Legislatívno-technických pokynov – príloha č. 2 Legislatívnych pravidiel tvorby zákonov č. 19/1997 Z. z.) a aby bola dôsledne dodržiavaná v celom návrhu zákona. 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 § 4 </w:t>
      </w:r>
    </w:p>
    <w:p w:rsidR="006908AE" w:rsidRPr="006908AE" w:rsidP="006908AE">
      <w:pPr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V čl. I § 4 ods. 2 v poznámke pod čiarou k odkazu 10 sa slovo „Príloha“ nahrádza slovami „Čl. 2</w:t>
      </w:r>
      <w:r w:rsidRPr="006908AE">
        <w:rPr>
          <w:rFonts w:eastAsia="Calibri"/>
          <w:bCs w:val="0"/>
          <w:lang w:eastAsia="en-US"/>
        </w:rPr>
        <w:t xml:space="preserve"> prílohy“.</w:t>
      </w: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Ide o legislatívno-technickú úpravu, ktorou sa spresňuje ustanovenie, na ktoré sa odkazuje v poznámke pod čiarou.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26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I, § 5 </w:t>
      </w:r>
    </w:p>
    <w:p w:rsidR="006908AE" w:rsidRPr="006908AE" w:rsidP="006908AE">
      <w:pPr>
        <w:ind w:left="284" w:hanging="284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V čl. I, § 5 písm. h) sa vypúšťa slovo „právneho“.</w:t>
      </w: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 xml:space="preserve">Pozmeňujúci návrh vypúšťa nadbytočné slovo, nakoľko práva a povinnosti môže zakladať výlučne „právny“ záväzok. </w:t>
      </w:r>
    </w:p>
    <w:p w:rsidR="006908AE" w:rsidRPr="006908AE" w:rsidP="006908AE">
      <w:pPr>
        <w:ind w:left="3260"/>
        <w:contextualSpacing/>
        <w:jc w:val="both"/>
        <w:rPr>
          <w:rFonts w:eastAsia="Calibri"/>
          <w:b/>
          <w:bCs w:val="0"/>
          <w:lang w:eastAsia="en-US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I, § 5 a § 6 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5 písm. j) a § 6 ods. 1 písm. b) sa slová „s investičným zámerom“ nahrádzajú slovami „s realizáciou investičného zámeru“.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  <w:r w:rsidRPr="006908AE">
        <w:rPr>
          <w:bCs w:val="0"/>
        </w:rPr>
        <w:t>Pozmeňujúci návrh</w:t>
      </w:r>
      <w:r w:rsidRPr="006908AE">
        <w:rPr>
          <w:bCs w:val="0"/>
        </w:rPr>
        <w:t xml:space="preserve"> pojmovo harmonizuje predmetné ustanovenie s čl. I, § 6 ods. 1 úvodnou vetou návrhu zákona.</w:t>
      </w:r>
    </w:p>
    <w:p w:rsid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0C4C56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0C4C56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I, § 6 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6 ods. 6 sa slová „určené na výrobu“ nahrádzajú slovami „určené na výrobné účely“.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zjednocuje citované ustanovenie so znením čl. I, § 7 ods. 1 písm. c) návrhu zákona.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I, § 7, 8, 9, 22  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7 ods. 1 a 2 úvodnej vete, § 8 úvodnej vete, § 9 úvodnej vete, § 22 ods. 12 sa za slovo „podporu“ vkladá slovo „realizácie“.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ind w:left="3260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zosúlaďuje citované ustanovenie so znením čl. I, § 2 ods. 1 úvodnej vety návrhu zákona.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13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14 ods. 1 sa slovo „realizáciu“ nahrádza slovami „podporu realizácie“.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 w:firstLine="3402"/>
        <w:jc w:val="both"/>
        <w:rPr>
          <w:bCs w:val="0"/>
        </w:rPr>
      </w:pPr>
    </w:p>
    <w:p w:rsidR="006908AE" w:rsidRPr="006908AE" w:rsidP="006908AE">
      <w:pPr>
        <w:ind w:left="3402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zosúlaďuje citované ustanovenie so znením čl. I, § 2 ods. 1 úvodnej vety návrhu zákona.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 w:firstLine="3402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15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 xml:space="preserve">V čl. I, § 15 ods. 5 sa slová „proces posudzovania žiadosti ukončí“ nahrádzajú slovami „žiadosť zamietne“. </w:t>
      </w:r>
    </w:p>
    <w:p w:rsidR="000C4C56" w:rsidP="006908AE">
      <w:pPr>
        <w:ind w:left="3402"/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ind w:left="3402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pojmovo harmonizuje ustanovenie so znením čl. I, § 16 ods. 5 úvodnej vety návrhu zákona.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22</w:t>
      </w:r>
    </w:p>
    <w:p w:rsid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 xml:space="preserve">V čl. I, § 22 ods. 3 sa na konci prvej vety pripájajú slová „v lehote, ktorá nesmie presiahnuť 12 mesiacov od nadobudnutia právoplatnosti rozhodnutia o poskytnutí investičnej pomoci“ a druhá veta sa vypúšťa. </w:t>
      </w:r>
    </w:p>
    <w:p w:rsidR="000C4C56" w:rsidRPr="006908AE" w:rsidP="006908AE">
      <w:pPr>
        <w:widowControl w:val="0"/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ind w:left="3402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konkretizuje znenie navrhovaného ustanovenia vypustením zmätočného vnútorného odkazu.</w:t>
      </w:r>
    </w:p>
    <w:p w:rsidR="006908AE" w:rsidRPr="006908AE" w:rsidP="006908AE">
      <w:pPr>
        <w:widowControl w:val="0"/>
        <w:suppressAutoHyphens/>
        <w:autoSpaceDE w:val="0"/>
        <w:autoSpaceDN w:val="0"/>
        <w:adjustRightInd w:val="0"/>
        <w:ind w:left="3402" w:firstLine="3402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22</w:t>
      </w:r>
    </w:p>
    <w:p w:rsid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22 ods. 12 sa vypúšťajú slová „o poskytnutie investičnej pomoci“ a v ods. 16 sa vypúšťajú slová „o investičnú pomoc“.</w:t>
      </w:r>
    </w:p>
    <w:p w:rsidR="000C4C56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  <w:r w:rsidRPr="006908AE">
        <w:rPr>
          <w:bCs w:val="0"/>
        </w:rPr>
        <w:t xml:space="preserve">Pozmeňujúci návrh zabezpečuje dôsledné použitie legislatívne skratky zavedenej v čl. I, § 14 ods. 1 návrhu zákona. 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24</w:t>
      </w:r>
    </w:p>
    <w:p w:rsidR="006908AE" w:rsidRPr="006908AE" w:rsidP="006908AE">
      <w:pPr>
        <w:jc w:val="both"/>
        <w:rPr>
          <w:bCs w:val="0"/>
          <w:lang w:eastAsia="en-US"/>
        </w:rPr>
      </w:pPr>
      <w:r w:rsidRPr="006908AE">
        <w:rPr>
          <w:bCs w:val="0"/>
          <w:lang w:eastAsia="en-US"/>
        </w:rPr>
        <w:t>V čl. I, § 24 ods. 1 písm. a) sa slová „mu povinnosť zapisovať sa do registra partnerov verejného sektora vyplýva z osobitného predpisu,“ nahrádzajú slovami „je osobou, ktorá má povinnosť zapisovať sa do registra,</w:t>
      </w:r>
      <w:r w:rsidRPr="006908AE">
        <w:rPr>
          <w:bCs w:val="0"/>
          <w:vertAlign w:val="superscript"/>
          <w:lang w:eastAsia="en-US"/>
        </w:rPr>
        <w:t>18</w:t>
      </w:r>
      <w:r w:rsidRPr="006908AE">
        <w:rPr>
          <w:bCs w:val="0"/>
          <w:lang w:eastAsia="en-US"/>
        </w:rPr>
        <w:t xml:space="preserve">)“. </w:t>
      </w:r>
    </w:p>
    <w:p w:rsidR="006908AE" w:rsidRPr="006908AE" w:rsidP="006908AE">
      <w:pPr>
        <w:ind w:left="3402"/>
        <w:jc w:val="both"/>
        <w:rPr>
          <w:bCs w:val="0"/>
          <w:lang w:eastAsia="en-US"/>
        </w:rPr>
      </w:pPr>
    </w:p>
    <w:p w:rsidR="006908AE" w:rsidRPr="006908AE" w:rsidP="006908AE">
      <w:pPr>
        <w:ind w:left="3402"/>
        <w:jc w:val="both"/>
        <w:rPr>
          <w:bCs w:val="0"/>
          <w:lang w:eastAsia="en-US"/>
        </w:rPr>
      </w:pPr>
      <w:r w:rsidRPr="006908AE">
        <w:rPr>
          <w:bCs w:val="0"/>
          <w:lang w:eastAsia="en-US"/>
        </w:rPr>
        <w:t>Pozmeňujúci návrh zosúlaďuje znenie predmetného ustanovenia s čl. I, § 4 ods. 3 písm. j).</w:t>
      </w:r>
    </w:p>
    <w:p w:rsidR="000C4C56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25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 xml:space="preserve">V čl. I, nadpis § 25 znie „Zrušenie rozhodnutia o poskytnutí investičnej pomoci“. 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tabs>
          <w:tab w:val="left" w:pos="426"/>
        </w:tabs>
        <w:ind w:left="3402"/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Pozmeňujúci návrh precizuje nadpis ustanovenia vzhľadom na skutočnosť, že návrh zákona legislatívnu skratku „rozhodnutie“ nezaviedol.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>K čl. I, § 25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I, § 25 ods. 1 písm. i) sa vypúšťajú slová „určený zákonom“.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  <w:r w:rsidRPr="006908AE">
        <w:rPr>
          <w:bCs w:val="0"/>
        </w:rPr>
        <w:t xml:space="preserve">Pozmeňujúci návrh navzájom pojmovo zosúlaďuje navrhované ustanovenia rešpektujúc dikciu čl. I, § 29 ods. 1 písm. e) návrhu zákona.  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II, 2. bodu </w:t>
      </w:r>
    </w:p>
    <w:p w:rsidR="006908AE" w:rsidRPr="006908AE" w:rsidP="006908AE">
      <w:pPr>
        <w:tabs>
          <w:tab w:val="left" w:pos="426"/>
        </w:tabs>
        <w:contextualSpacing/>
        <w:jc w:val="both"/>
        <w:rPr>
          <w:rFonts w:eastAsia="Calibri"/>
          <w:bCs w:val="0"/>
          <w:lang w:eastAsia="en-US"/>
        </w:rPr>
      </w:pPr>
      <w:r w:rsidRPr="006908AE">
        <w:rPr>
          <w:rFonts w:eastAsia="Calibri"/>
          <w:bCs w:val="0"/>
          <w:lang w:eastAsia="en-US"/>
        </w:rPr>
        <w:t>V čl. II, 2. bode sa slová „ods. 4 a 5“ nahrádzajú slovami „ods. 4, 5, 8 a ods. 9 písm. a) a b)“.</w:t>
      </w:r>
    </w:p>
    <w:p w:rsidR="006908AE" w:rsidRPr="006908AE" w:rsidP="006908AE">
      <w:pPr>
        <w:tabs>
          <w:tab w:val="left" w:pos="426"/>
        </w:tabs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  <w:r w:rsidRPr="006908AE">
        <w:rPr>
          <w:bCs w:val="0"/>
        </w:rPr>
        <w:t xml:space="preserve">Pozmeňujúci návrh spresňuje znenie novelizačného ustanovenia v zmysle platného znenia zákona č. 595/2003 Z. z. o dani z príjmov v znení neskorších predpisov. </w:t>
      </w:r>
    </w:p>
    <w:p w:rsidR="006908AE" w:rsidRPr="006908AE" w:rsidP="006908AE">
      <w:pPr>
        <w:tabs>
          <w:tab w:val="left" w:pos="426"/>
        </w:tabs>
        <w:contextualSpacing/>
        <w:jc w:val="both"/>
        <w:rPr>
          <w:rFonts w:eastAsia="Calibri"/>
          <w:bCs w:val="0"/>
          <w:lang w:eastAsia="en-US"/>
        </w:rPr>
      </w:pPr>
    </w:p>
    <w:p w:rsidR="006908AE" w:rsidRPr="006908AE" w:rsidP="006908AE">
      <w:pPr>
        <w:widowControl w:val="0"/>
        <w:numPr>
          <w:ilvl w:val="0"/>
          <w:numId w:val="47"/>
        </w:numPr>
        <w:tabs>
          <w:tab w:val="left" w:pos="426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b/>
          <w:bCs w:val="0"/>
          <w:lang w:eastAsia="en-US"/>
        </w:rPr>
      </w:pPr>
      <w:r w:rsidRPr="006908AE">
        <w:rPr>
          <w:rFonts w:eastAsia="Calibri"/>
          <w:b/>
          <w:bCs w:val="0"/>
          <w:lang w:eastAsia="en-US"/>
        </w:rPr>
        <w:t xml:space="preserve">K čl. II, 4. bodu 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rPr>
          <w:bCs w:val="0"/>
        </w:rPr>
      </w:pPr>
      <w:r w:rsidRPr="006908AE">
        <w:rPr>
          <w:bCs w:val="0"/>
        </w:rPr>
        <w:t>V čl. II, 4. bode sa v úvodnej vete označenie „§ 52zk“ nahrádza označením „§ 52zo“ a v úvodnej vete a nadpise sa označenie „§ 52zl“ nahrádza označením „§ 52zp“.</w:t>
      </w: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 w:firstLine="3402"/>
        <w:jc w:val="both"/>
        <w:rPr>
          <w:bCs w:val="0"/>
        </w:rPr>
      </w:pPr>
    </w:p>
    <w:p w:rsidR="006908AE" w:rsidRPr="006908AE" w:rsidP="006908AE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3402"/>
        <w:jc w:val="both"/>
        <w:rPr>
          <w:bCs w:val="0"/>
        </w:rPr>
      </w:pPr>
      <w:r w:rsidRPr="006908AE">
        <w:rPr>
          <w:bCs w:val="0"/>
        </w:rPr>
        <w:t xml:space="preserve">Pozmeňujúci návrh modifikuje označenie vkladaného ustanovenia v zmysle platného znenia zákona č. 595/2003 Z. z. o dani z príjmov v znení neskorších predpisov. </w:t>
      </w:r>
    </w:p>
    <w:p w:rsidR="006908AE" w:rsidP="006908AE"/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4C56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72C0F28"/>
    <w:multiLevelType w:val="hybridMultilevel"/>
    <w:tmpl w:val="562EA3C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20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E0FB2"/>
    <w:multiLevelType w:val="hybridMultilevel"/>
    <w:tmpl w:val="072439D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766" w:hanging="360"/>
      </w:pPr>
    </w:lvl>
    <w:lvl w:ilvl="2" w:tentative="1">
      <w:start w:val="1"/>
      <w:numFmt w:val="lowerRoman"/>
      <w:lvlText w:val="%3."/>
      <w:lvlJc w:val="right"/>
      <w:pPr>
        <w:ind w:left="5486" w:hanging="180"/>
      </w:pPr>
    </w:lvl>
    <w:lvl w:ilvl="3" w:tentative="1">
      <w:start w:val="1"/>
      <w:numFmt w:val="decimal"/>
      <w:lvlText w:val="%4."/>
      <w:lvlJc w:val="left"/>
      <w:pPr>
        <w:ind w:left="6206" w:hanging="360"/>
      </w:pPr>
    </w:lvl>
    <w:lvl w:ilvl="4" w:tentative="1">
      <w:start w:val="1"/>
      <w:numFmt w:val="lowerLetter"/>
      <w:lvlText w:val="%5."/>
      <w:lvlJc w:val="left"/>
      <w:pPr>
        <w:ind w:left="6926" w:hanging="360"/>
      </w:pPr>
    </w:lvl>
    <w:lvl w:ilvl="5" w:tentative="1">
      <w:start w:val="1"/>
      <w:numFmt w:val="lowerRoman"/>
      <w:lvlText w:val="%6."/>
      <w:lvlJc w:val="right"/>
      <w:pPr>
        <w:ind w:left="7646" w:hanging="180"/>
      </w:pPr>
    </w:lvl>
    <w:lvl w:ilvl="6" w:tentative="1">
      <w:start w:val="1"/>
      <w:numFmt w:val="decimal"/>
      <w:lvlText w:val="%7."/>
      <w:lvlJc w:val="left"/>
      <w:pPr>
        <w:ind w:left="8366" w:hanging="360"/>
      </w:pPr>
    </w:lvl>
    <w:lvl w:ilvl="7" w:tentative="1">
      <w:start w:val="1"/>
      <w:numFmt w:val="lowerLetter"/>
      <w:lvlText w:val="%8."/>
      <w:lvlJc w:val="left"/>
      <w:pPr>
        <w:ind w:left="9086" w:hanging="360"/>
      </w:pPr>
    </w:lvl>
    <w:lvl w:ilvl="8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20"/>
  </w:num>
  <w:num w:numId="8">
    <w:abstractNumId w:val="39"/>
  </w:num>
  <w:num w:numId="9">
    <w:abstractNumId w:val="40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2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27"/>
  </w:num>
  <w:num w:numId="25">
    <w:abstractNumId w:val="43"/>
  </w:num>
  <w:num w:numId="26">
    <w:abstractNumId w:val="26"/>
  </w:num>
  <w:num w:numId="27">
    <w:abstractNumId w:val="23"/>
  </w:num>
  <w:num w:numId="28">
    <w:abstractNumId w:val="11"/>
  </w:num>
  <w:num w:numId="29">
    <w:abstractNumId w:val="4"/>
  </w:num>
  <w:num w:numId="30">
    <w:abstractNumId w:val="38"/>
  </w:num>
  <w:num w:numId="31">
    <w:abstractNumId w:val="18"/>
  </w:num>
  <w:num w:numId="32">
    <w:abstractNumId w:val="25"/>
  </w:num>
  <w:num w:numId="33">
    <w:abstractNumId w:val="19"/>
  </w:num>
  <w:num w:numId="34">
    <w:abstractNumId w:val="16"/>
  </w:num>
  <w:num w:numId="35">
    <w:abstractNumId w:val="21"/>
  </w:num>
  <w:num w:numId="36">
    <w:abstractNumId w:val="7"/>
  </w:num>
  <w:num w:numId="37">
    <w:abstractNumId w:val="22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5"/>
  </w:num>
  <w:num w:numId="45">
    <w:abstractNumId w:val="13"/>
  </w:num>
  <w:num w:numId="46">
    <w:abstractNumId w:val="15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236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44A0"/>
    <w:rsid w:val="000A7E84"/>
    <w:rsid w:val="000B19F4"/>
    <w:rsid w:val="000B4AAD"/>
    <w:rsid w:val="000C4C56"/>
    <w:rsid w:val="000D0046"/>
    <w:rsid w:val="000D040E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8C3"/>
    <w:rsid w:val="001F1FB7"/>
    <w:rsid w:val="002012D0"/>
    <w:rsid w:val="00205C7B"/>
    <w:rsid w:val="0020683C"/>
    <w:rsid w:val="00210542"/>
    <w:rsid w:val="00213659"/>
    <w:rsid w:val="00214BD9"/>
    <w:rsid w:val="00226C9F"/>
    <w:rsid w:val="00232F32"/>
    <w:rsid w:val="00233821"/>
    <w:rsid w:val="002461A5"/>
    <w:rsid w:val="00254F23"/>
    <w:rsid w:val="00255E78"/>
    <w:rsid w:val="002629D4"/>
    <w:rsid w:val="002651B9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362C"/>
    <w:rsid w:val="005375F3"/>
    <w:rsid w:val="00552BE1"/>
    <w:rsid w:val="005665AE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83A87"/>
    <w:rsid w:val="006908AE"/>
    <w:rsid w:val="006975DE"/>
    <w:rsid w:val="00697EFC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0F10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30899"/>
    <w:rsid w:val="00841E0B"/>
    <w:rsid w:val="00841EA3"/>
    <w:rsid w:val="00843911"/>
    <w:rsid w:val="008458BA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328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3663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704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870A4"/>
    <w:rsid w:val="00D93A8F"/>
    <w:rsid w:val="00D96ABB"/>
    <w:rsid w:val="00DA4A4E"/>
    <w:rsid w:val="00DB14FA"/>
    <w:rsid w:val="00DB15FF"/>
    <w:rsid w:val="00DC342A"/>
    <w:rsid w:val="00DD0454"/>
    <w:rsid w:val="00DD2F44"/>
    <w:rsid w:val="00DD72DC"/>
    <w:rsid w:val="00DE311B"/>
    <w:rsid w:val="00DE66B6"/>
    <w:rsid w:val="00DF00E6"/>
    <w:rsid w:val="00E028CB"/>
    <w:rsid w:val="00E077EC"/>
    <w:rsid w:val="00E13467"/>
    <w:rsid w:val="00E165F4"/>
    <w:rsid w:val="00E20A99"/>
    <w:rsid w:val="00E24E2F"/>
    <w:rsid w:val="00E2614C"/>
    <w:rsid w:val="00E27648"/>
    <w:rsid w:val="00E27E58"/>
    <w:rsid w:val="00E3668B"/>
    <w:rsid w:val="00E36F3D"/>
    <w:rsid w:val="00E4207A"/>
    <w:rsid w:val="00E54D4F"/>
    <w:rsid w:val="00E564B4"/>
    <w:rsid w:val="00E56CEF"/>
    <w:rsid w:val="00E57107"/>
    <w:rsid w:val="00E61311"/>
    <w:rsid w:val="00E70960"/>
    <w:rsid w:val="00E8666A"/>
    <w:rsid w:val="00E906AB"/>
    <w:rsid w:val="00E92427"/>
    <w:rsid w:val="00E95866"/>
    <w:rsid w:val="00E95A8C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Nadpis4Char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character" w:customStyle="1" w:styleId="Nadpis1Char">
    <w:name w:val="Nadpis 1 Char"/>
    <w:link w:val="Heading1"/>
    <w:rsid w:val="00CA5704"/>
    <w:rPr>
      <w:rFonts w:eastAsia="Arial Unicode MS"/>
      <w:b/>
      <w:bCs/>
      <w:sz w:val="24"/>
      <w:szCs w:val="24"/>
    </w:rPr>
  </w:style>
  <w:style w:type="character" w:customStyle="1" w:styleId="Nadpis4Char">
    <w:name w:val="Nadpis 4 Char"/>
    <w:link w:val="Heading4"/>
    <w:rsid w:val="00CA5704"/>
    <w:rPr>
      <w:rFonts w:eastAsia="Arial Unicode M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08AD2-788C-4789-A6F4-0B339D8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46</cp:revision>
  <cp:lastPrinted>2017-09-27T09:28:00Z</cp:lastPrinted>
  <dcterms:created xsi:type="dcterms:W3CDTF">2013-06-14T07:14:00Z</dcterms:created>
  <dcterms:modified xsi:type="dcterms:W3CDTF">2018-01-29T11:32:00Z</dcterms:modified>
</cp:coreProperties>
</file>