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4F55" w:rsidRPr="00771ADF" w:rsidP="00C64F55">
      <w:pPr>
        <w:pStyle w:val="Telotextu"/>
        <w:widowControl/>
        <w:bidi w:val="0"/>
        <w:spacing w:line="240" w:lineRule="auto"/>
        <w:jc w:val="center"/>
        <w:rPr>
          <w:rFonts w:hint="default"/>
          <w:b/>
          <w:bCs/>
          <w:color w:val="404040" w:themeColor="tx1" w:themeShade="FF" w:themeTint="BF"/>
          <w:sz w:val="32"/>
          <w:szCs w:val="32"/>
          <w:lang w:val="sk-SK"/>
        </w:rPr>
      </w:pPr>
      <w:r w:rsidRPr="00771ADF">
        <w:rPr>
          <w:rFonts w:hint="default"/>
          <w:b/>
          <w:bCs/>
          <w:color w:val="404040" w:themeColor="tx1" w:themeShade="FF" w:themeTint="BF"/>
          <w:sz w:val="32"/>
          <w:szCs w:val="32"/>
          <w:lang w:val="sk-SK"/>
        </w:rPr>
        <w:t>NÁ</w:t>
      </w:r>
      <w:r w:rsidRPr="00771ADF">
        <w:rPr>
          <w:rFonts w:hint="default"/>
          <w:b/>
          <w:bCs/>
          <w:color w:val="404040" w:themeColor="tx1" w:themeShade="FF" w:themeTint="BF"/>
          <w:sz w:val="32"/>
          <w:szCs w:val="32"/>
          <w:lang w:val="sk-SK"/>
        </w:rPr>
        <w:t>RODNÁ</w:t>
      </w:r>
      <w:r w:rsidRPr="00771ADF">
        <w:rPr>
          <w:rFonts w:hint="default"/>
          <w:b/>
          <w:bCs/>
          <w:color w:val="404040" w:themeColor="tx1" w:themeShade="FF" w:themeTint="BF"/>
          <w:sz w:val="32"/>
          <w:szCs w:val="32"/>
          <w:lang w:val="sk-SK"/>
        </w:rPr>
        <w:t xml:space="preserve"> RADA SLOVENSKEJ REPUBLIKY</w:t>
      </w:r>
    </w:p>
    <w:p w:rsidR="00C64F55" w:rsidRPr="00771ADF" w:rsidP="00C64F55">
      <w:pPr>
        <w:pStyle w:val="Telotextu"/>
        <w:widowControl/>
        <w:pBdr>
          <w:bottom w:val="single" w:sz="4" w:space="0" w:color="000001"/>
        </w:pBdr>
        <w:bidi w:val="0"/>
        <w:spacing w:line="240" w:lineRule="auto"/>
        <w:jc w:val="center"/>
        <w:rPr>
          <w:rFonts w:hint="default"/>
          <w:b/>
          <w:bCs/>
          <w:color w:val="404040" w:themeColor="tx1" w:themeShade="FF" w:themeTint="BF"/>
          <w:lang w:val="sk-SK"/>
        </w:rPr>
      </w:pPr>
      <w:r w:rsidRPr="00771ADF">
        <w:rPr>
          <w:rFonts w:hint="default"/>
          <w:b/>
          <w:bCs/>
          <w:color w:val="404040" w:themeColor="tx1" w:themeShade="FF" w:themeTint="BF"/>
          <w:lang w:val="sk-SK"/>
        </w:rPr>
        <w:t>VII. volebné</w:t>
      </w:r>
      <w:r w:rsidRPr="00771ADF">
        <w:rPr>
          <w:rFonts w:hint="default"/>
          <w:b/>
          <w:bCs/>
          <w:color w:val="404040" w:themeColor="tx1" w:themeShade="FF" w:themeTint="BF"/>
          <w:lang w:val="sk-SK"/>
        </w:rPr>
        <w:t xml:space="preserve"> obdobie</w:t>
      </w:r>
    </w:p>
    <w:p w:rsidR="00C64F55" w:rsidRPr="00771ADF" w:rsidP="00C64F55">
      <w:pPr>
        <w:pStyle w:val="Telotextu"/>
        <w:widowControl/>
        <w:bidi w:val="0"/>
        <w:spacing w:line="240" w:lineRule="auto"/>
        <w:rPr>
          <w:color w:val="404040" w:themeColor="tx1" w:themeShade="FF" w:themeTint="BF"/>
          <w:lang w:val="sk-SK"/>
        </w:rPr>
      </w:pPr>
    </w:p>
    <w:p w:rsidR="00C64F55" w:rsidRPr="00771ADF" w:rsidP="00C64F55">
      <w:pPr>
        <w:pStyle w:val="Telotextu"/>
        <w:widowControl/>
        <w:bidi w:val="0"/>
        <w:spacing w:line="240" w:lineRule="auto"/>
        <w:jc w:val="center"/>
        <w:rPr>
          <w:rFonts w:cs="Times New Roman"/>
          <w:color w:val="404040" w:themeColor="tx1" w:themeShade="FF" w:themeTint="BF"/>
          <w:lang w:val="sk-SK"/>
        </w:rPr>
      </w:pPr>
    </w:p>
    <w:p w:rsidR="00C64F55" w:rsidRPr="00771ADF" w:rsidP="00C64F55">
      <w:pPr>
        <w:pStyle w:val="Telotextu"/>
        <w:widowControl/>
        <w:bidi w:val="0"/>
        <w:spacing w:line="240" w:lineRule="auto"/>
        <w:jc w:val="center"/>
        <w:rPr>
          <w:rFonts w:cs="Times New Roman"/>
          <w:color w:val="404040" w:themeColor="tx1" w:themeShade="FF" w:themeTint="BF"/>
          <w:lang w:val="sk-SK"/>
        </w:rPr>
      </w:pPr>
    </w:p>
    <w:p w:rsidR="00C64F55" w:rsidRPr="00771ADF" w:rsidP="00C64F55">
      <w:pPr>
        <w:pStyle w:val="Telotextu"/>
        <w:widowControl/>
        <w:bidi w:val="0"/>
        <w:spacing w:line="240" w:lineRule="auto"/>
        <w:jc w:val="center"/>
        <w:rPr>
          <w:rFonts w:cs="Times New Roman" w:hint="default"/>
          <w:color w:val="404040" w:themeColor="tx1" w:themeShade="FF" w:themeTint="BF"/>
          <w:lang w:val="sk-SK"/>
        </w:rPr>
      </w:pPr>
      <w:r w:rsidRPr="00771ADF">
        <w:rPr>
          <w:rFonts w:cs="Times New Roman" w:hint="default"/>
          <w:color w:val="404040" w:themeColor="tx1" w:themeShade="FF" w:themeTint="BF"/>
          <w:lang w:val="sk-SK"/>
        </w:rPr>
        <w:t>Ná</w:t>
      </w:r>
      <w:r w:rsidRPr="00771ADF">
        <w:rPr>
          <w:rFonts w:cs="Times New Roman" w:hint="default"/>
          <w:color w:val="404040" w:themeColor="tx1" w:themeShade="FF" w:themeTint="BF"/>
          <w:lang w:val="sk-SK"/>
        </w:rPr>
        <w:t>vrh</w:t>
      </w:r>
    </w:p>
    <w:p w:rsidR="00C64F55" w:rsidRPr="00771ADF" w:rsidP="00C64F55">
      <w:pPr>
        <w:pStyle w:val="Telotextu"/>
        <w:widowControl/>
        <w:bidi w:val="0"/>
        <w:spacing w:line="240" w:lineRule="auto"/>
        <w:jc w:val="center"/>
        <w:rPr>
          <w:rFonts w:cs="Times New Roman" w:hint="default"/>
          <w:color w:val="404040" w:themeColor="tx1" w:themeShade="FF" w:themeTint="BF"/>
          <w:lang w:val="sk-SK"/>
        </w:rPr>
      </w:pPr>
    </w:p>
    <w:p w:rsidR="00C64F55" w:rsidRPr="00771ADF" w:rsidP="00C64F55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404040" w:themeColor="tx1" w:themeShade="FF" w:themeTint="BF"/>
          <w:sz w:val="24"/>
          <w:szCs w:val="24"/>
        </w:rPr>
      </w:pPr>
    </w:p>
    <w:p w:rsidR="00C64F55" w:rsidRPr="00771ADF" w:rsidP="00C64F55">
      <w:pPr>
        <w:bidi w:val="0"/>
        <w:spacing w:after="0" w:line="240" w:lineRule="auto"/>
        <w:jc w:val="center"/>
        <w:outlineLvl w:val="1"/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ZÁ</w:t>
      </w:r>
      <w:r w:rsidRPr="00771ADF">
        <w:rPr>
          <w:rFonts w:ascii="Times New Roman" w:hAnsi="Times New Roman" w:hint="default"/>
          <w:b/>
          <w:bCs/>
          <w:color w:val="404040" w:themeColor="tx1" w:themeShade="FF" w:themeTint="BF"/>
          <w:sz w:val="24"/>
          <w:szCs w:val="24"/>
        </w:rPr>
        <w:t>KON</w:t>
      </w:r>
    </w:p>
    <w:p w:rsidR="00C64F55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C64F55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C64F55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>z ...............2018,</w:t>
      </w:r>
    </w:p>
    <w:p w:rsidR="00C64F55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C64F55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2D3318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ktorý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m sa mení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 a dopĺň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a zá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kon č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. </w:t>
      </w:r>
      <w:r w:rsidRPr="00771ADF" w:rsidR="006D0926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>25</w:t>
      </w:r>
      <w:r w:rsidRPr="00771ADF" w:rsidR="00A24F3F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>0</w:t>
      </w:r>
      <w:r w:rsidRPr="00771ADF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>/20</w:t>
      </w:r>
      <w:r w:rsidRPr="00771ADF" w:rsidR="006D0926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>12</w:t>
      </w:r>
      <w:r w:rsidRPr="00771ADF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 xml:space="preserve"> Z. z. </w:t>
      </w:r>
      <w:r w:rsidRPr="00771ADF" w:rsidR="00145D52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>o 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regulá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cii v 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sieť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ový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ch odvetviach v 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znení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 neskorší</w:t>
      </w:r>
      <w:r w:rsidRPr="00771ADF" w:rsidR="00145D52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ch predpisov</w:t>
      </w:r>
    </w:p>
    <w:p w:rsidR="00C64F55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</w:pPr>
    </w:p>
    <w:p w:rsidR="002D3318" w:rsidRPr="00771ADF" w:rsidP="00C64F55">
      <w:pPr>
        <w:bidi w:val="0"/>
        <w:spacing w:after="0" w:line="240" w:lineRule="auto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2D3318" w:rsidRPr="00771ADF" w:rsidP="00C64F55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Ná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rodná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rada Slovenskej republiky sa uznies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la na tomto zá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kone:</w:t>
      </w:r>
    </w:p>
    <w:p w:rsidR="002D3318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C64F55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</w:pPr>
    </w:p>
    <w:p w:rsidR="002D3318" w:rsidRPr="00771ADF" w:rsidP="00C64F55">
      <w:pPr>
        <w:bidi w:val="0"/>
        <w:spacing w:after="0" w:line="240" w:lineRule="auto"/>
        <w:jc w:val="center"/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Č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l. I</w:t>
      </w:r>
    </w:p>
    <w:p w:rsidR="002D3318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4E2542" w:rsidRPr="00771ADF" w:rsidP="00C64F55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Zá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kon 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. 250/2012 Z. z. o regulá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cii v sieť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ový</w:t>
      </w:r>
      <w:r w:rsidRPr="00771ADF" w:rsidR="00C04B9A">
        <w:rPr>
          <w:rFonts w:ascii="Times New Roman" w:hAnsi="Times New Roman"/>
          <w:color w:val="404040" w:themeColor="tx1" w:themeShade="FF" w:themeTint="BF"/>
          <w:sz w:val="24"/>
          <w:szCs w:val="24"/>
        </w:rPr>
        <w:t>ch odvetviach v </w:t>
      </w:r>
      <w:r w:rsidRPr="00771ADF" w:rsidR="00C04B9A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znení</w:t>
      </w:r>
      <w:r w:rsidRPr="00771ADF" w:rsidR="00C04B9A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zá</w:t>
      </w:r>
      <w:r w:rsidRPr="00771ADF" w:rsidR="00C04B9A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kona č. 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435/2013 Z. z., zá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kona 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. 321/2014 Z. z.</w:t>
      </w:r>
      <w:r w:rsidRPr="00771ADF" w:rsidR="00A75E68">
        <w:rPr>
          <w:rFonts w:ascii="Times New Roman" w:hAnsi="Times New Roman"/>
          <w:color w:val="404040" w:themeColor="tx1" w:themeShade="FF" w:themeTint="BF"/>
          <w:sz w:val="24"/>
          <w:szCs w:val="24"/>
        </w:rPr>
        <w:t>,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zá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kona 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. 391/2015 Z. z. </w:t>
      </w:r>
      <w:r w:rsidRPr="00771ADF" w:rsidR="00A75E68">
        <w:rPr>
          <w:rFonts w:ascii="Times New Roman" w:hAnsi="Times New Roman"/>
          <w:color w:val="404040" w:themeColor="tx1" w:themeShade="FF" w:themeTint="BF"/>
          <w:sz w:val="24"/>
          <w:szCs w:val="24"/>
        </w:rPr>
        <w:t>a </w:t>
      </w:r>
      <w:r w:rsidRPr="00771ADF" w:rsidR="00A75E68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zá</w:t>
      </w:r>
      <w:r w:rsidRPr="00771ADF" w:rsidR="00A75E68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kona č</w:t>
      </w:r>
      <w:r w:rsidRPr="00771ADF" w:rsidR="00A75E68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. 164/2017 Z. z. 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sa mení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a dopĺň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a takto:</w:t>
      </w:r>
    </w:p>
    <w:p w:rsidR="004E2542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211BE6" w:rsidRPr="00771ADF" w:rsidP="00C64F55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</w:pPr>
      <w:r w:rsidRPr="00771ADF" w:rsidR="00FD17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 §</w:t>
      </w:r>
      <w:r w:rsidRPr="00771ADF" w:rsidR="00FD17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</w:t>
      </w:r>
      <w:r w:rsidRPr="00771ADF" w:rsidR="00A24F3F">
        <w:rPr>
          <w:rFonts w:ascii="Times New Roman" w:hAnsi="Times New Roman"/>
          <w:color w:val="404040" w:themeColor="tx1" w:themeShade="FF" w:themeTint="BF"/>
          <w:sz w:val="24"/>
          <w:szCs w:val="24"/>
        </w:rPr>
        <w:t>4</w:t>
      </w:r>
      <w:r w:rsidRPr="00771ADF" w:rsidR="00FD17D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ods. 1</w:t>
      </w:r>
      <w:r w:rsidRPr="00771ADF" w:rsidR="00A24F3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1 sa na konci </w:t>
      </w:r>
      <w:r w:rsidRPr="00771ADF" w:rsidR="002E081B">
        <w:rPr>
          <w:rFonts w:ascii="Times New Roman" w:hAnsi="Times New Roman"/>
          <w:color w:val="404040" w:themeColor="tx1" w:themeShade="FF" w:themeTint="BF"/>
          <w:sz w:val="24"/>
          <w:szCs w:val="24"/>
        </w:rPr>
        <w:t>prip</w:t>
      </w:r>
      <w:r w:rsidRPr="00771ADF" w:rsidR="002E081B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á</w:t>
      </w:r>
      <w:r w:rsidRPr="00771ADF" w:rsidR="002E081B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ja tá</w:t>
      </w:r>
      <w:r w:rsidRPr="00771ADF" w:rsidR="002E081B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to</w:t>
      </w:r>
      <w:r w:rsidRPr="00771ADF" w:rsidR="00A24F3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vet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>a</w:t>
      </w:r>
      <w:r w:rsidRPr="00771ADF" w:rsidR="00A24F3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: „</w:t>
      </w:r>
      <w:r w:rsidRPr="00771ADF" w:rsidR="00A24F3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Cenové</w:t>
      </w:r>
      <w:r w:rsidRPr="00771ADF" w:rsidR="00A24F3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rozhodnutie zverejní</w:t>
      </w:r>
      <w:r w:rsidRPr="00771ADF" w:rsidR="00A24F3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ú</w:t>
      </w:r>
      <w:r w:rsidRPr="00771ADF" w:rsidR="00A24F3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rad na svojom webovom sí</w:t>
      </w:r>
      <w:r w:rsidRPr="00771ADF" w:rsidR="00A24F3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dle.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“</w:t>
      </w:r>
    </w:p>
    <w:p w:rsidR="00211BE6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211BE6" w:rsidRPr="00771ADF" w:rsidP="00C64F55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 §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14 sa za odsek 11 vklad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ajú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nov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é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odsek</w:t>
      </w:r>
      <w:r w:rsidRPr="00771ADF" w:rsidR="00B23429">
        <w:rPr>
          <w:rFonts w:ascii="Times New Roman" w:hAnsi="Times New Roman"/>
          <w:color w:val="404040" w:themeColor="tx1" w:themeShade="FF" w:themeTint="BF"/>
          <w:sz w:val="24"/>
          <w:szCs w:val="24"/>
        </w:rPr>
        <w:t>y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12</w:t>
      </w:r>
      <w:r w:rsidRPr="00771ADF" w:rsidR="00B23429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a 13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>, ktor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é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zne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jú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>:</w:t>
      </w:r>
    </w:p>
    <w:p w:rsidR="00B23429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„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(12) 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>Spolu s 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cenový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m rozhodnutí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m zverejní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ú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rad na svojom webovom sí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dle aj ná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vrh ceny a vš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etky jeho zmeny a doplnen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ia vykonané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v 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cenovom konaní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pre regulované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innosti podľ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a 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§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1 pí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b) až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e) a 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g) až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i), §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2 pí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a) až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d), §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3 pí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a) až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c) a §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4 pí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a) až</w:t>
      </w:r>
      <w:r w:rsidRPr="00771ADF" w:rsidR="00211BE6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e). 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Ak ú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rad urč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il cenu podľ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a odseku 9 na zá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klade podkladov, ktoré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mal k 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dispozí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cii, zverejn</w:t>
      </w:r>
      <w:r w:rsidRPr="00771ADF" w:rsidR="00A06E87">
        <w:rPr>
          <w:rFonts w:ascii="Times New Roman" w:hAnsi="Times New Roman"/>
          <w:color w:val="404040" w:themeColor="tx1" w:themeShade="FF" w:themeTint="BF"/>
          <w:sz w:val="24"/>
          <w:szCs w:val="24"/>
        </w:rPr>
        <w:t>ia sa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</w:t>
      </w:r>
      <w:r w:rsidRPr="00771ADF" w:rsidR="00A06E87">
        <w:rPr>
          <w:rFonts w:ascii="Times New Roman" w:hAnsi="Times New Roman"/>
          <w:color w:val="404040" w:themeColor="tx1" w:themeShade="FF" w:themeTint="BF"/>
          <w:sz w:val="24"/>
          <w:szCs w:val="24"/>
        </w:rPr>
        <w:t>aj</w:t>
      </w:r>
      <w:r w:rsidRPr="00771ADF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tieto podklady.</w:t>
      </w:r>
    </w:p>
    <w:p w:rsidR="00B23429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B23429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(13) Poruš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ení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m alebo ohrození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m obchodné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ho tajomstva nie je zverejnenie informá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cie o ekonomicky oprá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vnený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ch ná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kladov, ekonomickej efektí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vnosti a 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primeran</w:t>
      </w:r>
      <w:r w:rsidRPr="00771ADF" w:rsidR="00A06E87">
        <w:rPr>
          <w:rFonts w:ascii="Times New Roman" w:hAnsi="Times New Roman"/>
          <w:color w:val="404040" w:themeColor="tx1" w:themeShade="FF" w:themeTint="BF"/>
          <w:sz w:val="24"/>
          <w:szCs w:val="24"/>
        </w:rPr>
        <w:t>om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zisku vrá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tane rozsahu investí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cií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započí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taný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ch do urč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enej alebo schvá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lenej ceny pre regulované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innosti podľ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a §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1 pí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b) až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e) a 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g) až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i), §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2 pí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a) až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d), §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3 pí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a) až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c) a §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11 ods. 4 pí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sm. a) až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e).“</w:t>
      </w:r>
      <w:r w:rsidRPr="00771ADF" w:rsidR="002E081B">
        <w:rPr>
          <w:rFonts w:ascii="Times New Roman" w:hAnsi="Times New Roman"/>
          <w:color w:val="404040" w:themeColor="tx1" w:themeShade="FF" w:themeTint="BF"/>
          <w:sz w:val="24"/>
          <w:szCs w:val="24"/>
        </w:rPr>
        <w:t>.</w:t>
      </w:r>
    </w:p>
    <w:p w:rsidR="00A24F3F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A06E87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</w:pP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Doterajš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ie odseky 12 až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17 sa označ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ujú</w:t>
      </w:r>
      <w:r w:rsidRPr="00771ADF" w:rsidR="00B23429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ako odseky 1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4 až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19.</w:t>
      </w:r>
    </w:p>
    <w:p w:rsidR="00A06E87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584EE8" w:rsidRPr="00771ADF" w:rsidP="00C64F55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 §</w:t>
      </w: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14 ods. 19 sa čí</w:t>
      </w: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slovka „</w:t>
      </w: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15“</w:t>
      </w: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nahrá</w:t>
      </w: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dza čí</w:t>
      </w: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slovkou „</w:t>
      </w:r>
      <w:r w:rsidRPr="00771ADF" w:rsidR="00A06E87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17“.</w:t>
      </w:r>
    </w:p>
    <w:p w:rsidR="00C64F55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C64F55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C64F55" w:rsidRPr="00771ADF" w:rsidP="00C64F55">
      <w:pPr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584EE8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584EE8" w:rsidRPr="00771ADF" w:rsidP="00C64F55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Za §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45b sa vkladá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nový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§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45c, ktorý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vrá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tane nadpisu znie:</w:t>
      </w:r>
    </w:p>
    <w:p w:rsidR="00584EE8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B23429" w:rsidRPr="00771ADF" w:rsidP="00C64F55">
      <w:pPr>
        <w:bidi w:val="0"/>
        <w:spacing w:after="0" w:line="240" w:lineRule="auto"/>
        <w:ind w:left="567"/>
        <w:jc w:val="center"/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</w:pPr>
      <w:r w:rsidRPr="00771ADF" w:rsidR="00584EE8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„</w:t>
      </w:r>
      <w:r w:rsidRPr="00771ADF" w:rsidR="002E081B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§</w:t>
      </w:r>
      <w:r w:rsidRPr="00771ADF" w:rsidR="002E081B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 </w:t>
      </w:r>
      <w:r w:rsidRPr="00771ADF" w:rsidR="00584EE8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>45c</w:t>
      </w:r>
    </w:p>
    <w:p w:rsidR="00584EE8" w:rsidRPr="00771ADF" w:rsidP="00C64F55">
      <w:pPr>
        <w:bidi w:val="0"/>
        <w:spacing w:after="0" w:line="240" w:lineRule="auto"/>
        <w:ind w:left="567"/>
        <w:jc w:val="center"/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Prechodné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 xml:space="preserve"> ustanovenie k 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ú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pravá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m úč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inný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m od 1. má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ja 2018</w:t>
      </w:r>
    </w:p>
    <w:p w:rsidR="00584EE8" w:rsidRPr="00771ADF" w:rsidP="00C64F55">
      <w:pPr>
        <w:bidi w:val="0"/>
        <w:spacing w:after="0" w:line="240" w:lineRule="auto"/>
        <w:ind w:left="567"/>
        <w:jc w:val="center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584EE8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Na cenové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konania 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zač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até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a 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prá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voplatne neskonč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ené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do 30. aprí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la 2018 sa použ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ije predpis úč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inný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od 1. má</w:t>
      </w:r>
      <w:r w:rsidRPr="00771ADF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ja 2018.“</w:t>
      </w:r>
      <w:r w:rsidRPr="00771ADF" w:rsidR="002E081B">
        <w:rPr>
          <w:rFonts w:ascii="Times New Roman" w:hAnsi="Times New Roman"/>
          <w:color w:val="404040" w:themeColor="tx1" w:themeShade="FF" w:themeTint="BF"/>
          <w:sz w:val="24"/>
          <w:szCs w:val="24"/>
        </w:rPr>
        <w:t>.</w:t>
      </w:r>
    </w:p>
    <w:p w:rsidR="00A24F3F" w:rsidRPr="00771ADF" w:rsidP="00C64F55">
      <w:pPr>
        <w:bidi w:val="0"/>
        <w:spacing w:after="0" w:line="240" w:lineRule="auto"/>
        <w:ind w:left="567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D41A53" w:rsidRPr="00771ADF" w:rsidP="00C64F55">
      <w:pPr>
        <w:bidi w:val="0"/>
        <w:spacing w:after="0" w:line="240" w:lineRule="auto"/>
        <w:jc w:val="center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27361C" w:rsidRPr="00771ADF" w:rsidP="00C64F55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</w:pP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Č</w:t>
      </w:r>
      <w:r w:rsidRPr="00771ADF">
        <w:rPr>
          <w:rFonts w:ascii="Times New Roman" w:hAnsi="Times New Roman" w:hint="default"/>
          <w:b/>
          <w:color w:val="404040" w:themeColor="tx1" w:themeShade="FF" w:themeTint="BF"/>
          <w:sz w:val="24"/>
          <w:szCs w:val="24"/>
        </w:rPr>
        <w:t>l. I</w:t>
      </w:r>
      <w:r w:rsidRPr="00771ADF" w:rsidR="008F6850">
        <w:rPr>
          <w:rFonts w:ascii="Times New Roman" w:hAnsi="Times New Roman"/>
          <w:b/>
          <w:color w:val="404040" w:themeColor="tx1" w:themeShade="FF" w:themeTint="BF"/>
          <w:sz w:val="24"/>
          <w:szCs w:val="24"/>
        </w:rPr>
        <w:t>I</w:t>
      </w:r>
    </w:p>
    <w:p w:rsidR="0027361C" w:rsidRPr="00771ADF" w:rsidP="00C64F55">
      <w:pPr>
        <w:keepNext/>
        <w:bidi w:val="0"/>
        <w:spacing w:after="0" w:line="240" w:lineRule="auto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</w:p>
    <w:p w:rsidR="006B4F47" w:rsidRPr="00771ADF" w:rsidP="00C64F55">
      <w:pPr>
        <w:keepNext/>
        <w:bidi w:val="0"/>
        <w:spacing w:after="0" w:line="240" w:lineRule="auto"/>
        <w:ind w:firstLine="708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771ADF" w:rsidR="005A398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Tento zá</w:t>
      </w:r>
      <w:r w:rsidRPr="00771ADF" w:rsidR="005A398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kon nadobú</w:t>
      </w:r>
      <w:r w:rsidRPr="00771ADF" w:rsidR="005A398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da úč</w:t>
      </w:r>
      <w:r w:rsidRPr="00771ADF" w:rsidR="005A398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innosť</w:t>
      </w:r>
      <w:r w:rsidRPr="00771ADF" w:rsidR="005A398E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 xml:space="preserve"> </w:t>
      </w:r>
      <w:r w:rsidRPr="00771ADF" w:rsidR="00450B5A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1. </w:t>
      </w:r>
      <w:r w:rsidRPr="00771ADF" w:rsidR="00213252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má</w:t>
      </w:r>
      <w:r w:rsidRPr="00771ADF" w:rsidR="00213252">
        <w:rPr>
          <w:rFonts w:ascii="Times New Roman" w:hAnsi="Times New Roman" w:hint="default"/>
          <w:color w:val="404040" w:themeColor="tx1" w:themeShade="FF" w:themeTint="BF"/>
          <w:sz w:val="24"/>
          <w:szCs w:val="24"/>
        </w:rPr>
        <w:t>ja</w:t>
      </w:r>
      <w:r w:rsidRPr="00771ADF" w:rsidR="00D66B08">
        <w:rPr>
          <w:rFonts w:ascii="Times New Roman" w:hAnsi="Times New Roman"/>
          <w:color w:val="404040" w:themeColor="tx1" w:themeShade="FF" w:themeTint="BF"/>
          <w:sz w:val="24"/>
          <w:szCs w:val="24"/>
        </w:rPr>
        <w:t xml:space="preserve"> 2018</w:t>
      </w:r>
      <w:r w:rsidRPr="00771ADF" w:rsidR="005A398E">
        <w:rPr>
          <w:rFonts w:ascii="Times New Roman" w:hAnsi="Times New Roman"/>
          <w:color w:val="404040" w:themeColor="tx1" w:themeShade="FF" w:themeTint="BF"/>
          <w:sz w:val="24"/>
          <w:szCs w:val="24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9" w:rsidRPr="00E03969" w:rsidP="00E03969">
    <w:pPr>
      <w:pStyle w:val="Footer"/>
      <w:bidi w:val="0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317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9D0C71"/>
    <w:multiLevelType w:val="hybridMultilevel"/>
    <w:tmpl w:val="DF3C8E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9E013C"/>
    <w:multiLevelType w:val="hybridMultilevel"/>
    <w:tmpl w:val="CF5EC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A738F6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93F39A9"/>
    <w:multiLevelType w:val="hybridMultilevel"/>
    <w:tmpl w:val="7CBCC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25B1"/>
    <w:rsid w:val="00013086"/>
    <w:rsid w:val="0001384A"/>
    <w:rsid w:val="00020265"/>
    <w:rsid w:val="000221CD"/>
    <w:rsid w:val="0004395B"/>
    <w:rsid w:val="00044FB3"/>
    <w:rsid w:val="00053BA8"/>
    <w:rsid w:val="00056CD6"/>
    <w:rsid w:val="0007035E"/>
    <w:rsid w:val="00075772"/>
    <w:rsid w:val="00080557"/>
    <w:rsid w:val="000B0C05"/>
    <w:rsid w:val="000B629A"/>
    <w:rsid w:val="000E7035"/>
    <w:rsid w:val="000E743E"/>
    <w:rsid w:val="000F61BC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11BE6"/>
    <w:rsid w:val="00213252"/>
    <w:rsid w:val="0022029C"/>
    <w:rsid w:val="0022097D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E081B"/>
    <w:rsid w:val="002E569A"/>
    <w:rsid w:val="002F28DC"/>
    <w:rsid w:val="00301A56"/>
    <w:rsid w:val="00315DDA"/>
    <w:rsid w:val="0033097A"/>
    <w:rsid w:val="00347498"/>
    <w:rsid w:val="00354186"/>
    <w:rsid w:val="00361BB7"/>
    <w:rsid w:val="00366D57"/>
    <w:rsid w:val="00376D8C"/>
    <w:rsid w:val="00390137"/>
    <w:rsid w:val="00392533"/>
    <w:rsid w:val="003C62FF"/>
    <w:rsid w:val="003D0C60"/>
    <w:rsid w:val="0040060D"/>
    <w:rsid w:val="00410695"/>
    <w:rsid w:val="004132D7"/>
    <w:rsid w:val="0043505B"/>
    <w:rsid w:val="00437AB8"/>
    <w:rsid w:val="00450B5A"/>
    <w:rsid w:val="004770D1"/>
    <w:rsid w:val="00487CB6"/>
    <w:rsid w:val="004A1C5D"/>
    <w:rsid w:val="004B3FAC"/>
    <w:rsid w:val="004D226C"/>
    <w:rsid w:val="004E1D03"/>
    <w:rsid w:val="004E2542"/>
    <w:rsid w:val="00510A04"/>
    <w:rsid w:val="00520080"/>
    <w:rsid w:val="0054443E"/>
    <w:rsid w:val="00550896"/>
    <w:rsid w:val="00555ECD"/>
    <w:rsid w:val="00584EE8"/>
    <w:rsid w:val="005A29B6"/>
    <w:rsid w:val="005A398E"/>
    <w:rsid w:val="005E1341"/>
    <w:rsid w:val="0060114B"/>
    <w:rsid w:val="00623BB1"/>
    <w:rsid w:val="00635C6F"/>
    <w:rsid w:val="00636563"/>
    <w:rsid w:val="00654C08"/>
    <w:rsid w:val="006559FB"/>
    <w:rsid w:val="006638BE"/>
    <w:rsid w:val="00676707"/>
    <w:rsid w:val="006772F1"/>
    <w:rsid w:val="006A07FB"/>
    <w:rsid w:val="006B3F13"/>
    <w:rsid w:val="006B4F47"/>
    <w:rsid w:val="006D0926"/>
    <w:rsid w:val="006D1DE0"/>
    <w:rsid w:val="006D4BA7"/>
    <w:rsid w:val="006E7660"/>
    <w:rsid w:val="006F3EA4"/>
    <w:rsid w:val="00711F91"/>
    <w:rsid w:val="00713481"/>
    <w:rsid w:val="00737E0E"/>
    <w:rsid w:val="0074301A"/>
    <w:rsid w:val="00771ADF"/>
    <w:rsid w:val="00791EF6"/>
    <w:rsid w:val="007B266E"/>
    <w:rsid w:val="007B5915"/>
    <w:rsid w:val="007C7A3D"/>
    <w:rsid w:val="007F7A1C"/>
    <w:rsid w:val="00806CA5"/>
    <w:rsid w:val="00807902"/>
    <w:rsid w:val="00832E86"/>
    <w:rsid w:val="00836BDB"/>
    <w:rsid w:val="0084673D"/>
    <w:rsid w:val="00846D33"/>
    <w:rsid w:val="00895EBB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335D"/>
    <w:rsid w:val="00944B0F"/>
    <w:rsid w:val="00985571"/>
    <w:rsid w:val="009A654A"/>
    <w:rsid w:val="009C7B39"/>
    <w:rsid w:val="009E0217"/>
    <w:rsid w:val="009F46EB"/>
    <w:rsid w:val="00A001DE"/>
    <w:rsid w:val="00A06E87"/>
    <w:rsid w:val="00A24CE8"/>
    <w:rsid w:val="00A24F3F"/>
    <w:rsid w:val="00A65B44"/>
    <w:rsid w:val="00A75E68"/>
    <w:rsid w:val="00A92FAB"/>
    <w:rsid w:val="00AB65B6"/>
    <w:rsid w:val="00AD54AF"/>
    <w:rsid w:val="00AD5A86"/>
    <w:rsid w:val="00AE69F3"/>
    <w:rsid w:val="00AF419D"/>
    <w:rsid w:val="00B20BA8"/>
    <w:rsid w:val="00B2149E"/>
    <w:rsid w:val="00B23429"/>
    <w:rsid w:val="00B3751E"/>
    <w:rsid w:val="00B4149E"/>
    <w:rsid w:val="00B45BA7"/>
    <w:rsid w:val="00B57002"/>
    <w:rsid w:val="00B86BB0"/>
    <w:rsid w:val="00BA4BB7"/>
    <w:rsid w:val="00BA7BCE"/>
    <w:rsid w:val="00BB6848"/>
    <w:rsid w:val="00BC1821"/>
    <w:rsid w:val="00BD163A"/>
    <w:rsid w:val="00BE3BA8"/>
    <w:rsid w:val="00BE7218"/>
    <w:rsid w:val="00C04B9A"/>
    <w:rsid w:val="00C13582"/>
    <w:rsid w:val="00C27317"/>
    <w:rsid w:val="00C33F0F"/>
    <w:rsid w:val="00C373FA"/>
    <w:rsid w:val="00C56B79"/>
    <w:rsid w:val="00C56D80"/>
    <w:rsid w:val="00C614B0"/>
    <w:rsid w:val="00C64F55"/>
    <w:rsid w:val="00C77748"/>
    <w:rsid w:val="00C94905"/>
    <w:rsid w:val="00CA4F63"/>
    <w:rsid w:val="00CA7C9F"/>
    <w:rsid w:val="00CB7D28"/>
    <w:rsid w:val="00CD1BD1"/>
    <w:rsid w:val="00CD6824"/>
    <w:rsid w:val="00CE4100"/>
    <w:rsid w:val="00CE7282"/>
    <w:rsid w:val="00D01B46"/>
    <w:rsid w:val="00D15046"/>
    <w:rsid w:val="00D31FD7"/>
    <w:rsid w:val="00D36BE1"/>
    <w:rsid w:val="00D41A53"/>
    <w:rsid w:val="00D50E07"/>
    <w:rsid w:val="00D527C7"/>
    <w:rsid w:val="00D63310"/>
    <w:rsid w:val="00D66B08"/>
    <w:rsid w:val="00D725B1"/>
    <w:rsid w:val="00D74093"/>
    <w:rsid w:val="00D77C84"/>
    <w:rsid w:val="00D8382B"/>
    <w:rsid w:val="00E03969"/>
    <w:rsid w:val="00E15564"/>
    <w:rsid w:val="00E35C9F"/>
    <w:rsid w:val="00E4432D"/>
    <w:rsid w:val="00E92FC7"/>
    <w:rsid w:val="00E96D1E"/>
    <w:rsid w:val="00EE10CB"/>
    <w:rsid w:val="00EE2434"/>
    <w:rsid w:val="00EF6549"/>
    <w:rsid w:val="00EF76C1"/>
    <w:rsid w:val="00F211AF"/>
    <w:rsid w:val="00F369FB"/>
    <w:rsid w:val="00F50DE8"/>
    <w:rsid w:val="00F5595B"/>
    <w:rsid w:val="00F83514"/>
    <w:rsid w:val="00F84DB3"/>
    <w:rsid w:val="00F918EC"/>
    <w:rsid w:val="00FD17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">
    <w:name w:val="AKSS"/>
    <w:basedOn w:val="Normal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lavikaChar"/>
    <w:uiPriority w:val="99"/>
    <w:unhideWhenUsed/>
    <w:rsid w:val="00E0396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E03969"/>
    <w:rPr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E0396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E03969"/>
    <w:rPr>
      <w:sz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206AB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E69F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AE69F3"/>
    <w:rPr>
      <w:rFonts w:ascii="Tahoma" w:hAnsi="Tahoma" w:cs="Tahoma"/>
      <w:sz w:val="16"/>
      <w:lang w:val="x-none" w:eastAsia="en-US"/>
    </w:rPr>
  </w:style>
  <w:style w:type="paragraph" w:customStyle="1" w:styleId="Telotextu">
    <w:name w:val="Telo textu"/>
    <w:basedOn w:val="Normal"/>
    <w:rsid w:val="00C64F55"/>
    <w:pPr>
      <w:widowControl w:val="0"/>
      <w:suppressAutoHyphens/>
      <w:spacing w:after="0" w:line="288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8292-C04A-40B6-A14A-0F92F8E9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278</Words>
  <Characters>1591</Characters>
  <Application>Microsoft Office Word</Application>
  <DocSecurity>0</DocSecurity>
  <Lines>0</Lines>
  <Paragraphs>0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2018-01-12T14:47:00Z</dcterms:created>
  <dcterms:modified xsi:type="dcterms:W3CDTF">2018-01-12T14:47:00Z</dcterms:modified>
</cp:coreProperties>
</file>