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14781" w:rsidRPr="00611B30" w:rsidP="00941D26">
      <w:pPr>
        <w:bidi w:val="0"/>
        <w:spacing w:after="0"/>
        <w:jc w:val="center"/>
        <w:rPr>
          <w:rFonts w:ascii="Times New Roman" w:hAnsi="Times New Roman"/>
          <w:b/>
          <w:caps/>
          <w:spacing w:val="30"/>
          <w:sz w:val="24"/>
          <w:szCs w:val="24"/>
        </w:rPr>
      </w:pPr>
      <w:r w:rsidRPr="00611B30">
        <w:rPr>
          <w:rFonts w:ascii="Times New Roman" w:hAnsi="Times New Roman"/>
          <w:b/>
          <w:caps/>
          <w:spacing w:val="30"/>
          <w:sz w:val="24"/>
          <w:szCs w:val="24"/>
        </w:rPr>
        <w:t>Dôvodová správa</w:t>
      </w:r>
    </w:p>
    <w:p w:rsidR="00914781" w:rsidRPr="00611B30" w:rsidP="00941D26">
      <w:pPr>
        <w:bidi w:val="0"/>
        <w:spacing w:after="0"/>
        <w:jc w:val="both"/>
        <w:rPr>
          <w:rFonts w:ascii="Times New Roman" w:hAnsi="Times New Roman"/>
          <w:sz w:val="24"/>
          <w:szCs w:val="24"/>
        </w:rPr>
      </w:pPr>
    </w:p>
    <w:p w:rsidR="00914781" w:rsidRPr="00611B30" w:rsidP="00941D26">
      <w:pPr>
        <w:pStyle w:val="Odsekzoznamu1"/>
        <w:numPr>
          <w:numId w:val="1"/>
        </w:numPr>
        <w:bidi w:val="0"/>
        <w:spacing w:after="0"/>
        <w:ind w:left="426" w:hanging="426"/>
        <w:jc w:val="both"/>
        <w:rPr>
          <w:rFonts w:ascii="Times New Roman" w:hAnsi="Times New Roman"/>
          <w:b/>
          <w:sz w:val="24"/>
          <w:szCs w:val="24"/>
        </w:rPr>
      </w:pPr>
      <w:r w:rsidRPr="00611B30">
        <w:rPr>
          <w:rFonts w:ascii="Times New Roman" w:hAnsi="Times New Roman"/>
          <w:b/>
          <w:sz w:val="24"/>
          <w:szCs w:val="24"/>
        </w:rPr>
        <w:t xml:space="preserve">Všeobecná časť </w:t>
      </w:r>
    </w:p>
    <w:p w:rsidR="00914781" w:rsidRPr="00611B30" w:rsidP="00941D26">
      <w:pPr>
        <w:bidi w:val="0"/>
        <w:spacing w:after="0"/>
        <w:jc w:val="both"/>
        <w:rPr>
          <w:rFonts w:ascii="Times New Roman" w:hAnsi="Times New Roman"/>
          <w:sz w:val="24"/>
          <w:szCs w:val="24"/>
        </w:rPr>
      </w:pPr>
    </w:p>
    <w:p w:rsidR="00782227" w:rsidRPr="00611B30" w:rsidP="00941D26">
      <w:pPr>
        <w:bidi w:val="0"/>
        <w:spacing w:after="0"/>
        <w:ind w:firstLine="708"/>
        <w:jc w:val="both"/>
        <w:rPr>
          <w:rFonts w:ascii="Times New Roman" w:hAnsi="Times New Roman"/>
          <w:sz w:val="24"/>
          <w:szCs w:val="24"/>
        </w:rPr>
      </w:pPr>
      <w:r w:rsidRPr="00611B30" w:rsidR="00F4724A">
        <w:rPr>
          <w:rFonts w:ascii="Times New Roman" w:hAnsi="Times New Roman"/>
          <w:sz w:val="24"/>
          <w:szCs w:val="24"/>
        </w:rPr>
        <w:t>N</w:t>
      </w:r>
      <w:r w:rsidRPr="00611B30" w:rsidR="00914781">
        <w:rPr>
          <w:rFonts w:ascii="Times New Roman" w:hAnsi="Times New Roman"/>
          <w:sz w:val="24"/>
          <w:szCs w:val="24"/>
        </w:rPr>
        <w:t>ávrh zákona</w:t>
      </w:r>
      <w:r w:rsidR="00E9773E">
        <w:rPr>
          <w:rFonts w:ascii="Times New Roman" w:hAnsi="Times New Roman"/>
          <w:sz w:val="24"/>
          <w:szCs w:val="24"/>
        </w:rPr>
        <w:t xml:space="preserve"> o poskytovaní dotácií v pôsobnosti Úradu podpredsedu vlády Slovenskej republiky pre investície a informatizáciu </w:t>
      </w:r>
      <w:r w:rsidR="00D24342">
        <w:rPr>
          <w:rFonts w:ascii="Times New Roman" w:hAnsi="Times New Roman"/>
          <w:sz w:val="24"/>
          <w:szCs w:val="24"/>
        </w:rPr>
        <w:t xml:space="preserve">(ďalej len „návrh zákona“) </w:t>
      </w:r>
      <w:r w:rsidRPr="00611B30" w:rsidR="00F4724A">
        <w:rPr>
          <w:rFonts w:ascii="Times New Roman" w:hAnsi="Times New Roman"/>
          <w:sz w:val="24"/>
          <w:szCs w:val="24"/>
        </w:rPr>
        <w:t>sa predkladá ako iniciatívny návrh</w:t>
      </w:r>
      <w:r w:rsidRPr="00611B30" w:rsidR="00914781">
        <w:rPr>
          <w:rFonts w:ascii="Times New Roman" w:hAnsi="Times New Roman"/>
          <w:sz w:val="24"/>
          <w:szCs w:val="24"/>
        </w:rPr>
        <w:t>.</w:t>
      </w:r>
    </w:p>
    <w:p w:rsidR="00D24342" w:rsidP="00D24342">
      <w:pPr>
        <w:pStyle w:val="NormalWeb"/>
        <w:shd w:val="clear" w:color="auto" w:fill="FFFFFF"/>
        <w:bidi w:val="0"/>
        <w:spacing w:before="0" w:beforeAutospacing="0" w:after="0" w:afterAutospacing="0" w:line="240" w:lineRule="atLeast"/>
        <w:ind w:firstLine="708"/>
        <w:jc w:val="both"/>
        <w:rPr>
          <w:rFonts w:ascii="Times New Roman" w:hAnsi="Times New Roman"/>
          <w:color w:val="474747"/>
        </w:rPr>
      </w:pPr>
    </w:p>
    <w:p w:rsidR="00D24342" w:rsidRPr="008238B8" w:rsidP="00D24342">
      <w:pPr>
        <w:pStyle w:val="NormalWeb"/>
        <w:shd w:val="clear" w:color="auto" w:fill="FFFFFF"/>
        <w:bidi w:val="0"/>
        <w:spacing w:before="0" w:beforeAutospacing="0" w:after="0" w:afterAutospacing="0" w:line="240" w:lineRule="atLeast"/>
        <w:ind w:firstLine="708"/>
        <w:jc w:val="both"/>
        <w:rPr>
          <w:rFonts w:ascii="Times New Roman" w:hAnsi="Times New Roman"/>
        </w:rPr>
      </w:pPr>
      <w:r w:rsidRPr="008238B8" w:rsidR="00E9773E">
        <w:rPr>
          <w:rFonts w:ascii="Times New Roman" w:hAnsi="Times New Roman"/>
        </w:rPr>
        <w:t>Podľa § 8a a § 37d zákona č. 523/2004 Z. z. o rozpočtových pravidlách verejnej správy a o zmene a doplnení niektorých zákonov v znení neskorších predpisov dotáciu zo štátneho rozpočtu možno poskytnúť v súlade so zákonom o štátnom rozpočte na príslušný rok len na základe osobitného zákona, a to v rozsahu, spôsobom a za podmienok ustanovených týmto zákonom.</w:t>
      </w:r>
    </w:p>
    <w:p w:rsidR="00D24342" w:rsidRPr="008238B8" w:rsidP="00D24342">
      <w:pPr>
        <w:pStyle w:val="NormalWeb"/>
        <w:shd w:val="clear" w:color="auto" w:fill="FFFFFF"/>
        <w:bidi w:val="0"/>
        <w:spacing w:before="0" w:beforeAutospacing="0" w:after="0" w:afterAutospacing="0" w:line="240" w:lineRule="atLeast"/>
        <w:ind w:firstLine="708"/>
        <w:jc w:val="both"/>
        <w:rPr>
          <w:rFonts w:ascii="Times New Roman" w:hAnsi="Times New Roman"/>
        </w:rPr>
      </w:pPr>
    </w:p>
    <w:p w:rsidR="00D24342" w:rsidRPr="008238B8" w:rsidP="00D24342">
      <w:pPr>
        <w:pStyle w:val="NormalWeb"/>
        <w:shd w:val="clear" w:color="auto" w:fill="FFFFFF"/>
        <w:bidi w:val="0"/>
        <w:spacing w:before="0" w:beforeAutospacing="0" w:after="0" w:afterAutospacing="0" w:line="240" w:lineRule="atLeast"/>
        <w:ind w:firstLine="708"/>
        <w:jc w:val="both"/>
        <w:rPr>
          <w:rFonts w:ascii="Times New Roman" w:hAnsi="Times New Roman"/>
        </w:rPr>
      </w:pPr>
      <w:r w:rsidRPr="008238B8" w:rsidR="00E9773E">
        <w:rPr>
          <w:rFonts w:ascii="Times New Roman" w:hAnsi="Times New Roman"/>
        </w:rPr>
        <w:t>V predloženom návrhu zákona sa ustanovuje účel, podmienky, rozsah</w:t>
      </w:r>
      <w:r w:rsidRPr="008238B8">
        <w:rPr>
          <w:rFonts w:ascii="Times New Roman" w:hAnsi="Times New Roman"/>
        </w:rPr>
        <w:t xml:space="preserve"> a</w:t>
      </w:r>
      <w:r w:rsidRPr="008238B8" w:rsidR="00E9773E">
        <w:rPr>
          <w:rFonts w:ascii="Times New Roman" w:hAnsi="Times New Roman"/>
        </w:rPr>
        <w:t xml:space="preserve"> spôsob pos</w:t>
      </w:r>
      <w:r w:rsidRPr="008238B8">
        <w:rPr>
          <w:rFonts w:ascii="Times New Roman" w:hAnsi="Times New Roman"/>
        </w:rPr>
        <w:t>kytovania dotácií v pôsobnosti Ú</w:t>
      </w:r>
      <w:r w:rsidRPr="008238B8" w:rsidR="00E9773E">
        <w:rPr>
          <w:rFonts w:ascii="Times New Roman" w:hAnsi="Times New Roman"/>
        </w:rPr>
        <w:t xml:space="preserve">radu </w:t>
      </w:r>
      <w:r w:rsidRPr="008238B8">
        <w:rPr>
          <w:rFonts w:ascii="Times New Roman" w:hAnsi="Times New Roman"/>
        </w:rPr>
        <w:t xml:space="preserve">podpredsedu </w:t>
      </w:r>
      <w:r w:rsidRPr="008238B8" w:rsidR="00E9773E">
        <w:rPr>
          <w:rFonts w:ascii="Times New Roman" w:hAnsi="Times New Roman"/>
        </w:rPr>
        <w:t>vlády</w:t>
      </w:r>
      <w:r w:rsidRPr="008238B8">
        <w:rPr>
          <w:rFonts w:ascii="Times New Roman" w:hAnsi="Times New Roman"/>
        </w:rPr>
        <w:t xml:space="preserve"> SR pre investície a informatizáciu</w:t>
      </w:r>
      <w:r w:rsidRPr="008238B8" w:rsidR="00E9773E">
        <w:rPr>
          <w:rFonts w:ascii="Times New Roman" w:hAnsi="Times New Roman"/>
        </w:rPr>
        <w:t>.</w:t>
      </w:r>
    </w:p>
    <w:p w:rsidR="00D24342" w:rsidRPr="008238B8" w:rsidP="00D24342">
      <w:pPr>
        <w:pStyle w:val="NormalWeb"/>
        <w:shd w:val="clear" w:color="auto" w:fill="FFFFFF"/>
        <w:bidi w:val="0"/>
        <w:spacing w:before="0" w:beforeAutospacing="0" w:after="0" w:afterAutospacing="0" w:line="240" w:lineRule="atLeast"/>
        <w:ind w:firstLine="708"/>
        <w:jc w:val="both"/>
        <w:rPr>
          <w:rFonts w:ascii="Times New Roman" w:hAnsi="Times New Roman"/>
        </w:rPr>
      </w:pPr>
    </w:p>
    <w:p w:rsidR="00E9773E" w:rsidRPr="008238B8" w:rsidP="00D24342">
      <w:pPr>
        <w:pStyle w:val="NormalWeb"/>
        <w:shd w:val="clear" w:color="auto" w:fill="FFFFFF"/>
        <w:bidi w:val="0"/>
        <w:spacing w:before="0" w:beforeAutospacing="0" w:after="0" w:afterAutospacing="0" w:line="240" w:lineRule="atLeast"/>
        <w:ind w:firstLine="708"/>
        <w:jc w:val="both"/>
        <w:rPr>
          <w:rFonts w:ascii="Times New Roman" w:hAnsi="Times New Roman"/>
        </w:rPr>
      </w:pPr>
      <w:r w:rsidRPr="008238B8">
        <w:rPr>
          <w:rFonts w:ascii="Times New Roman" w:hAnsi="Times New Roman"/>
        </w:rPr>
        <w:t>Predkladaný návrh zákona upravuje aj okruh žiadateľov, postup pri predkladaní žiadosti, spôsob poskytovania dotácií.</w:t>
      </w:r>
    </w:p>
    <w:p w:rsidR="00941D26" w:rsidRPr="00611B30" w:rsidP="00941D26">
      <w:pPr>
        <w:bidi w:val="0"/>
        <w:spacing w:after="0"/>
        <w:ind w:firstLine="708"/>
        <w:jc w:val="both"/>
        <w:rPr>
          <w:rStyle w:val="PlaceholderText"/>
          <w:color w:val="000000"/>
          <w:sz w:val="24"/>
          <w:szCs w:val="24"/>
        </w:rPr>
      </w:pPr>
    </w:p>
    <w:p w:rsidR="00941D26" w:rsidRPr="00611B30" w:rsidP="00941D26">
      <w:pPr>
        <w:bidi w:val="0"/>
        <w:spacing w:after="0"/>
        <w:ind w:firstLine="708"/>
        <w:jc w:val="both"/>
        <w:rPr>
          <w:rStyle w:val="PlaceholderText"/>
          <w:color w:val="000000"/>
          <w:sz w:val="24"/>
          <w:szCs w:val="24"/>
        </w:rPr>
      </w:pPr>
      <w:r w:rsidRPr="00611B30">
        <w:rPr>
          <w:rStyle w:val="PlaceholderText"/>
          <w:color w:val="000000"/>
          <w:sz w:val="24"/>
          <w:szCs w:val="24"/>
        </w:rPr>
        <w:t xml:space="preserve">Vzhľadom na predpokladanú dĺžku legislatívneho procesu a berúc do úvahy potrebnú legisvakanciu sa navrhuje, aby zákon nadobudol účinnosť 1. </w:t>
      </w:r>
      <w:r w:rsidR="00ED0D0A">
        <w:rPr>
          <w:rStyle w:val="PlaceholderText"/>
          <w:color w:val="000000"/>
          <w:sz w:val="24"/>
          <w:szCs w:val="24"/>
        </w:rPr>
        <w:t>mája</w:t>
      </w:r>
      <w:r w:rsidRPr="00611B30">
        <w:rPr>
          <w:rStyle w:val="PlaceholderText"/>
          <w:color w:val="000000"/>
          <w:sz w:val="24"/>
          <w:szCs w:val="24"/>
        </w:rPr>
        <w:t xml:space="preserve"> 2018. </w:t>
      </w:r>
    </w:p>
    <w:p w:rsidR="00941D26" w:rsidRPr="00611B30" w:rsidP="00941D26">
      <w:pPr>
        <w:bidi w:val="0"/>
        <w:spacing w:after="0"/>
        <w:ind w:firstLine="708"/>
        <w:jc w:val="both"/>
        <w:rPr>
          <w:rStyle w:val="PlaceholderText"/>
          <w:color w:val="000000"/>
          <w:sz w:val="24"/>
          <w:szCs w:val="24"/>
        </w:rPr>
      </w:pPr>
    </w:p>
    <w:p w:rsidR="005D084E" w:rsidRPr="005D084E" w:rsidP="005D084E">
      <w:pPr>
        <w:bidi w:val="0"/>
        <w:ind w:firstLine="708"/>
        <w:jc w:val="both"/>
        <w:rPr>
          <w:rFonts w:ascii="Times New Roman" w:hAnsi="Times New Roman"/>
          <w:sz w:val="24"/>
          <w:szCs w:val="24"/>
        </w:rPr>
      </w:pPr>
      <w:r w:rsidRPr="00611B30" w:rsidR="00914781">
        <w:rPr>
          <w:rFonts w:ascii="Times New Roman" w:hAnsi="Times New Roman"/>
          <w:sz w:val="24"/>
          <w:szCs w:val="24"/>
        </w:rPr>
        <w:t xml:space="preserve">Návrh zákona </w:t>
      </w:r>
      <w:r w:rsidRPr="005D084E">
        <w:rPr>
          <w:rFonts w:ascii="Times New Roman" w:hAnsi="Times New Roman"/>
          <w:sz w:val="24"/>
          <w:szCs w:val="24"/>
        </w:rPr>
        <w:t>je v súlade s Ústavou Slovenskej republiky, ústavnými zákonmi a  nálezmi Ústavného súdu Slovenskej republiky, inými zákonmi a medzinárodnými zmluvami a inými medzinárodnými dokumentmi, ktorými je Slovenská republika viazaná, a v súlade s právom Európskej únie.</w:t>
      </w:r>
    </w:p>
    <w:p w:rsidR="005D084E" w:rsidRPr="0021486C" w:rsidP="005D084E">
      <w:pPr>
        <w:bidi w:val="0"/>
        <w:spacing w:after="0"/>
        <w:ind w:firstLine="708"/>
        <w:jc w:val="both"/>
        <w:rPr>
          <w:rFonts w:ascii="Times New Roman" w:hAnsi="Times New Roman"/>
          <w:sz w:val="24"/>
          <w:szCs w:val="24"/>
        </w:rPr>
      </w:pPr>
      <w:r w:rsidR="00E744F6">
        <w:rPr>
          <w:rFonts w:ascii="Times New Roman" w:hAnsi="Times New Roman"/>
          <w:sz w:val="24"/>
          <w:szCs w:val="24"/>
        </w:rPr>
        <w:t>Návrh</w:t>
      </w:r>
      <w:r w:rsidRPr="00611B30" w:rsidR="00C858F0">
        <w:rPr>
          <w:rFonts w:ascii="Times New Roman" w:hAnsi="Times New Roman"/>
          <w:sz w:val="24"/>
          <w:szCs w:val="24"/>
        </w:rPr>
        <w:t xml:space="preserve"> zákona </w:t>
      </w:r>
      <w:r w:rsidR="000E0131">
        <w:rPr>
          <w:rFonts w:ascii="Times New Roman" w:hAnsi="Times New Roman"/>
          <w:sz w:val="24"/>
          <w:szCs w:val="24"/>
        </w:rPr>
        <w:t>bude mať</w:t>
      </w:r>
      <w:r w:rsidRPr="00611B30" w:rsidR="00C858F0">
        <w:rPr>
          <w:rFonts w:ascii="Times New Roman" w:hAnsi="Times New Roman"/>
          <w:sz w:val="24"/>
          <w:szCs w:val="24"/>
        </w:rPr>
        <w:t xml:space="preserve"> vplyv</w:t>
      </w:r>
      <w:r w:rsidR="008238B8">
        <w:rPr>
          <w:rFonts w:ascii="Times New Roman" w:hAnsi="Times New Roman"/>
          <w:sz w:val="24"/>
          <w:szCs w:val="24"/>
        </w:rPr>
        <w:t xml:space="preserve"> na rozpočet verejnej správy</w:t>
      </w:r>
      <w:r w:rsidR="00ED0D0A">
        <w:rPr>
          <w:rFonts w:ascii="Times New Roman" w:hAnsi="Times New Roman"/>
          <w:sz w:val="24"/>
          <w:szCs w:val="24"/>
        </w:rPr>
        <w:t>. Nebude mať vplyv</w:t>
      </w:r>
      <w:r w:rsidRPr="00611B30" w:rsidR="00C858F0">
        <w:rPr>
          <w:rFonts w:ascii="Times New Roman" w:hAnsi="Times New Roman"/>
          <w:sz w:val="24"/>
          <w:szCs w:val="24"/>
        </w:rPr>
        <w:t xml:space="preserve"> na podnikateľské prostredie</w:t>
      </w:r>
      <w:r w:rsidR="00611B30">
        <w:rPr>
          <w:rFonts w:ascii="Times New Roman" w:hAnsi="Times New Roman"/>
          <w:sz w:val="24"/>
          <w:szCs w:val="24"/>
        </w:rPr>
        <w:t xml:space="preserve">, </w:t>
      </w:r>
      <w:r w:rsidR="00E744F6">
        <w:rPr>
          <w:rFonts w:ascii="Times New Roman" w:hAnsi="Times New Roman"/>
          <w:sz w:val="24"/>
          <w:szCs w:val="24"/>
        </w:rPr>
        <w:t>na životné pr</w:t>
      </w:r>
      <w:r w:rsidR="00611B30">
        <w:rPr>
          <w:rFonts w:ascii="Times New Roman" w:hAnsi="Times New Roman"/>
          <w:sz w:val="24"/>
          <w:szCs w:val="24"/>
        </w:rPr>
        <w:t xml:space="preserve">ostredie, </w:t>
      </w:r>
      <w:r w:rsidR="00ED0D0A">
        <w:rPr>
          <w:rFonts w:ascii="Times New Roman" w:hAnsi="Times New Roman"/>
          <w:sz w:val="24"/>
          <w:szCs w:val="24"/>
        </w:rPr>
        <w:t>na informatizáciu spoločnosti,</w:t>
      </w:r>
      <w:r w:rsidRPr="00611B30" w:rsidR="00C858F0">
        <w:rPr>
          <w:rFonts w:ascii="Times New Roman" w:hAnsi="Times New Roman"/>
          <w:sz w:val="24"/>
          <w:szCs w:val="24"/>
        </w:rPr>
        <w:t> vplyvy na služby verejnej správy pre občana</w:t>
      </w:r>
      <w:r w:rsidR="008238B8">
        <w:rPr>
          <w:rFonts w:ascii="Times New Roman" w:hAnsi="Times New Roman"/>
          <w:sz w:val="24"/>
          <w:szCs w:val="24"/>
        </w:rPr>
        <w:t xml:space="preserve"> ani sociálne vplyvy</w:t>
      </w:r>
      <w:r w:rsidRPr="00A84A05" w:rsidR="00C858F0">
        <w:rPr>
          <w:rFonts w:ascii="Times New Roman" w:hAnsi="Times New Roman"/>
          <w:sz w:val="24"/>
          <w:szCs w:val="24"/>
        </w:rPr>
        <w:t>.</w:t>
      </w:r>
      <w:r w:rsidRPr="005D084E">
        <w:t xml:space="preserve"> </w:t>
      </w:r>
      <w:r w:rsidRPr="0021486C">
        <w:rPr>
          <w:rFonts w:ascii="Times New Roman" w:hAnsi="Times New Roman"/>
          <w:sz w:val="24"/>
          <w:szCs w:val="24"/>
        </w:rPr>
        <w:t xml:space="preserve">Uvedené vplyvy sú bližšie špecifikované v doložke vybraných vplyvov. </w:t>
      </w:r>
    </w:p>
    <w:p w:rsidR="00A50C4E" w:rsidRPr="00A84A05" w:rsidP="00941D26">
      <w:pPr>
        <w:bidi w:val="0"/>
        <w:spacing w:after="0"/>
        <w:ind w:firstLine="708"/>
        <w:jc w:val="both"/>
        <w:rPr>
          <w:rFonts w:ascii="Times New Roman" w:hAnsi="Times New Roman"/>
          <w:sz w:val="24"/>
          <w:szCs w:val="24"/>
        </w:rPr>
      </w:pPr>
    </w:p>
    <w:p w:rsidR="00DF00E4"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D14925">
      <w:pPr>
        <w:pStyle w:val="NormalWeb"/>
        <w:bidi w:val="0"/>
        <w:spacing w:before="0" w:beforeAutospacing="0" w:after="0" w:afterAutospacing="0"/>
        <w:jc w:val="center"/>
        <w:rPr>
          <w:rFonts w:ascii="Times New Roman" w:hAnsi="Times New Roman"/>
          <w:b/>
          <w:bCs/>
          <w:sz w:val="28"/>
          <w:szCs w:val="28"/>
        </w:rPr>
      </w:pPr>
      <w:r w:rsidRPr="00C579E9">
        <w:rPr>
          <w:rFonts w:ascii="Times New Roman" w:hAnsi="Times New Roman"/>
          <w:b/>
          <w:bCs/>
          <w:sz w:val="28"/>
          <w:szCs w:val="28"/>
        </w:rPr>
        <w:t>Doložka vybraných vplyvov</w:t>
      </w:r>
    </w:p>
    <w:p w:rsidR="00D14925" w:rsidP="00D14925">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5453"/>
        <w:gridCol w:w="3635"/>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D14925" w:rsidP="00182CC2">
            <w:pPr>
              <w:bidi w:val="0"/>
              <w:rPr>
                <w:rFonts w:ascii="Times" w:hAnsi="Times" w:cs="Times"/>
                <w:b/>
                <w:bCs/>
              </w:rPr>
            </w:pPr>
            <w:r>
              <w:rPr>
                <w:rFonts w:ascii="Times" w:hAnsi="Times" w:cs="Times"/>
                <w:b/>
                <w:bCs/>
              </w:rPr>
              <w:t>  1.  Základné údaje</w:t>
            </w:r>
          </w:p>
        </w:tc>
      </w:tr>
      <w:tr>
        <w:tblPrEx>
          <w:tblW w:w="5000" w:type="pct"/>
          <w:jc w:val="center"/>
          <w:tblCellMar>
            <w:left w:w="0" w:type="dxa"/>
            <w:right w:w="0" w:type="dxa"/>
          </w:tblCellMar>
          <w:tblLook w:val="04A0"/>
        </w:tblPrEx>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D14925" w:rsidP="00182CC2">
            <w:pPr>
              <w:bidi w:val="0"/>
              <w:rPr>
                <w:rFonts w:ascii="Times" w:hAnsi="Times" w:cs="Times"/>
                <w:b/>
                <w:bCs/>
              </w:rPr>
            </w:pPr>
            <w:r>
              <w:rPr>
                <w:rFonts w:ascii="Times" w:hAnsi="Times" w:cs="Times"/>
                <w:b/>
                <w:bCs/>
              </w:rPr>
              <w:t>  Názov materiálu</w:t>
            </w:r>
          </w:p>
        </w:tc>
      </w:tr>
      <w:tr>
        <w:tblPrEx>
          <w:tblW w:w="5000" w:type="pct"/>
          <w:jc w:val="center"/>
          <w:tblCellMar>
            <w:left w:w="0" w:type="dxa"/>
            <w:right w:w="0" w:type="dxa"/>
          </w:tblCellMar>
          <w:tblLook w:val="04A0"/>
        </w:tblPrEx>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D14925" w:rsidP="00182CC2">
            <w:pPr>
              <w:bidi w:val="0"/>
              <w:rPr>
                <w:rFonts w:ascii="Times" w:hAnsi="Times" w:cs="Times"/>
                <w:sz w:val="20"/>
                <w:szCs w:val="20"/>
              </w:rPr>
            </w:pPr>
            <w:r>
              <w:rPr>
                <w:rFonts w:ascii="Times" w:hAnsi="Times" w:cs="Times"/>
                <w:sz w:val="20"/>
                <w:szCs w:val="20"/>
              </w:rPr>
              <w:t>Zákon o poskytovaní dotácií v pôsobnosti Úradu podpredsedu vlády Slovenskej republiky pre investície a informatizáciu</w:t>
            </w:r>
          </w:p>
        </w:tc>
      </w:tr>
      <w:tr>
        <w:tblPrEx>
          <w:tblW w:w="5000" w:type="pct"/>
          <w:jc w:val="center"/>
          <w:tblCellMar>
            <w:left w:w="0" w:type="dxa"/>
            <w:right w:w="0" w:type="dxa"/>
          </w:tblCellMar>
          <w:tblLook w:val="04A0"/>
        </w:tblPrEx>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D14925" w:rsidP="00182CC2">
            <w:pPr>
              <w:bidi w:val="0"/>
              <w:rPr>
                <w:rFonts w:ascii="Times" w:hAnsi="Times" w:cs="Times"/>
                <w:b/>
                <w:bCs/>
              </w:rPr>
            </w:pPr>
            <w:r>
              <w:rPr>
                <w:rFonts w:ascii="Times" w:hAnsi="Times" w:cs="Times"/>
                <w:b/>
                <w:bCs/>
              </w:rPr>
              <w:t>  Predkladateľ (a spolupredkladateľ)</w:t>
            </w:r>
          </w:p>
        </w:tc>
      </w:tr>
      <w:tr>
        <w:tblPrEx>
          <w:tblW w:w="5000" w:type="pct"/>
          <w:jc w:val="center"/>
          <w:tblCellMar>
            <w:left w:w="0" w:type="dxa"/>
            <w:right w:w="0" w:type="dxa"/>
          </w:tblCellMar>
          <w:tblLook w:val="04A0"/>
        </w:tblPrEx>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D14925" w:rsidP="00182CC2">
            <w:pPr>
              <w:bidi w:val="0"/>
              <w:rPr>
                <w:rFonts w:ascii="Times" w:hAnsi="Times" w:cs="Times"/>
                <w:sz w:val="20"/>
                <w:szCs w:val="20"/>
              </w:rPr>
            </w:pPr>
            <w:r>
              <w:rPr>
                <w:rFonts w:ascii="Times" w:hAnsi="Times" w:cs="Times"/>
                <w:sz w:val="20"/>
                <w:szCs w:val="20"/>
              </w:rPr>
              <w:t>Úrad podpredsedu vlády Slovenskej republiky pre investície a informatizáciu</w:t>
            </w:r>
          </w:p>
        </w:tc>
      </w:tr>
      <w:tr>
        <w:tblPrEx>
          <w:tblW w:w="5000" w:type="pct"/>
          <w:jc w:val="center"/>
          <w:tblCellMar>
            <w:left w:w="0" w:type="dxa"/>
            <w:right w:w="0" w:type="dxa"/>
          </w:tblCellMar>
          <w:tblLook w:val="04A0"/>
        </w:tblPrEx>
        <w:trPr>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D14925" w:rsidP="00182CC2">
            <w:pPr>
              <w:bidi w:val="0"/>
              <w:jc w:val="center"/>
              <w:rPr>
                <w:rFonts w:ascii="Times" w:hAnsi="Times" w:cs="Times"/>
                <w:b/>
                <w:bCs/>
              </w:rPr>
            </w:pPr>
            <w:r>
              <w:rPr>
                <w:rFonts w:ascii="Times" w:hAnsi="Times" w:cs="Times"/>
                <w:b/>
                <w:bCs/>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D14925" w:rsidP="00182CC2">
            <w:pPr>
              <w:bidi w:val="0"/>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tblPrEx>
          <w:tblW w:w="5000" w:type="pct"/>
          <w:jc w:val="center"/>
          <w:tblCellMar>
            <w:left w:w="0" w:type="dxa"/>
            <w:right w:w="0" w:type="dxa"/>
          </w:tblCellMar>
          <w:tblLook w:val="04A0"/>
        </w:tblPrEx>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D14925" w:rsidP="00182CC2">
            <w:pPr>
              <w:bidi w:val="0"/>
              <w:rPr>
                <w:rFonts w:ascii="Times" w:hAnsi="Times" w:cs="Times"/>
                <w:b/>
                <w:bCs/>
              </w:rPr>
            </w:pP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D14925" w:rsidP="00182CC2">
            <w:pPr>
              <w:bidi w:val="0"/>
              <w:rPr>
                <w:rFonts w:ascii="Times" w:hAnsi="Times" w:cs="Times"/>
                <w:sz w:val="20"/>
                <w:szCs w:val="20"/>
              </w:rPr>
            </w:pPr>
            <w:r>
              <w:rPr>
                <w:rFonts w:ascii="Times" w:hAnsi="Times" w:cs="Times"/>
                <w:sz w:val="20"/>
                <w:szCs w:val="20"/>
              </w:rPr>
              <w:t> </w:t>
            </w:r>
            <w:r>
              <w:rPr>
                <w:rFonts w:ascii="Wingdings 2" w:hAnsi="Wingdings 2" w:cs="Times"/>
                <w:sz w:val="20"/>
                <w:szCs w:val="20"/>
              </w:rPr>
              <w:t>S</w:t>
            </w:r>
            <w:r>
              <w:rPr>
                <w:rFonts w:ascii="Times" w:hAnsi="Times" w:cs="Times"/>
                <w:sz w:val="20"/>
                <w:szCs w:val="20"/>
              </w:rPr>
              <w:t xml:space="preserve">  Materiál legislatívnej povahy </w:t>
            </w:r>
          </w:p>
        </w:tc>
      </w:tr>
      <w:tr>
        <w:tblPrEx>
          <w:tblW w:w="5000" w:type="pct"/>
          <w:jc w:val="center"/>
          <w:tblCellMar>
            <w:left w:w="0" w:type="dxa"/>
            <w:right w:w="0" w:type="dxa"/>
          </w:tblCellMar>
          <w:tblLook w:val="04A0"/>
        </w:tblPrEx>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D14925" w:rsidP="00182CC2">
            <w:pPr>
              <w:bidi w:val="0"/>
              <w:rPr>
                <w:rFonts w:ascii="Times" w:hAnsi="Times" w:cs="Times"/>
                <w:b/>
                <w:bCs/>
              </w:rPr>
            </w:pP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D14925" w:rsidP="00182CC2">
            <w:pPr>
              <w:bidi w:val="0"/>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Transpozícia práva EÚ </w:t>
            </w:r>
          </w:p>
        </w:tc>
      </w:tr>
      <w:tr>
        <w:tblPrEx>
          <w:tblW w:w="5000" w:type="pct"/>
          <w:jc w:val="center"/>
          <w:tblCellMar>
            <w:left w:w="0" w:type="dxa"/>
            <w:right w:w="0" w:type="dxa"/>
          </w:tblCellMar>
          <w:tblLook w:val="04A0"/>
        </w:tblPrEx>
        <w:trPr>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D14925" w:rsidP="00182CC2">
            <w:pPr>
              <w:bidi w:val="0"/>
              <w:rPr>
                <w:rFonts w:ascii="Times" w:hAnsi="Times" w:cs="Times"/>
                <w:sz w:val="20"/>
                <w:szCs w:val="20"/>
              </w:rPr>
            </w:pPr>
          </w:p>
        </w:tc>
      </w:tr>
      <w:tr>
        <w:tblPrEx>
          <w:tblW w:w="5000" w:type="pct"/>
          <w:jc w:val="center"/>
          <w:tblCellMar>
            <w:left w:w="0" w:type="dxa"/>
            <w:right w:w="0" w:type="dxa"/>
          </w:tblCellMar>
          <w:tblLook w:val="04A0"/>
        </w:tblPrEx>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D14925" w:rsidP="00182CC2">
            <w:pPr>
              <w:bidi w:val="0"/>
              <w:rPr>
                <w:rFonts w:ascii="Times" w:hAnsi="Times" w:cs="Times"/>
                <w:b/>
                <w:bCs/>
              </w:rPr>
            </w:pPr>
            <w:r>
              <w:rPr>
                <w:rFonts w:ascii="Times" w:hAnsi="Times" w:cs="Times"/>
                <w:b/>
                <w:bCs/>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D14925" w:rsidP="00182CC2">
            <w:pPr>
              <w:bidi w:val="0"/>
              <w:rPr>
                <w:rFonts w:ascii="Times" w:hAnsi="Times" w:cs="Times"/>
                <w:sz w:val="20"/>
                <w:szCs w:val="20"/>
              </w:rPr>
            </w:pPr>
            <w:r>
              <w:rPr>
                <w:rFonts w:ascii="Times" w:hAnsi="Times" w:cs="Times"/>
                <w:sz w:val="20"/>
                <w:szCs w:val="20"/>
              </w:rPr>
              <w:t>Začiatok:    7.11.2017</w:t>
              <w:br/>
              <w:t>Ukončenie: 14.11.2017 záverečné posúdenie</w:t>
            </w:r>
          </w:p>
        </w:tc>
      </w:tr>
      <w:tr>
        <w:tblPrEx>
          <w:tblW w:w="5000" w:type="pct"/>
          <w:jc w:val="center"/>
          <w:tblCellMar>
            <w:left w:w="0" w:type="dxa"/>
            <w:right w:w="0" w:type="dxa"/>
          </w:tblCellMar>
          <w:tblLook w:val="04A0"/>
        </w:tblPrEx>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D14925" w:rsidP="00182CC2">
            <w:pPr>
              <w:bidi w:val="0"/>
              <w:rPr>
                <w:rFonts w:ascii="Times" w:hAnsi="Times" w:cs="Times"/>
                <w:b/>
                <w:bCs/>
              </w:rPr>
            </w:pPr>
            <w:r>
              <w:rPr>
                <w:rFonts w:ascii="Times" w:hAnsi="Times" w:cs="Times"/>
                <w:b/>
                <w:bCs/>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D14925" w:rsidP="00182CC2">
            <w:pPr>
              <w:bidi w:val="0"/>
              <w:rPr>
                <w:rFonts w:ascii="Times" w:hAnsi="Times" w:cs="Times"/>
                <w:sz w:val="20"/>
                <w:szCs w:val="20"/>
              </w:rPr>
            </w:pPr>
            <w:r>
              <w:rPr>
                <w:rFonts w:ascii="Times" w:hAnsi="Times" w:cs="Times"/>
                <w:sz w:val="20"/>
                <w:szCs w:val="20"/>
              </w:rPr>
              <w:t>júl 2017</w:t>
            </w:r>
          </w:p>
        </w:tc>
      </w:tr>
      <w:tr>
        <w:tblPrEx>
          <w:tblW w:w="5000" w:type="pct"/>
          <w:jc w:val="center"/>
          <w:tblCellMar>
            <w:left w:w="0" w:type="dxa"/>
            <w:right w:w="0" w:type="dxa"/>
          </w:tblCellMar>
          <w:tblLook w:val="04A0"/>
        </w:tblPrEx>
        <w:trPr>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D14925" w:rsidP="00182CC2">
            <w:pPr>
              <w:bidi w:val="0"/>
              <w:rPr>
                <w:rFonts w:ascii="Times" w:hAnsi="Times" w:cs="Times"/>
                <w:b/>
                <w:bCs/>
              </w:rPr>
            </w:pPr>
            <w:r>
              <w:rPr>
                <w:rFonts w:ascii="Times" w:hAnsi="Times" w:cs="Times"/>
                <w:b/>
                <w:bCs/>
              </w:rPr>
              <w:t>  Predpokladaný termín predloženia na Rokovanie vlády</w:t>
              <w:br/>
              <w:t>  SR*</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D14925" w:rsidP="00182CC2">
            <w:pPr>
              <w:bidi w:val="0"/>
              <w:rPr>
                <w:rFonts w:ascii="Times" w:hAnsi="Times" w:cs="Times"/>
                <w:sz w:val="20"/>
                <w:szCs w:val="20"/>
              </w:rPr>
            </w:pPr>
            <w:r>
              <w:rPr>
                <w:rFonts w:ascii="Times" w:hAnsi="Times" w:cs="Times"/>
                <w:sz w:val="20"/>
                <w:szCs w:val="20"/>
              </w:rPr>
              <w:t>august 2017</w:t>
            </w:r>
          </w:p>
        </w:tc>
      </w:tr>
    </w:tbl>
    <w:p w:rsidR="00D14925" w:rsidP="00D14925">
      <w:pPr>
        <w:pStyle w:val="NormalWeb"/>
        <w:bidi w:val="0"/>
        <w:spacing w:before="0" w:beforeAutospacing="0" w:after="0" w:afterAutospacing="0"/>
        <w:rPr>
          <w:rFonts w:ascii="Times New Roman" w:hAnsi="Times New Roman"/>
          <w:bCs/>
          <w:sz w:val="22"/>
          <w:szCs w:val="22"/>
        </w:rPr>
      </w:pPr>
    </w:p>
    <w:p w:rsidR="00D14925" w:rsidP="00D14925">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08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D14925" w:rsidP="00182CC2">
            <w:pPr>
              <w:bidi w:val="0"/>
              <w:rPr>
                <w:rFonts w:ascii="Times" w:hAnsi="Times" w:cs="Times"/>
                <w:b/>
                <w:bCs/>
              </w:rPr>
            </w:pPr>
            <w:r>
              <w:rPr>
                <w:rFonts w:ascii="Times" w:hAnsi="Times" w:cs="Times"/>
                <w:b/>
                <w:bCs/>
              </w:rPr>
              <w:t>  2.  Definícia problému</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D14925" w:rsidP="00182CC2">
            <w:pPr>
              <w:bidi w:val="0"/>
              <w:rPr>
                <w:rFonts w:ascii="Times" w:hAnsi="Times" w:cs="Times"/>
                <w:sz w:val="20"/>
                <w:szCs w:val="20"/>
              </w:rPr>
            </w:pPr>
            <w:r>
              <w:rPr>
                <w:rFonts w:ascii="Times" w:hAnsi="Times" w:cs="Times"/>
                <w:sz w:val="20"/>
                <w:szCs w:val="20"/>
              </w:rPr>
              <w:t>Návrh zákona bol vypracovaný v súlade s§ 8a a § 37d zákona č. 523/2004 Z. z. o rozpočtových pravidlách verejnej správy a o zmene a doplnení niektorých zákonov v znení neskorších predpisov dotáciu zo štátneho rozpočtu možno poskytnúť v súlade so zákonom o štátnom rozpočte na príslušný rok len na základe osobitného zákona, a to v rozsahu, spôsobom a za podmienok ustanovených týmto zákonom.</w:t>
              <w:br/>
              <w:t xml:space="preserve">V predloženom návrhu zákona sa ustanovuje účel, podmienky, rozsah a spôsob poskytovania dotácií v pôsobnosti Úradu podpredsedu vlády SR pre investície a informatizáciu. </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D14925" w:rsidP="00182CC2">
            <w:pPr>
              <w:bidi w:val="0"/>
              <w:rPr>
                <w:rFonts w:ascii="Times" w:hAnsi="Times" w:cs="Times"/>
                <w:b/>
                <w:bCs/>
              </w:rPr>
            </w:pPr>
            <w:r>
              <w:rPr>
                <w:rFonts w:ascii="Times" w:hAnsi="Times" w:cs="Times"/>
                <w:b/>
                <w:bCs/>
              </w:rPr>
              <w:t>  3.  Ciele a výsledný stav</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D14925" w:rsidP="00182CC2">
            <w:pPr>
              <w:bidi w:val="0"/>
              <w:rPr>
                <w:rFonts w:ascii="Times" w:hAnsi="Times" w:cs="Times"/>
                <w:sz w:val="20"/>
                <w:szCs w:val="20"/>
              </w:rPr>
            </w:pPr>
            <w:r>
              <w:rPr>
                <w:rFonts w:ascii="Times" w:hAnsi="Times" w:cs="Times"/>
                <w:sz w:val="20"/>
                <w:szCs w:val="20"/>
              </w:rPr>
              <w:t>Cieľom vypracovania predkladaného návrhu zákona je splnenie predpokladu zákonnej úpravy na poskytovanie dotácií Úradom podpredsedu vlády SR pre investície a informatizáciu, najmä ustanovenie účelu, na ktorý možno poskytnúť dotáciu z rozpočtovej kapitoly úradu po splnení zákonom ustanovených podmienok a zoznamu žiadateľov, ktorým túto dotáciu možno poskytnúť.</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D14925" w:rsidP="00182CC2">
            <w:pPr>
              <w:bidi w:val="0"/>
              <w:rPr>
                <w:rFonts w:ascii="Times" w:hAnsi="Times" w:cs="Times"/>
                <w:b/>
                <w:bCs/>
              </w:rPr>
            </w:pPr>
            <w:r>
              <w:rPr>
                <w:rFonts w:ascii="Times" w:hAnsi="Times" w:cs="Times"/>
                <w:b/>
                <w:bCs/>
              </w:rPr>
              <w:t>  4.  Dotknuté subjekty</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D14925" w:rsidP="00182CC2">
            <w:pPr>
              <w:bidi w:val="0"/>
              <w:rPr>
                <w:rFonts w:ascii="Times" w:hAnsi="Times" w:cs="Times"/>
                <w:sz w:val="20"/>
                <w:szCs w:val="20"/>
              </w:rPr>
            </w:pPr>
            <w:r>
              <w:rPr>
                <w:rFonts w:ascii="Times" w:hAnsi="Times" w:cs="Times"/>
                <w:sz w:val="20"/>
                <w:szCs w:val="20"/>
              </w:rPr>
              <w:t>Štátne orgány, orgány územnej samosprávy, fyzické osoby, právnické osoby</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D14925" w:rsidP="00182CC2">
            <w:pPr>
              <w:bidi w:val="0"/>
              <w:rPr>
                <w:rFonts w:ascii="Times" w:hAnsi="Times" w:cs="Times"/>
                <w:b/>
                <w:bCs/>
              </w:rPr>
            </w:pPr>
            <w:r>
              <w:rPr>
                <w:rFonts w:ascii="Times" w:hAnsi="Times" w:cs="Times"/>
                <w:b/>
                <w:bCs/>
              </w:rPr>
              <w:t>  5.  Alternatívne riešenia</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D14925" w:rsidP="00182CC2">
            <w:pPr>
              <w:bidi w:val="0"/>
              <w:rPr>
                <w:rFonts w:ascii="Times" w:hAnsi="Times" w:cs="Times"/>
                <w:sz w:val="20"/>
                <w:szCs w:val="20"/>
              </w:rPr>
            </w:pPr>
            <w:r>
              <w:rPr>
                <w:rFonts w:ascii="Times" w:hAnsi="Times" w:cs="Times"/>
                <w:sz w:val="20"/>
                <w:szCs w:val="20"/>
              </w:rPr>
              <w:t>Alternatívne riešenia neboli posudzované.</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D14925" w:rsidP="00182CC2">
            <w:pPr>
              <w:bidi w:val="0"/>
              <w:rPr>
                <w:rFonts w:ascii="Times" w:hAnsi="Times" w:cs="Times"/>
                <w:b/>
                <w:bCs/>
              </w:rPr>
            </w:pPr>
            <w:r>
              <w:rPr>
                <w:rFonts w:ascii="Times" w:hAnsi="Times" w:cs="Times"/>
                <w:b/>
                <w:bCs/>
              </w:rPr>
              <w:t>  6.  Vykonávacie predpisy</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D14925" w:rsidP="00182CC2">
            <w:pPr>
              <w:bidi w:val="0"/>
              <w:rPr>
                <w:rFonts w:ascii="Times" w:hAnsi="Times" w:cs="Times"/>
                <w:sz w:val="20"/>
                <w:szCs w:val="20"/>
              </w:rPr>
            </w:pPr>
            <w:r>
              <w:rPr>
                <w:rFonts w:ascii="Times" w:hAnsi="Times" w:cs="Times"/>
                <w:sz w:val="20"/>
                <w:szCs w:val="20"/>
              </w:rPr>
              <w:t>Predpokladá sa prijatie/zmena vykonávacích predpisov?                          </w:t>
            </w:r>
            <w:r>
              <w:rPr>
                <w:rFonts w:ascii="Wingdings 2" w:hAnsi="Wingdings 2" w:cs="Times"/>
                <w:sz w:val="20"/>
                <w:szCs w:val="20"/>
              </w:rPr>
              <w:t>S</w:t>
            </w:r>
            <w:r>
              <w:rPr>
                <w:rFonts w:ascii="Times" w:hAnsi="Times" w:cs="Times"/>
                <w:sz w:val="20"/>
                <w:szCs w:val="20"/>
              </w:rPr>
              <w:t>  Áno            </w:t>
            </w:r>
            <w:r>
              <w:rPr>
                <w:rFonts w:ascii="Wingdings 2" w:hAnsi="Wingdings 2" w:cs="Times"/>
                <w:sz w:val="28"/>
                <w:szCs w:val="28"/>
              </w:rPr>
              <w:t>*</w:t>
            </w:r>
            <w:r>
              <w:rPr>
                <w:rFonts w:ascii="Times" w:hAnsi="Times" w:cs="Times"/>
                <w:sz w:val="20"/>
                <w:szCs w:val="20"/>
              </w:rPr>
              <w:t>  Nie</w:t>
              <w:br/>
              <w:t xml:space="preserve">Vyhláška úradu podpredsedu vlády SR pre investície a informatizáciu, ktorou sa ustanovujú podrobnosti o zložení, prijímaní odporúčaní a postupe komisie pri vyhodnocovaní žiadosti o poskytovanie dotácie v pôsobnosti Úradu podpredsedu vlády Slovenskej republiky pre investície a informatizáciu </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D14925" w:rsidP="00182CC2">
            <w:pPr>
              <w:bidi w:val="0"/>
              <w:rPr>
                <w:rFonts w:ascii="Times" w:hAnsi="Times" w:cs="Times"/>
                <w:b/>
                <w:bCs/>
              </w:rPr>
            </w:pPr>
            <w:r>
              <w:rPr>
                <w:rFonts w:ascii="Times" w:hAnsi="Times" w:cs="Times"/>
                <w:b/>
                <w:bCs/>
              </w:rPr>
              <w:t xml:space="preserve">  7.  Transpozícia práva EÚ </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D14925" w:rsidP="00182CC2">
            <w:pPr>
              <w:bidi w:val="0"/>
              <w:rPr>
                <w:rFonts w:ascii="Times" w:hAnsi="Times" w:cs="Times"/>
                <w:b/>
                <w:bCs/>
              </w:rPr>
            </w:pP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D14925" w:rsidP="00182CC2">
            <w:pPr>
              <w:bidi w:val="0"/>
              <w:rPr>
                <w:rFonts w:ascii="Times" w:hAnsi="Times" w:cs="Times"/>
                <w:b/>
                <w:bCs/>
              </w:rPr>
            </w:pPr>
            <w:r>
              <w:rPr>
                <w:rFonts w:ascii="Times" w:hAnsi="Times" w:cs="Times"/>
                <w:b/>
                <w:bCs/>
              </w:rPr>
              <w:t>  8.  Preskúmanie účelnosti**</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D14925" w:rsidP="00182CC2">
            <w:pPr>
              <w:bidi w:val="0"/>
              <w:rPr>
                <w:rFonts w:ascii="Times" w:hAnsi="Times" w:cs="Times"/>
                <w:sz w:val="20"/>
                <w:szCs w:val="20"/>
              </w:rPr>
            </w:pPr>
            <w:r>
              <w:rPr>
                <w:rFonts w:ascii="Times" w:hAnsi="Times" w:cs="Times"/>
                <w:sz w:val="20"/>
                <w:szCs w:val="20"/>
              </w:rPr>
              <w:t>Preskúmanie účinnosti a účelnosti navrhovaného predpisu bude vykonávané priebežne po nadobudnutí účinnosti.</w:t>
            </w:r>
          </w:p>
        </w:tc>
      </w:tr>
    </w:tbl>
    <w:p w:rsidR="00D14925" w:rsidP="00D14925">
      <w:pPr>
        <w:pStyle w:val="NormalWeb"/>
        <w:bidi w:val="0"/>
        <w:spacing w:before="0" w:beforeAutospacing="0" w:after="0" w:afterAutospacing="0"/>
        <w:rPr>
          <w:rFonts w:ascii="Times New Roman" w:hAnsi="Times New Roman"/>
          <w:bCs/>
          <w:sz w:val="22"/>
          <w:szCs w:val="22"/>
        </w:rPr>
      </w:pPr>
    </w:p>
    <w:p w:rsidR="00D14925" w:rsidRPr="00543B8E" w:rsidP="00D14925">
      <w:pPr>
        <w:bidi w:val="0"/>
        <w:ind w:left="142" w:hanging="142"/>
        <w:rPr>
          <w:sz w:val="20"/>
          <w:szCs w:val="20"/>
        </w:rPr>
      </w:pPr>
      <w:r w:rsidRPr="00543B8E">
        <w:rPr>
          <w:sz w:val="20"/>
          <w:szCs w:val="20"/>
        </w:rPr>
        <w:t xml:space="preserve">* vyplniť iba v prípade, ak materiál nie je zahrnutý do Plánu práce vlády Slovenskej republiky alebo Plánu        legislatívnych úloh vlády Slovenskej republiky. </w:t>
      </w:r>
    </w:p>
    <w:p w:rsidR="00D14925" w:rsidP="00D14925">
      <w:pPr>
        <w:pStyle w:val="NormalWeb"/>
        <w:bidi w:val="0"/>
        <w:spacing w:before="0" w:beforeAutospacing="0" w:after="0" w:afterAutospacing="0"/>
        <w:rPr>
          <w:rFonts w:ascii="Times New Roman" w:hAnsi="Times New Roman"/>
          <w:sz w:val="20"/>
          <w:szCs w:val="20"/>
        </w:rPr>
      </w:pPr>
      <w:r w:rsidRPr="00543B8E">
        <w:rPr>
          <w:rFonts w:ascii="Times New Roman" w:hAnsi="Times New Roman"/>
          <w:sz w:val="20"/>
          <w:szCs w:val="20"/>
        </w:rPr>
        <w:t>** nepovinné</w:t>
      </w:r>
    </w:p>
    <w:p w:rsidR="00D14925" w:rsidP="00D14925">
      <w:pPr>
        <w:pStyle w:val="NormalWeb"/>
        <w:bidi w:val="0"/>
        <w:spacing w:before="0" w:beforeAutospacing="0" w:after="0" w:afterAutospacing="0"/>
        <w:rPr>
          <w:rFonts w:ascii="Times New Roman" w:hAnsi="Times New Roman"/>
          <w:sz w:val="20"/>
          <w:szCs w:val="20"/>
        </w:rPr>
      </w:pPr>
    </w:p>
    <w:p w:rsidR="00D14925" w:rsidP="00D14925">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3634"/>
        <w:gridCol w:w="1818"/>
        <w:gridCol w:w="1818"/>
        <w:gridCol w:w="181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D14925" w:rsidP="00182CC2">
            <w:pPr>
              <w:bidi w:val="0"/>
              <w:rPr>
                <w:rFonts w:ascii="Times" w:hAnsi="Times" w:cs="Times"/>
                <w:b/>
                <w:bCs/>
                <w:sz w:val="20"/>
                <w:szCs w:val="20"/>
              </w:rPr>
            </w:pPr>
            <w:r>
              <w:rPr>
                <w:rFonts w:ascii="Times" w:hAnsi="Times" w:cs="Times"/>
                <w:b/>
                <w:bCs/>
                <w:sz w:val="20"/>
                <w:szCs w:val="20"/>
              </w:rPr>
              <w:t>  9.   Vplyvy navrhovaného materiálu</w:t>
            </w:r>
          </w:p>
        </w:tc>
      </w:tr>
      <w:tr>
        <w:tblPrEx>
          <w:tblW w:w="5000" w:type="pct"/>
          <w:jc w:val="center"/>
          <w:tblCellMar>
            <w:left w:w="0" w:type="dxa"/>
            <w:right w:w="0" w:type="dxa"/>
          </w:tblCellMar>
          <w:tblLook w:val="04A0"/>
        </w:tblPrEx>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D14925" w:rsidP="00182CC2">
            <w:pPr>
              <w:bidi w:val="0"/>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14925" w:rsidP="00182CC2">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14925" w:rsidP="00182CC2">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14925" w:rsidP="00182CC2">
            <w:pPr>
              <w:bidi w:val="0"/>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D14925" w:rsidP="00182CC2">
            <w:pPr>
              <w:bidi w:val="0"/>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14925" w:rsidP="00182CC2">
            <w:pPr>
              <w:bidi w:val="0"/>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14925" w:rsidP="00182CC2">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14925" w:rsidP="00182CC2">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Čiastočne</w:t>
            </w:r>
          </w:p>
        </w:tc>
      </w:tr>
      <w:tr>
        <w:tblPrEx>
          <w:tblW w:w="5000" w:type="pct"/>
          <w:jc w:val="center"/>
          <w:tblCellMar>
            <w:left w:w="0" w:type="dxa"/>
            <w:right w:w="0" w:type="dxa"/>
          </w:tblCellMar>
          <w:tblLook w:val="04A0"/>
        </w:tblPrEx>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D14925" w:rsidP="00182CC2">
            <w:pPr>
              <w:bidi w:val="0"/>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14925" w:rsidP="00182CC2">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14925" w:rsidP="00182CC2">
            <w:pPr>
              <w:bidi w:val="0"/>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14925" w:rsidP="00182CC2">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D14925" w:rsidP="00182CC2">
            <w:pPr>
              <w:bidi w:val="0"/>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14925" w:rsidP="00182CC2">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14925" w:rsidP="00182CC2">
            <w:pPr>
              <w:bidi w:val="0"/>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14925" w:rsidP="00182CC2">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D14925" w:rsidP="00182CC2">
            <w:pPr>
              <w:bidi w:val="0"/>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14925" w:rsidP="00182CC2">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14925" w:rsidP="00182CC2">
            <w:pPr>
              <w:bidi w:val="0"/>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14925" w:rsidP="00182CC2">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D14925" w:rsidP="00182CC2">
            <w:pPr>
              <w:bidi w:val="0"/>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14925" w:rsidP="00182CC2">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14925" w:rsidP="00182CC2">
            <w:pPr>
              <w:bidi w:val="0"/>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14925" w:rsidP="00182CC2">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D14925" w:rsidP="00182CC2">
            <w:pPr>
              <w:bidi w:val="0"/>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14925" w:rsidP="00182CC2">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14925" w:rsidP="00182CC2">
            <w:pPr>
              <w:bidi w:val="0"/>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14925" w:rsidP="00182CC2">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D14925" w:rsidP="00182CC2">
            <w:pPr>
              <w:bidi w:val="0"/>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br/>
              <w:t>    vplyvy na procesy služieb vo verejnej</w:t>
              <w:br/>
              <w:t>    správe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14925" w:rsidP="00182CC2">
            <w:pPr>
              <w:bidi w:val="0"/>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14925" w:rsidP="00182CC2">
            <w:pPr>
              <w:bidi w:val="0"/>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14925" w:rsidP="00182CC2">
            <w:pPr>
              <w:bidi w:val="0"/>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trHeight w:val="15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D14925" w:rsidP="00182CC2">
            <w:pPr>
              <w:bidi w:val="0"/>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14925" w:rsidP="00182CC2">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14925" w:rsidP="00182CC2">
            <w:pPr>
              <w:bidi w:val="0"/>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D14925" w:rsidP="00182CC2">
            <w:pPr>
              <w:bidi w:val="0"/>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p w:rsidR="00D14925" w:rsidP="00D14925">
      <w:pPr>
        <w:pStyle w:val="NormalWeb"/>
        <w:bidi w:val="0"/>
        <w:spacing w:before="0" w:beforeAutospacing="0" w:after="0" w:afterAutospacing="0"/>
        <w:rPr>
          <w:rFonts w:ascii="Times New Roman" w:hAnsi="Times New Roman"/>
          <w:sz w:val="20"/>
          <w:szCs w:val="20"/>
        </w:rPr>
      </w:pPr>
    </w:p>
    <w:p w:rsidR="00D14925" w:rsidP="00D14925">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08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D14925" w:rsidP="00182CC2">
            <w:pPr>
              <w:bidi w:val="0"/>
              <w:rPr>
                <w:rFonts w:ascii="Times" w:hAnsi="Times" w:cs="Times"/>
                <w:b/>
                <w:bCs/>
              </w:rPr>
            </w:pPr>
            <w:r>
              <w:rPr>
                <w:rFonts w:ascii="Times" w:hAnsi="Times" w:cs="Times"/>
                <w:b/>
                <w:bCs/>
              </w:rPr>
              <w:t>  10.  Poznámky</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D14925" w:rsidP="00182CC2">
            <w:pPr>
              <w:bidi w:val="0"/>
              <w:rPr>
                <w:rFonts w:ascii="Times" w:hAnsi="Times" w:cs="Times"/>
                <w:sz w:val="20"/>
                <w:szCs w:val="20"/>
              </w:rPr>
            </w:pPr>
            <w:r>
              <w:rPr>
                <w:rFonts w:ascii="Times" w:hAnsi="Times" w:cs="Times"/>
                <w:sz w:val="20"/>
                <w:szCs w:val="20"/>
              </w:rPr>
              <w:t>Materiál nemá v zmysle platnej metodiky vplyv na informatizáciu, nakoľko nezavádza nový informačný systém, ani novú elektronickú službu verejnej správy, ani nemení už existujúci informačný systém alebo službu. Rovnako vyššie uvedené platí aj pre vplyvy na životné prostredie, sociálne vplyvy a vplyvy na služby verejnej správy pre občana. Materiál nezavádza nové povinnosti, ani neovplyvňuje existujúce povinnosti orgánov verejnej moci a nemá vplyv na procesy služieb vo verejnej správe. Vo vzťahu k vplyvom na podnikateľské prostredie uvádzame, že návrh nezavádza nové povinnosti, nové služby, neovplyvňuje konkurencieschopnosť podnikov na trhu a nezavádza nové priame ani nepriame finančné náklady, či administratívne náklady, ktoré by bolo možné vyčísliť. Materiál vytvára priestor na poskytnutie dotácií v oblasti inovácií verejných služieb, zlepšenia informačnej gramotnosti občanov, zvýšenia analytických kapacít na trhu práce, ako aj na podporu realizácie inovatívnych projektov avšak tieto sa odvíjajú od obsahu vyhlásenej výzvy a následne víťazného projekt, ktorý získa dotáciu. Dotácie smerované na zabezpečenie cieľov Agendy 2030, ktoré majú ovplyvňovať životné prostredie, sociálnu oblasť a podnikateľské prostredia zlepšovaním konkurencieschopnosti, najmä využívaním inovácií rovnako tak nemožno v súčasnosti vyčísliť, nakoľko uznesením vlády SR č. 350 z 24. júla 2017 bolo podpredsedovi vlády SR pre investície a informatizáciu eštelen uložené v spolupráci s Radou vlády pre Agendu 2030 predložiť na rokovanie vlády SR "Návrh národných priorít implementácie Agendy 2030" teda vymedzenie konkrétnych oblastí Agendy 2030, ktorá bude vo vnútroštátnych podmienkach implementovaná prostredníctvom nasledujúcich krokov. V rámci konzultatívneho procesu zahrňujúceho vládu, samosprávy a odbornú verejnosť budú určené národné priority implementácie Agendy 2030, ktoré budú predložené vláde SR na schválenie do 31. mája 2018. Efektívna a úspešná implementácia Agendy 2030 si vyžaduje zainteresovanosť širokej škály aktérov, vrátane štátneho, súkromného, akademického a mimovládneho sektora, ako aj širokej verejnosti. Z tohto dôvodu nie je v tejto chvíli možné presne určiť prípadné vplyvy na životné prostredie alebo sociálne vplyvy.</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D14925" w:rsidP="00182CC2">
            <w:pPr>
              <w:bidi w:val="0"/>
              <w:rPr>
                <w:rFonts w:ascii="Times" w:hAnsi="Times" w:cs="Times"/>
                <w:b/>
                <w:bCs/>
              </w:rPr>
            </w:pPr>
            <w:r>
              <w:rPr>
                <w:rFonts w:ascii="Times" w:hAnsi="Times" w:cs="Times"/>
                <w:b/>
                <w:bCs/>
              </w:rPr>
              <w:t>  11.  Kontakt na spracovateľa</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D14925" w:rsidP="00182CC2">
            <w:pPr>
              <w:bidi w:val="0"/>
              <w:rPr>
                <w:rFonts w:ascii="Times" w:hAnsi="Times" w:cs="Times"/>
                <w:sz w:val="20"/>
                <w:szCs w:val="20"/>
              </w:rPr>
            </w:pPr>
            <w:r>
              <w:rPr>
                <w:rFonts w:ascii="Times" w:hAnsi="Times" w:cs="Times"/>
                <w:sz w:val="20"/>
                <w:szCs w:val="20"/>
              </w:rPr>
              <w:t>JUDr. Martin Semanco, vedúci oddelenia legislatívy, odbor legislatívno-právny, Úrad podpredsedu vlády SR pre investície a informatizáciu</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D14925" w:rsidP="00182CC2">
            <w:pPr>
              <w:bidi w:val="0"/>
              <w:rPr>
                <w:rFonts w:ascii="Times" w:hAnsi="Times" w:cs="Times"/>
                <w:b/>
                <w:bCs/>
              </w:rPr>
            </w:pPr>
            <w:r>
              <w:rPr>
                <w:rFonts w:ascii="Times" w:hAnsi="Times" w:cs="Times"/>
                <w:b/>
                <w:bCs/>
              </w:rPr>
              <w:t>  12.  Zdroje</w:t>
            </w:r>
          </w:p>
        </w:tc>
      </w:tr>
      <w:tr>
        <w:tblPrEx>
          <w:tblW w:w="5000" w:type="pct"/>
          <w:jc w:val="center"/>
          <w:tblCellMar>
            <w:left w:w="0" w:type="dxa"/>
            <w:right w:w="0" w:type="dxa"/>
          </w:tblCellMar>
          <w:tblLook w:val="04A0"/>
        </w:tblPrEx>
        <w:trPr>
          <w:trHeight w:val="6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D14925" w:rsidP="00182CC2">
            <w:pPr>
              <w:bidi w:val="0"/>
              <w:rPr>
                <w:rFonts w:ascii="Times" w:hAnsi="Times" w:cs="Times"/>
                <w:sz w:val="20"/>
                <w:szCs w:val="20"/>
              </w:rPr>
            </w:pPr>
            <w:r>
              <w:rPr>
                <w:rFonts w:ascii="Times" w:hAnsi="Times" w:cs="Times"/>
                <w:sz w:val="20"/>
                <w:szCs w:val="20"/>
              </w:rPr>
              <w:t>bezpredmetné</w:t>
            </w:r>
          </w:p>
        </w:tc>
      </w:tr>
      <w:tr>
        <w:tblPrEx>
          <w:tblW w:w="5000" w:type="pct"/>
          <w:jc w:val="center"/>
          <w:tblCellMar>
            <w:left w:w="0" w:type="dxa"/>
            <w:right w:w="0" w:type="dxa"/>
          </w:tblCellMar>
          <w:tblLook w:val="04A0"/>
        </w:tblPrEx>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D14925" w:rsidP="00182CC2">
            <w:pPr>
              <w:bidi w:val="0"/>
              <w:rPr>
                <w:rFonts w:ascii="Times" w:hAnsi="Times" w:cs="Times"/>
                <w:b/>
                <w:bCs/>
              </w:rPr>
            </w:pPr>
            <w:r>
              <w:rPr>
                <w:rFonts w:ascii="Times" w:hAnsi="Times" w:cs="Times"/>
                <w:b/>
                <w:bCs/>
              </w:rPr>
              <w:t>  13.  Stanovisko Komisie pre posudzovanie vybraných vplyvov z PPK</w:t>
            </w:r>
          </w:p>
        </w:tc>
      </w:tr>
      <w:tr>
        <w:tblPrEx>
          <w:tblW w:w="5000" w:type="pct"/>
          <w:jc w:val="center"/>
          <w:tblCellMar>
            <w:left w:w="0" w:type="dxa"/>
            <w:right w:w="0" w:type="dxa"/>
          </w:tblCellMar>
          <w:tblLook w:val="04A0"/>
        </w:tblPrEx>
        <w:trPr>
          <w:trHeight w:val="1200"/>
          <w:jc w:val="center"/>
        </w:trPr>
        <w:tc>
          <w:tcPr>
            <w:tcW w:w="250" w:type="pct"/>
            <w:tcBorders>
              <w:top w:val="outset" w:sz="6" w:space="0" w:color="000000"/>
              <w:left w:val="outset" w:sz="6" w:space="0" w:color="000000"/>
              <w:bottom w:val="outset" w:sz="6" w:space="0" w:color="000000"/>
              <w:right w:val="outset" w:sz="6" w:space="0" w:color="000000"/>
            </w:tcBorders>
            <w:textDirection w:val="lrTb"/>
            <w:vAlign w:val="top"/>
            <w:hideMark/>
          </w:tcPr>
          <w:p w:rsidR="00D14925" w:rsidP="00182CC2">
            <w:pPr>
              <w:bidi w:val="0"/>
              <w:rPr>
                <w:rFonts w:ascii="Times" w:hAnsi="Times" w:cs="Times"/>
                <w:sz w:val="20"/>
                <w:szCs w:val="20"/>
              </w:rPr>
            </w:pPr>
            <w:r>
              <w:rPr>
                <w:rFonts w:ascii="Times" w:hAnsi="Times" w:cs="Times"/>
                <w:sz w:val="20"/>
                <w:szCs w:val="20"/>
              </w:rPr>
              <w:t>V doložke vybraných vplyvov je uvedené, že návrh má negatívny vplyv na rozpočet verejnej správy, ktorý nie je rozpočtovo zabezpečený. V analýze vplyvov na rozpočet verejnej správy je tento nekrytý negatívny vplyv kvantifikovaný na rok 2018 vo výške 239 150 eur, na roky 2019 a 2020 každoročne vo výške 309 150 eur, z toho každoročne mzdy vo výške 21 600 eur v súvislosti s požiadavkou na zvýšenie počtu zamestnancov o 2. Uvedené vplyvy boli do doložky zapracované po medzirezortnom pripomienkovom konaní, pričom v rámci jeho vyhodnotenia je zásadná pripomienka MF SR, týkajúca sa dopracovania analýzy vplyvov na rozpočet verejnej správy s tým, že výdavky súvisiace s poskytovaním dotácií je potrebné zabezpečiť v rámci schválených limitov výdavkov kapitoly úradu na príslušný rozpočtový rok, uvedená ako akceptovaná. S týmto konštatovaním Komisia nemožné súhlasiť, keďže z doložky vyplýva rozpočtovo nekrytý vplyv. K navrhovanému krytiu v roku 2018 presunom rozpočtových prostriedkov z rezerv kapitoly MF SR Komisia uvádza, že v návrhu rozpočtu na roky 2018 až 2020 nie je na rok 2018 zabezpečená rezerva na riešenie navrhovaného zákona. Doložku Komisia žiada upraviť v zmysle zásadnej pripomienky MF SR uplatnenej v rámci medzirezortného pripomienkového konania tak, že vplyvy súvisiace s realizáciou návrhu zákona budú zabezpečené v rámci schválených limitov výdavkov a limitov počtu zamestnancov kapitoly úradu na príslušný rozpočtový rok. Súčasne Komisia upozorňuje na nesúlad údajov v tab. č. 1 a č. 4, v zmysle ktorých priemerný mzdový výdavok uvádzaný v tab. č. 4 nezodpovedá predkladateľom uvádzanej sume 1 800 eur (ide približne o priemerný osobný výdavok). Zároveň Komisia uvádza, že vo všetkých troch rokoch predkladateľ kvantifikuje osobné, resp. mzdové výdavky na rovnakej úrovni aj napriek tomu, že v roku 2018 sa účinnosť zákona navrhuje 1. 5. 2018.Komisia upozorňuje tiež, že v doložke nie sú uvedené výdavky v súvislosti s poskytovaním dotácií na pilotnú podporu projektov experimentálneho vývoja a inovácií pre budovanie inteligentných miest, ktoré sú zabezpečené v limitoch návrhu rozpočtu kapitoly úradu na roky 2018 až 2020.K doložke vybraných vplyvov. V bode 10. Poznámky predkladateľ konštatuje, že „V súčasnosti nie je možné odhadnúť, koľko projektov a s akým dopadom získa štátnu dotáciu, ani ich celkový dopad.....“ . Uvedené však nie je v súlade s bodom 2.2.2 analýzy vplyvov na rozpočet verejnej správy, na zamestnanosť vo verejnej správe a financovanie návrhu (ďalej len „analýzy vplyvov na rozpočet verejnej správy“) , z ktorého konkrétne vyplýva, aký projekt bude podporený v rokoch 2018 až 2020 formou dotácie z rozpočtu kapitoly Úradu podpredsedu vlády Slovenskej republiky pre investície a informatizáciu; i keď z predloženej analýzy vplyvov na rozpočet verejnej správy nie je zrejmé, či celý v tejto analýze predpokladaný objem dotácií poskytnutých z rozpočtu ÚPPVII v roku 2018 vo výške 210 000 Eur, v roku 2019 vo výške 280 000 Eur a v roku 2020 vo výške 280 000 Eur bude poskytnutý iba na tento projekt. S predloženým znením bodu 10. Poznámky doložky vybraných vplyvov je možné súhlasiť ako so všeobecným konštatovaním k vplyvom predloženého návrhu zákona, avšak Komisia považuje za potrebné ho doplniť a primerane upraviť aj v súvislosti s bodom 2.2.2 analýzy vplyvov na rozpočet verejnej správy. Zároveň v tejto súvislosti Komisia odporúča prehodnotiť sociálne vplyvy predloženého návrhu zákona; označiť pozitívne sociálne vplyvy, ktoré je potrebné zhodnotiť v bode 4.2 analýzy sociálnych vplyvov (zhodnotenie vplyvov navrhovanej právnej úpravy na prístup obyvateľstva k zdrojom, právam, tovarom a službám), keďže identifikovaním sociálnych vplyvov sa povinnou súčasťou predkladaného materiálu stáva analýza sociálnych vplyvov.</w:t>
            </w:r>
          </w:p>
        </w:tc>
      </w:tr>
    </w:tbl>
    <w:p w:rsidR="00D14925" w:rsidRPr="00543B8E" w:rsidP="00D14925">
      <w:pPr>
        <w:pStyle w:val="NormalWeb"/>
        <w:bidi w:val="0"/>
        <w:spacing w:before="0" w:beforeAutospacing="0" w:after="0" w:afterAutospacing="0"/>
        <w:rPr>
          <w:rFonts w:ascii="Times New Roman" w:hAnsi="Times New Roman"/>
          <w:bCs/>
          <w:sz w:val="20"/>
          <w:szCs w:val="20"/>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RPr="007D5748" w:rsidP="00D14925">
      <w:pPr>
        <w:bidi w:val="0"/>
        <w:spacing w:after="0" w:line="240" w:lineRule="auto"/>
        <w:jc w:val="center"/>
        <w:rPr>
          <w:rFonts w:ascii="Times New Roman" w:hAnsi="Times New Roman"/>
          <w:b/>
          <w:bCs/>
          <w:sz w:val="28"/>
          <w:szCs w:val="28"/>
          <w:lang w:eastAsia="sk-SK"/>
        </w:rPr>
      </w:pPr>
      <w:r w:rsidRPr="007D5748">
        <w:rPr>
          <w:rFonts w:ascii="Times New Roman" w:hAnsi="Times New Roman"/>
          <w:b/>
          <w:bCs/>
          <w:sz w:val="28"/>
          <w:szCs w:val="28"/>
          <w:lang w:eastAsia="sk-SK"/>
        </w:rPr>
        <w:t>Analýza vplyvov na rozpočet verejnej správy,</w:t>
      </w:r>
    </w:p>
    <w:p w:rsidR="00D14925" w:rsidRPr="007D5748" w:rsidP="00D14925">
      <w:pPr>
        <w:bidi w:val="0"/>
        <w:spacing w:after="0" w:line="240" w:lineRule="auto"/>
        <w:jc w:val="center"/>
        <w:rPr>
          <w:rFonts w:ascii="Times New Roman" w:hAnsi="Times New Roman"/>
          <w:b/>
          <w:bCs/>
          <w:sz w:val="28"/>
          <w:szCs w:val="28"/>
          <w:lang w:eastAsia="sk-SK"/>
        </w:rPr>
      </w:pPr>
      <w:r w:rsidRPr="007D5748">
        <w:rPr>
          <w:rFonts w:ascii="Times New Roman" w:hAnsi="Times New Roman"/>
          <w:b/>
          <w:bCs/>
          <w:sz w:val="28"/>
          <w:szCs w:val="28"/>
          <w:lang w:eastAsia="sk-SK"/>
        </w:rPr>
        <w:t>na zamestnanosť vo verejnej správe a financovanie návrhu</w:t>
      </w:r>
    </w:p>
    <w:p w:rsidR="00D14925" w:rsidRPr="00212894" w:rsidP="00D14925">
      <w:pPr>
        <w:bidi w:val="0"/>
        <w:spacing w:after="0" w:line="240" w:lineRule="auto"/>
        <w:jc w:val="right"/>
        <w:rPr>
          <w:rFonts w:ascii="Times New Roman" w:hAnsi="Times New Roman"/>
          <w:b/>
          <w:bCs/>
          <w:sz w:val="24"/>
          <w:szCs w:val="24"/>
          <w:lang w:eastAsia="sk-SK"/>
        </w:rPr>
      </w:pPr>
    </w:p>
    <w:p w:rsidR="00D14925" w:rsidP="00D14925">
      <w:pPr>
        <w:bidi w:val="0"/>
        <w:spacing w:after="0" w:line="240" w:lineRule="auto"/>
        <w:rPr>
          <w:rFonts w:ascii="Times New Roman" w:hAnsi="Times New Roman"/>
          <w:b/>
          <w:bCs/>
          <w:sz w:val="24"/>
          <w:szCs w:val="24"/>
          <w:lang w:eastAsia="sk-SK"/>
        </w:rPr>
      </w:pPr>
    </w:p>
    <w:p w:rsidR="00D14925" w:rsidRPr="00212894" w:rsidP="00D14925">
      <w:pPr>
        <w:bidi w:val="0"/>
        <w:spacing w:after="0" w:line="240" w:lineRule="auto"/>
        <w:rPr>
          <w:rFonts w:ascii="Times New Roman" w:hAnsi="Times New Roman"/>
          <w:b/>
          <w:bCs/>
          <w:sz w:val="24"/>
          <w:szCs w:val="24"/>
          <w:lang w:eastAsia="sk-SK"/>
        </w:rPr>
      </w:pPr>
      <w:r w:rsidRPr="00212894">
        <w:rPr>
          <w:rFonts w:ascii="Times New Roman" w:hAnsi="Times New Roman"/>
          <w:b/>
          <w:bCs/>
          <w:sz w:val="24"/>
          <w:szCs w:val="24"/>
          <w:lang w:eastAsia="sk-SK"/>
        </w:rPr>
        <w:t>2.1 Zhrnutie vplyvov na rozpočet verejnej správy v návrhu</w:t>
      </w:r>
    </w:p>
    <w:p w:rsidR="00D14925" w:rsidP="00D14925">
      <w:pPr>
        <w:bidi w:val="0"/>
        <w:spacing w:after="0" w:line="240" w:lineRule="auto"/>
        <w:jc w:val="right"/>
        <w:rPr>
          <w:rFonts w:ascii="Times New Roman" w:hAnsi="Times New Roman"/>
          <w:sz w:val="20"/>
          <w:szCs w:val="20"/>
          <w:lang w:eastAsia="sk-SK"/>
        </w:rPr>
      </w:pPr>
    </w:p>
    <w:p w:rsidR="00D14925" w:rsidRPr="007D5748" w:rsidP="00D14925">
      <w:pPr>
        <w:bidi w:val="0"/>
        <w:spacing w:after="0" w:line="240" w:lineRule="auto"/>
        <w:jc w:val="right"/>
        <w:rPr>
          <w:rFonts w:ascii="Times New Roman" w:hAnsi="Times New Roman"/>
          <w:sz w:val="20"/>
          <w:szCs w:val="20"/>
          <w:lang w:eastAsia="sk-SK"/>
        </w:rPr>
      </w:pPr>
      <w:r w:rsidRPr="007D5748">
        <w:rPr>
          <w:rFonts w:ascii="Times New Roman" w:hAnsi="Times New Roman"/>
          <w:sz w:val="20"/>
          <w:szCs w:val="20"/>
          <w:lang w:eastAsia="sk-SK"/>
        </w:rPr>
        <w:t xml:space="preserve">Tabuľka č. 1 </w:t>
      </w:r>
    </w:p>
    <w:tbl>
      <w:tblPr>
        <w:tblStyle w:val="TableNormal"/>
        <w:tblW w:w="9493" w:type="dxa"/>
        <w:tblCellMar>
          <w:left w:w="0" w:type="dxa"/>
          <w:right w:w="0" w:type="dxa"/>
        </w:tblCellMar>
        <w:tblLook w:val="04A0"/>
      </w:tblPr>
      <w:tblGrid>
        <w:gridCol w:w="5151"/>
        <w:gridCol w:w="1057"/>
        <w:gridCol w:w="1097"/>
        <w:gridCol w:w="1040"/>
        <w:gridCol w:w="1148"/>
      </w:tblGrid>
      <w:tr>
        <w:tblPrEx>
          <w:tblW w:w="9493" w:type="dxa"/>
          <w:tblCellMar>
            <w:left w:w="0" w:type="dxa"/>
            <w:right w:w="0" w:type="dxa"/>
          </w:tblCellMar>
          <w:tblLook w:val="04A0"/>
        </w:tblPrEx>
        <w:trPr>
          <w:trHeight w:val="1032"/>
        </w:trPr>
        <w:tc>
          <w:tcPr>
            <w:tcW w:w="5151" w:type="dxa"/>
            <w:vMerge w:val="restart"/>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extDirection w:val="lrTb"/>
            <w:vAlign w:val="center"/>
            <w:hideMark/>
          </w:tcPr>
          <w:p w:rsidR="00D14925" w:rsidRPr="000E6BC7" w:rsidP="00182CC2">
            <w:pPr>
              <w:bidi w:val="0"/>
              <w:spacing w:after="0" w:line="240" w:lineRule="auto"/>
              <w:jc w:val="center"/>
              <w:rPr>
                <w:rFonts w:ascii="Times New Roman" w:hAnsi="Times New Roman"/>
                <w:sz w:val="24"/>
                <w:szCs w:val="24"/>
                <w:lang w:eastAsia="sk-SK"/>
              </w:rPr>
            </w:pPr>
            <w:r w:rsidRPr="000E6BC7">
              <w:rPr>
                <w:rFonts w:ascii="Times New Roman" w:hAnsi="Times New Roman"/>
                <w:b/>
                <w:bCs/>
                <w:sz w:val="20"/>
                <w:szCs w:val="20"/>
                <w:lang w:eastAsia="sk-SK"/>
              </w:rPr>
              <w:t>Vplyvy na rozpočet verejnej správy</w:t>
            </w:r>
          </w:p>
        </w:tc>
        <w:tc>
          <w:tcPr>
            <w:tcW w:w="4342" w:type="dxa"/>
            <w:gridSpan w:val="4"/>
            <w:tcBorders>
              <w:top w:val="single" w:sz="4" w:space="0" w:color="000000"/>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center"/>
            <w:hideMark/>
          </w:tcPr>
          <w:p w:rsidR="00D14925" w:rsidRPr="000E6BC7" w:rsidP="00182CC2">
            <w:pPr>
              <w:bidi w:val="0"/>
              <w:spacing w:after="0" w:line="240" w:lineRule="auto"/>
              <w:jc w:val="center"/>
              <w:rPr>
                <w:rFonts w:ascii="Times New Roman" w:hAnsi="Times New Roman"/>
                <w:sz w:val="24"/>
                <w:szCs w:val="24"/>
                <w:lang w:eastAsia="sk-SK"/>
              </w:rPr>
            </w:pPr>
            <w:r w:rsidRPr="000E6BC7">
              <w:rPr>
                <w:rFonts w:ascii="Times New Roman" w:hAnsi="Times New Roman"/>
                <w:b/>
                <w:bCs/>
                <w:sz w:val="20"/>
                <w:szCs w:val="20"/>
                <w:lang w:eastAsia="sk-SK"/>
              </w:rPr>
              <w:t>Vplyv na rozpočet verejnej správy (v eurách)</w:t>
            </w:r>
          </w:p>
        </w:tc>
      </w:tr>
      <w:tr>
        <w:tblPrEx>
          <w:tblW w:w="9493" w:type="dxa"/>
          <w:tblCellMar>
            <w:left w:w="0" w:type="dxa"/>
            <w:right w:w="0" w:type="dxa"/>
          </w:tblCellMar>
          <w:tblLook w:val="04A0"/>
        </w:tblPrEx>
        <w:trPr>
          <w:trHeight w:val="255"/>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hideMark/>
          </w:tcPr>
          <w:p w:rsidR="00D14925" w:rsidRPr="000E6BC7" w:rsidP="00182CC2">
            <w:pPr>
              <w:bidi w:val="0"/>
              <w:spacing w:after="0" w:line="240" w:lineRule="auto"/>
              <w:rPr>
                <w:rFonts w:ascii="Times New Roman" w:hAnsi="Times New Roman"/>
                <w:sz w:val="24"/>
                <w:szCs w:val="24"/>
                <w:lang w:eastAsia="sk-SK"/>
              </w:rPr>
            </w:pPr>
          </w:p>
        </w:tc>
        <w:tc>
          <w:tcPr>
            <w:tcW w:w="1057" w:type="dxa"/>
            <w:tcBorders>
              <w:top w:val="none" w:sz="0" w:space="0" w:color="auto"/>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center"/>
            <w:hideMark/>
          </w:tcPr>
          <w:p w:rsidR="00D14925" w:rsidRPr="000E6BC7" w:rsidP="00182CC2">
            <w:pPr>
              <w:bidi w:val="0"/>
              <w:spacing w:after="0" w:line="240" w:lineRule="auto"/>
              <w:jc w:val="center"/>
              <w:rPr>
                <w:rFonts w:ascii="Times New Roman" w:hAnsi="Times New Roman"/>
                <w:sz w:val="24"/>
                <w:szCs w:val="24"/>
                <w:lang w:eastAsia="sk-SK"/>
              </w:rPr>
            </w:pPr>
            <w:r w:rsidRPr="000E6BC7">
              <w:rPr>
                <w:rFonts w:ascii="Times New Roman" w:hAnsi="Times New Roman"/>
                <w:b/>
                <w:bCs/>
                <w:sz w:val="20"/>
                <w:szCs w:val="20"/>
                <w:lang w:eastAsia="sk-SK"/>
              </w:rPr>
              <w:t>2017</w:t>
            </w:r>
          </w:p>
        </w:tc>
        <w:tc>
          <w:tcPr>
            <w:tcW w:w="1097" w:type="dxa"/>
            <w:tcBorders>
              <w:top w:val="none" w:sz="0" w:space="0" w:color="auto"/>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center"/>
            <w:hideMark/>
          </w:tcPr>
          <w:p w:rsidR="00D14925" w:rsidRPr="000E6BC7" w:rsidP="00182CC2">
            <w:pPr>
              <w:bidi w:val="0"/>
              <w:spacing w:after="0" w:line="240" w:lineRule="auto"/>
              <w:jc w:val="center"/>
              <w:rPr>
                <w:rFonts w:ascii="Times New Roman" w:hAnsi="Times New Roman"/>
                <w:sz w:val="24"/>
                <w:szCs w:val="24"/>
                <w:lang w:eastAsia="sk-SK"/>
              </w:rPr>
            </w:pPr>
            <w:r w:rsidRPr="000E6BC7">
              <w:rPr>
                <w:rFonts w:ascii="Times New Roman" w:hAnsi="Times New Roman"/>
                <w:b/>
                <w:bCs/>
                <w:sz w:val="20"/>
                <w:szCs w:val="20"/>
                <w:lang w:eastAsia="sk-SK"/>
              </w:rPr>
              <w:t>2018</w:t>
            </w:r>
          </w:p>
        </w:tc>
        <w:tc>
          <w:tcPr>
            <w:tcW w:w="1040" w:type="dxa"/>
            <w:tcBorders>
              <w:top w:val="none" w:sz="0" w:space="0" w:color="auto"/>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center"/>
            <w:hideMark/>
          </w:tcPr>
          <w:p w:rsidR="00D14925" w:rsidRPr="000E6BC7" w:rsidP="00182CC2">
            <w:pPr>
              <w:bidi w:val="0"/>
              <w:spacing w:after="0" w:line="240" w:lineRule="auto"/>
              <w:jc w:val="center"/>
              <w:rPr>
                <w:rFonts w:ascii="Times New Roman" w:hAnsi="Times New Roman"/>
                <w:sz w:val="24"/>
                <w:szCs w:val="24"/>
                <w:lang w:eastAsia="sk-SK"/>
              </w:rPr>
            </w:pPr>
            <w:r w:rsidRPr="000E6BC7">
              <w:rPr>
                <w:rFonts w:ascii="Times New Roman" w:hAnsi="Times New Roman"/>
                <w:b/>
                <w:bCs/>
                <w:sz w:val="20"/>
                <w:szCs w:val="20"/>
                <w:lang w:eastAsia="sk-SK"/>
              </w:rPr>
              <w:t>2019</w:t>
            </w:r>
          </w:p>
        </w:tc>
        <w:tc>
          <w:tcPr>
            <w:tcW w:w="1148" w:type="dxa"/>
            <w:tcBorders>
              <w:top w:val="none" w:sz="0" w:space="0" w:color="auto"/>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center"/>
            <w:hideMark/>
          </w:tcPr>
          <w:p w:rsidR="00D14925" w:rsidRPr="000E6BC7" w:rsidP="00182CC2">
            <w:pPr>
              <w:bidi w:val="0"/>
              <w:spacing w:after="0" w:line="240" w:lineRule="auto"/>
              <w:jc w:val="center"/>
              <w:rPr>
                <w:rFonts w:ascii="Times New Roman" w:hAnsi="Times New Roman"/>
                <w:sz w:val="24"/>
                <w:szCs w:val="24"/>
                <w:lang w:eastAsia="sk-SK"/>
              </w:rPr>
            </w:pPr>
            <w:r w:rsidRPr="000E6BC7">
              <w:rPr>
                <w:rFonts w:ascii="Times New Roman" w:hAnsi="Times New Roman"/>
                <w:b/>
                <w:bCs/>
                <w:sz w:val="20"/>
                <w:szCs w:val="20"/>
                <w:lang w:eastAsia="sk-SK"/>
              </w:rPr>
              <w:t>2020</w:t>
            </w:r>
          </w:p>
        </w:tc>
      </w:tr>
      <w:tr>
        <w:tblPrEx>
          <w:tblW w:w="9493" w:type="dxa"/>
          <w:tblCellMar>
            <w:left w:w="0" w:type="dxa"/>
            <w:right w:w="0" w:type="dxa"/>
          </w:tblCellMar>
          <w:tblLook w:val="04A0"/>
        </w:tblPrEx>
        <w:trPr>
          <w:trHeight w:val="255"/>
        </w:trPr>
        <w:tc>
          <w:tcPr>
            <w:tcW w:w="5151" w:type="dxa"/>
            <w:tcBorders>
              <w:top w:val="none" w:sz="0" w:space="0" w:color="auto"/>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D14925" w:rsidRPr="000E6BC7" w:rsidP="00182CC2">
            <w:pPr>
              <w:bidi w:val="0"/>
              <w:spacing w:after="0" w:line="240" w:lineRule="auto"/>
              <w:rPr>
                <w:rFonts w:ascii="Times New Roman" w:hAnsi="Times New Roman"/>
                <w:sz w:val="24"/>
                <w:szCs w:val="24"/>
                <w:lang w:eastAsia="sk-SK"/>
              </w:rPr>
            </w:pPr>
            <w:r w:rsidRPr="000E6BC7">
              <w:rPr>
                <w:rFonts w:ascii="Times New Roman" w:hAnsi="Times New Roman"/>
                <w:b/>
                <w:bCs/>
                <w:sz w:val="20"/>
                <w:szCs w:val="20"/>
                <w:lang w:eastAsia="sk-SK"/>
              </w:rPr>
              <w:t>Príjmy verejnej správy celkom</w:t>
            </w:r>
          </w:p>
        </w:tc>
        <w:tc>
          <w:tcPr>
            <w:tcW w:w="1057" w:type="dxa"/>
            <w:tcBorders>
              <w:top w:val="none" w:sz="0" w:space="0" w:color="auto"/>
              <w:left w:val="none" w:sz="0" w:space="0" w:color="auto"/>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Pr>
                <w:rFonts w:ascii="Times New Roman" w:hAnsi="Times New Roman"/>
                <w:b/>
                <w:bCs/>
                <w:sz w:val="20"/>
                <w:szCs w:val="20"/>
                <w:lang w:eastAsia="sk-SK"/>
              </w:rPr>
              <w:t>0</w:t>
            </w:r>
          </w:p>
        </w:tc>
        <w:tc>
          <w:tcPr>
            <w:tcW w:w="1097" w:type="dxa"/>
            <w:tcBorders>
              <w:top w:val="none" w:sz="0" w:space="0" w:color="auto"/>
              <w:left w:val="none" w:sz="0" w:space="0" w:color="auto"/>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Pr>
                <w:rFonts w:ascii="Times New Roman" w:hAnsi="Times New Roman"/>
                <w:b/>
                <w:bCs/>
                <w:sz w:val="20"/>
                <w:szCs w:val="20"/>
                <w:lang w:eastAsia="sk-SK"/>
              </w:rPr>
              <w:t>0</w:t>
            </w:r>
          </w:p>
        </w:tc>
        <w:tc>
          <w:tcPr>
            <w:tcW w:w="1040" w:type="dxa"/>
            <w:tcBorders>
              <w:top w:val="none" w:sz="0" w:space="0" w:color="auto"/>
              <w:left w:val="none" w:sz="0" w:space="0" w:color="auto"/>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Pr>
                <w:rFonts w:ascii="Times New Roman" w:hAnsi="Times New Roman"/>
                <w:b/>
                <w:bCs/>
                <w:sz w:val="20"/>
                <w:szCs w:val="20"/>
                <w:lang w:eastAsia="sk-SK"/>
              </w:rPr>
              <w:t>0</w:t>
            </w:r>
          </w:p>
        </w:tc>
        <w:tc>
          <w:tcPr>
            <w:tcW w:w="1148" w:type="dxa"/>
            <w:tcBorders>
              <w:top w:val="none" w:sz="0" w:space="0" w:color="auto"/>
              <w:left w:val="none" w:sz="0" w:space="0" w:color="auto"/>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Pr>
                <w:rFonts w:ascii="Times New Roman" w:hAnsi="Times New Roman"/>
                <w:b/>
                <w:bCs/>
                <w:sz w:val="20"/>
                <w:szCs w:val="20"/>
                <w:lang w:eastAsia="sk-SK"/>
              </w:rPr>
              <w:t>0</w:t>
            </w:r>
          </w:p>
        </w:tc>
      </w:tr>
      <w:tr>
        <w:tblPrEx>
          <w:tblW w:w="9493" w:type="dxa"/>
          <w:tblCellMar>
            <w:left w:w="0" w:type="dxa"/>
            <w:right w:w="0" w:type="dxa"/>
          </w:tblCellMar>
          <w:tblLook w:val="04A0"/>
        </w:tblPrEx>
        <w:trPr>
          <w:trHeight w:val="255"/>
        </w:trPr>
        <w:tc>
          <w:tcPr>
            <w:tcW w:w="5151"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rPr>
                <w:rFonts w:ascii="Times New Roman" w:hAnsi="Times New Roman"/>
                <w:sz w:val="24"/>
                <w:szCs w:val="24"/>
                <w:lang w:eastAsia="sk-SK"/>
              </w:rPr>
            </w:pPr>
            <w:r w:rsidRPr="000E6BC7">
              <w:rPr>
                <w:rFonts w:ascii="Times New Roman" w:hAnsi="Times New Roman"/>
                <w:sz w:val="20"/>
                <w:szCs w:val="20"/>
                <w:lang w:eastAsia="sk-SK"/>
              </w:rPr>
              <w:t>v tom: za každý subjekt verejnej správy zvlášť</w:t>
            </w:r>
          </w:p>
        </w:tc>
        <w:tc>
          <w:tcPr>
            <w:tcW w:w="105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sz w:val="20"/>
                <w:szCs w:val="20"/>
                <w:lang w:eastAsia="sk-SK"/>
              </w:rPr>
              <w:t> </w:t>
            </w:r>
          </w:p>
        </w:tc>
        <w:tc>
          <w:tcPr>
            <w:tcW w:w="109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sz w:val="20"/>
                <w:szCs w:val="20"/>
                <w:lang w:eastAsia="sk-SK"/>
              </w:rPr>
              <w:t> </w:t>
            </w:r>
          </w:p>
        </w:tc>
        <w:tc>
          <w:tcPr>
            <w:tcW w:w="10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sz w:val="20"/>
                <w:szCs w:val="20"/>
                <w:lang w:eastAsia="sk-SK"/>
              </w:rPr>
              <w:t> </w:t>
            </w:r>
          </w:p>
        </w:tc>
        <w:tc>
          <w:tcPr>
            <w:tcW w:w="114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sz w:val="20"/>
                <w:szCs w:val="20"/>
                <w:lang w:eastAsia="sk-SK"/>
              </w:rPr>
              <w:t> </w:t>
            </w:r>
          </w:p>
        </w:tc>
      </w:tr>
      <w:tr>
        <w:tblPrEx>
          <w:tblW w:w="9493" w:type="dxa"/>
          <w:tblCellMar>
            <w:left w:w="0" w:type="dxa"/>
            <w:right w:w="0" w:type="dxa"/>
          </w:tblCellMar>
          <w:tblLook w:val="04A0"/>
        </w:tblPrEx>
        <w:trPr>
          <w:trHeight w:val="270"/>
        </w:trPr>
        <w:tc>
          <w:tcPr>
            <w:tcW w:w="5151"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rPr>
                <w:rFonts w:ascii="Times New Roman" w:hAnsi="Times New Roman"/>
                <w:sz w:val="24"/>
                <w:szCs w:val="24"/>
                <w:lang w:eastAsia="sk-SK"/>
              </w:rPr>
            </w:pPr>
            <w:r w:rsidRPr="000E6BC7">
              <w:rPr>
                <w:rFonts w:ascii="Times New Roman" w:hAnsi="Times New Roman"/>
                <w:b/>
                <w:bCs/>
                <w:i/>
                <w:iCs/>
                <w:sz w:val="20"/>
                <w:szCs w:val="20"/>
                <w:lang w:eastAsia="sk-SK"/>
              </w:rPr>
              <w:t xml:space="preserve">z toho:  </w:t>
            </w:r>
          </w:p>
        </w:tc>
        <w:tc>
          <w:tcPr>
            <w:tcW w:w="105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b/>
                <w:bCs/>
                <w:sz w:val="20"/>
                <w:szCs w:val="20"/>
                <w:lang w:eastAsia="sk-SK"/>
              </w:rPr>
              <w:t> </w:t>
            </w:r>
          </w:p>
        </w:tc>
        <w:tc>
          <w:tcPr>
            <w:tcW w:w="109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b/>
                <w:bCs/>
                <w:sz w:val="20"/>
                <w:szCs w:val="20"/>
                <w:lang w:eastAsia="sk-SK"/>
              </w:rPr>
              <w:t> </w:t>
            </w:r>
          </w:p>
        </w:tc>
        <w:tc>
          <w:tcPr>
            <w:tcW w:w="10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b/>
                <w:bCs/>
                <w:sz w:val="20"/>
                <w:szCs w:val="20"/>
                <w:lang w:eastAsia="sk-SK"/>
              </w:rPr>
              <w:t> </w:t>
            </w:r>
          </w:p>
        </w:tc>
        <w:tc>
          <w:tcPr>
            <w:tcW w:w="114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b/>
                <w:bCs/>
                <w:sz w:val="20"/>
                <w:szCs w:val="20"/>
                <w:lang w:eastAsia="sk-SK"/>
              </w:rPr>
              <w:t> </w:t>
            </w:r>
          </w:p>
        </w:tc>
      </w:tr>
      <w:tr>
        <w:tblPrEx>
          <w:tblW w:w="9493" w:type="dxa"/>
          <w:tblCellMar>
            <w:left w:w="0" w:type="dxa"/>
            <w:right w:w="0" w:type="dxa"/>
          </w:tblCellMar>
          <w:tblLook w:val="04A0"/>
        </w:tblPrEx>
        <w:trPr>
          <w:trHeight w:val="270"/>
        </w:trPr>
        <w:tc>
          <w:tcPr>
            <w:tcW w:w="5151"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rPr>
                <w:rFonts w:ascii="Times New Roman" w:hAnsi="Times New Roman"/>
                <w:sz w:val="24"/>
                <w:szCs w:val="24"/>
                <w:lang w:eastAsia="sk-SK"/>
              </w:rPr>
            </w:pPr>
            <w:r w:rsidRPr="000E6BC7">
              <w:rPr>
                <w:rFonts w:ascii="Times New Roman" w:hAnsi="Times New Roman"/>
                <w:b/>
                <w:bCs/>
                <w:i/>
                <w:iCs/>
                <w:sz w:val="20"/>
                <w:szCs w:val="20"/>
                <w:lang w:eastAsia="sk-SK"/>
              </w:rPr>
              <w:t>- vplyv na ŠR</w:t>
            </w:r>
          </w:p>
        </w:tc>
        <w:tc>
          <w:tcPr>
            <w:tcW w:w="105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Pr>
                <w:rFonts w:ascii="Times New Roman" w:hAnsi="Times New Roman"/>
                <w:b/>
                <w:bCs/>
                <w:sz w:val="20"/>
                <w:szCs w:val="20"/>
                <w:lang w:eastAsia="sk-SK"/>
              </w:rPr>
              <w:t>0</w:t>
            </w:r>
          </w:p>
        </w:tc>
        <w:tc>
          <w:tcPr>
            <w:tcW w:w="109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Pr>
                <w:rFonts w:ascii="Times New Roman" w:hAnsi="Times New Roman"/>
                <w:b/>
                <w:bCs/>
                <w:sz w:val="20"/>
                <w:szCs w:val="20"/>
                <w:lang w:eastAsia="sk-SK"/>
              </w:rPr>
              <w:t>0</w:t>
            </w:r>
          </w:p>
        </w:tc>
        <w:tc>
          <w:tcPr>
            <w:tcW w:w="10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Pr>
                <w:rFonts w:ascii="Times New Roman" w:hAnsi="Times New Roman"/>
                <w:b/>
                <w:bCs/>
                <w:sz w:val="20"/>
                <w:szCs w:val="20"/>
                <w:lang w:eastAsia="sk-SK"/>
              </w:rPr>
              <w:t>0</w:t>
            </w:r>
          </w:p>
        </w:tc>
        <w:tc>
          <w:tcPr>
            <w:tcW w:w="114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Pr>
                <w:rFonts w:ascii="Times New Roman" w:hAnsi="Times New Roman"/>
                <w:b/>
                <w:bCs/>
                <w:sz w:val="20"/>
                <w:szCs w:val="20"/>
                <w:lang w:eastAsia="sk-SK"/>
              </w:rPr>
              <w:t>0</w:t>
            </w:r>
          </w:p>
        </w:tc>
      </w:tr>
      <w:tr>
        <w:tblPrEx>
          <w:tblW w:w="9493" w:type="dxa"/>
          <w:tblCellMar>
            <w:left w:w="0" w:type="dxa"/>
            <w:right w:w="0" w:type="dxa"/>
          </w:tblCellMar>
          <w:tblLook w:val="04A0"/>
        </w:tblPrEx>
        <w:trPr>
          <w:trHeight w:val="270"/>
        </w:trPr>
        <w:tc>
          <w:tcPr>
            <w:tcW w:w="5151"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rPr>
                <w:rFonts w:ascii="Times New Roman" w:hAnsi="Times New Roman"/>
                <w:sz w:val="24"/>
                <w:szCs w:val="24"/>
                <w:lang w:eastAsia="sk-SK"/>
              </w:rPr>
            </w:pPr>
            <w:r w:rsidRPr="000E6BC7">
              <w:rPr>
                <w:rFonts w:ascii="Times New Roman" w:hAnsi="Times New Roman"/>
                <w:b/>
                <w:bCs/>
                <w:i/>
                <w:iCs/>
                <w:sz w:val="20"/>
                <w:szCs w:val="20"/>
                <w:lang w:eastAsia="sk-SK"/>
              </w:rPr>
              <w:t>- vplyv na obce</w:t>
            </w:r>
          </w:p>
        </w:tc>
        <w:tc>
          <w:tcPr>
            <w:tcW w:w="105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Pr>
                <w:rFonts w:ascii="Times New Roman" w:hAnsi="Times New Roman"/>
                <w:b/>
                <w:bCs/>
                <w:sz w:val="20"/>
                <w:szCs w:val="20"/>
                <w:lang w:eastAsia="sk-SK"/>
              </w:rPr>
              <w:t>0</w:t>
            </w:r>
          </w:p>
        </w:tc>
        <w:tc>
          <w:tcPr>
            <w:tcW w:w="109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Pr>
                <w:rFonts w:ascii="Times New Roman" w:hAnsi="Times New Roman"/>
                <w:b/>
                <w:bCs/>
                <w:sz w:val="20"/>
                <w:szCs w:val="20"/>
                <w:lang w:eastAsia="sk-SK"/>
              </w:rPr>
              <w:t>0</w:t>
            </w:r>
          </w:p>
        </w:tc>
        <w:tc>
          <w:tcPr>
            <w:tcW w:w="10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Pr>
                <w:rFonts w:ascii="Times New Roman" w:hAnsi="Times New Roman"/>
                <w:b/>
                <w:bCs/>
                <w:sz w:val="20"/>
                <w:szCs w:val="20"/>
                <w:lang w:eastAsia="sk-SK"/>
              </w:rPr>
              <w:t>0</w:t>
            </w:r>
          </w:p>
        </w:tc>
        <w:tc>
          <w:tcPr>
            <w:tcW w:w="114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Pr>
                <w:rFonts w:ascii="Times New Roman" w:hAnsi="Times New Roman"/>
                <w:b/>
                <w:bCs/>
                <w:sz w:val="20"/>
                <w:szCs w:val="20"/>
                <w:lang w:eastAsia="sk-SK"/>
              </w:rPr>
              <w:t>0</w:t>
            </w:r>
          </w:p>
        </w:tc>
      </w:tr>
      <w:tr>
        <w:tblPrEx>
          <w:tblW w:w="9493" w:type="dxa"/>
          <w:tblCellMar>
            <w:left w:w="0" w:type="dxa"/>
            <w:right w:w="0" w:type="dxa"/>
          </w:tblCellMar>
          <w:tblLook w:val="04A0"/>
        </w:tblPrEx>
        <w:trPr>
          <w:trHeight w:val="270"/>
        </w:trPr>
        <w:tc>
          <w:tcPr>
            <w:tcW w:w="5151"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rPr>
                <w:rFonts w:ascii="Times New Roman" w:hAnsi="Times New Roman"/>
                <w:sz w:val="24"/>
                <w:szCs w:val="24"/>
                <w:lang w:eastAsia="sk-SK"/>
              </w:rPr>
            </w:pPr>
            <w:r w:rsidRPr="000E6BC7">
              <w:rPr>
                <w:rFonts w:ascii="Times New Roman" w:hAnsi="Times New Roman"/>
                <w:b/>
                <w:bCs/>
                <w:i/>
                <w:iCs/>
                <w:sz w:val="20"/>
                <w:szCs w:val="20"/>
                <w:lang w:eastAsia="sk-SK"/>
              </w:rPr>
              <w:t>- vplyv na vyššie územné celky</w:t>
            </w:r>
          </w:p>
        </w:tc>
        <w:tc>
          <w:tcPr>
            <w:tcW w:w="105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Pr>
                <w:rFonts w:ascii="Times New Roman" w:hAnsi="Times New Roman"/>
                <w:b/>
                <w:bCs/>
                <w:sz w:val="20"/>
                <w:szCs w:val="20"/>
                <w:lang w:eastAsia="sk-SK"/>
              </w:rPr>
              <w:t>0</w:t>
            </w:r>
          </w:p>
        </w:tc>
        <w:tc>
          <w:tcPr>
            <w:tcW w:w="109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Pr>
                <w:rFonts w:ascii="Times New Roman" w:hAnsi="Times New Roman"/>
                <w:b/>
                <w:bCs/>
                <w:sz w:val="20"/>
                <w:szCs w:val="20"/>
                <w:lang w:eastAsia="sk-SK"/>
              </w:rPr>
              <w:t>0</w:t>
            </w:r>
          </w:p>
        </w:tc>
        <w:tc>
          <w:tcPr>
            <w:tcW w:w="10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Pr>
                <w:rFonts w:ascii="Times New Roman" w:hAnsi="Times New Roman"/>
                <w:b/>
                <w:bCs/>
                <w:sz w:val="20"/>
                <w:szCs w:val="20"/>
                <w:lang w:eastAsia="sk-SK"/>
              </w:rPr>
              <w:t>0</w:t>
            </w:r>
          </w:p>
        </w:tc>
        <w:tc>
          <w:tcPr>
            <w:tcW w:w="114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Pr>
                <w:rFonts w:ascii="Times New Roman" w:hAnsi="Times New Roman"/>
                <w:b/>
                <w:bCs/>
                <w:sz w:val="20"/>
                <w:szCs w:val="20"/>
                <w:lang w:eastAsia="sk-SK"/>
              </w:rPr>
              <w:t>0</w:t>
            </w:r>
          </w:p>
        </w:tc>
      </w:tr>
      <w:tr>
        <w:tblPrEx>
          <w:tblW w:w="9493" w:type="dxa"/>
          <w:tblCellMar>
            <w:left w:w="0" w:type="dxa"/>
            <w:right w:w="0" w:type="dxa"/>
          </w:tblCellMar>
          <w:tblLook w:val="04A0"/>
        </w:tblPrEx>
        <w:trPr>
          <w:trHeight w:val="270"/>
        </w:trPr>
        <w:tc>
          <w:tcPr>
            <w:tcW w:w="5151"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rPr>
                <w:rFonts w:ascii="Times New Roman" w:hAnsi="Times New Roman"/>
                <w:sz w:val="24"/>
                <w:szCs w:val="24"/>
                <w:lang w:eastAsia="sk-SK"/>
              </w:rPr>
            </w:pPr>
            <w:r w:rsidRPr="000E6BC7">
              <w:rPr>
                <w:rFonts w:ascii="Times New Roman" w:hAnsi="Times New Roman"/>
                <w:b/>
                <w:bCs/>
                <w:i/>
                <w:iCs/>
                <w:sz w:val="20"/>
                <w:szCs w:val="20"/>
                <w:lang w:eastAsia="sk-SK"/>
              </w:rPr>
              <w:t>- vplyv na ostatné subjekty verejnej správy</w:t>
            </w:r>
          </w:p>
        </w:tc>
        <w:tc>
          <w:tcPr>
            <w:tcW w:w="105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Pr>
                <w:rFonts w:ascii="Times New Roman" w:hAnsi="Times New Roman"/>
                <w:b/>
                <w:bCs/>
                <w:sz w:val="20"/>
                <w:szCs w:val="20"/>
                <w:lang w:eastAsia="sk-SK"/>
              </w:rPr>
              <w:t>0</w:t>
            </w:r>
          </w:p>
        </w:tc>
        <w:tc>
          <w:tcPr>
            <w:tcW w:w="109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Pr>
                <w:rFonts w:ascii="Times New Roman" w:hAnsi="Times New Roman"/>
                <w:b/>
                <w:bCs/>
                <w:sz w:val="20"/>
                <w:szCs w:val="20"/>
                <w:lang w:eastAsia="sk-SK"/>
              </w:rPr>
              <w:t>0</w:t>
            </w:r>
          </w:p>
        </w:tc>
        <w:tc>
          <w:tcPr>
            <w:tcW w:w="10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Pr>
                <w:rFonts w:ascii="Times New Roman" w:hAnsi="Times New Roman"/>
                <w:b/>
                <w:bCs/>
                <w:sz w:val="20"/>
                <w:szCs w:val="20"/>
                <w:lang w:eastAsia="sk-SK"/>
              </w:rPr>
              <w:t>0</w:t>
            </w:r>
          </w:p>
        </w:tc>
        <w:tc>
          <w:tcPr>
            <w:tcW w:w="114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Pr>
                <w:rFonts w:ascii="Times New Roman" w:hAnsi="Times New Roman"/>
                <w:b/>
                <w:bCs/>
                <w:sz w:val="20"/>
                <w:szCs w:val="20"/>
                <w:lang w:eastAsia="sk-SK"/>
              </w:rPr>
              <w:t>0</w:t>
            </w:r>
          </w:p>
        </w:tc>
      </w:tr>
      <w:tr>
        <w:tblPrEx>
          <w:tblW w:w="9493" w:type="dxa"/>
          <w:tblCellMar>
            <w:left w:w="0" w:type="dxa"/>
            <w:right w:w="0" w:type="dxa"/>
          </w:tblCellMar>
          <w:tblLook w:val="04A0"/>
        </w:tblPrEx>
        <w:trPr>
          <w:trHeight w:val="255"/>
        </w:trPr>
        <w:tc>
          <w:tcPr>
            <w:tcW w:w="5151" w:type="dxa"/>
            <w:tcBorders>
              <w:top w:val="none" w:sz="0" w:space="0" w:color="auto"/>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D14925" w:rsidRPr="000E6BC7" w:rsidP="00182CC2">
            <w:pPr>
              <w:bidi w:val="0"/>
              <w:spacing w:after="0" w:line="240" w:lineRule="auto"/>
              <w:rPr>
                <w:rFonts w:ascii="Times New Roman" w:hAnsi="Times New Roman"/>
                <w:sz w:val="24"/>
                <w:szCs w:val="24"/>
                <w:lang w:eastAsia="sk-SK"/>
              </w:rPr>
            </w:pPr>
            <w:r w:rsidRPr="000E6BC7">
              <w:rPr>
                <w:rFonts w:ascii="Times New Roman" w:hAnsi="Times New Roman"/>
                <w:b/>
                <w:bCs/>
                <w:sz w:val="20"/>
                <w:szCs w:val="20"/>
                <w:lang w:eastAsia="sk-SK"/>
              </w:rPr>
              <w:t>Výdavky verejnej správy celkom</w:t>
            </w:r>
          </w:p>
        </w:tc>
        <w:tc>
          <w:tcPr>
            <w:tcW w:w="1057" w:type="dxa"/>
            <w:tcBorders>
              <w:top w:val="none" w:sz="0" w:space="0" w:color="auto"/>
              <w:left w:val="none" w:sz="0" w:space="0" w:color="auto"/>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D14925" w:rsidRPr="00765D09" w:rsidP="00182CC2">
            <w:pPr>
              <w:bidi w:val="0"/>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097" w:type="dxa"/>
            <w:tcBorders>
              <w:top w:val="none" w:sz="0" w:space="0" w:color="auto"/>
              <w:left w:val="none" w:sz="0" w:space="0" w:color="auto"/>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D14925" w:rsidRPr="00765D09" w:rsidP="00182CC2">
            <w:pPr>
              <w:bidi w:val="0"/>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990 000,00</w:t>
            </w:r>
          </w:p>
        </w:tc>
        <w:tc>
          <w:tcPr>
            <w:tcW w:w="1040" w:type="dxa"/>
            <w:tcBorders>
              <w:top w:val="none" w:sz="0" w:space="0" w:color="auto"/>
              <w:left w:val="none" w:sz="0" w:space="0" w:color="auto"/>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D14925" w:rsidRPr="00765D09" w:rsidP="00182CC2">
            <w:pPr>
              <w:bidi w:val="0"/>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320 000,00</w:t>
            </w:r>
          </w:p>
        </w:tc>
        <w:tc>
          <w:tcPr>
            <w:tcW w:w="1148" w:type="dxa"/>
            <w:tcBorders>
              <w:top w:val="none" w:sz="0" w:space="0" w:color="auto"/>
              <w:left w:val="none" w:sz="0" w:space="0" w:color="auto"/>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Pr>
                <w:rFonts w:ascii="Times New Roman" w:hAnsi="Times New Roman"/>
                <w:b/>
                <w:bCs/>
                <w:sz w:val="20"/>
                <w:szCs w:val="20"/>
                <w:lang w:eastAsia="sk-SK"/>
              </w:rPr>
              <w:t>280 000,00</w:t>
            </w:r>
          </w:p>
        </w:tc>
      </w:tr>
      <w:tr>
        <w:tblPrEx>
          <w:tblW w:w="9493" w:type="dxa"/>
          <w:tblCellMar>
            <w:left w:w="0" w:type="dxa"/>
            <w:right w:w="0" w:type="dxa"/>
          </w:tblCellMar>
          <w:tblLook w:val="04A0"/>
        </w:tblPrEx>
        <w:trPr>
          <w:trHeight w:val="255"/>
        </w:trPr>
        <w:tc>
          <w:tcPr>
            <w:tcW w:w="5151"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rPr>
                <w:rFonts w:ascii="Times New Roman" w:hAnsi="Times New Roman"/>
                <w:sz w:val="24"/>
                <w:szCs w:val="24"/>
                <w:lang w:eastAsia="sk-SK"/>
              </w:rPr>
            </w:pPr>
            <w:r>
              <w:rPr>
                <w:rFonts w:ascii="Times New Roman" w:hAnsi="Times New Roman"/>
                <w:sz w:val="20"/>
                <w:szCs w:val="20"/>
                <w:lang w:eastAsia="sk-SK"/>
              </w:rPr>
              <w:t>v tom: Úrad podpredsedu vlády SR pre investície a informatizáciu / program 0ET Výkon funkcie podpredsedu vlády SR pre investície a informatizáciu</w:t>
            </w:r>
          </w:p>
        </w:tc>
        <w:tc>
          <w:tcPr>
            <w:tcW w:w="105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sz w:val="20"/>
                <w:szCs w:val="20"/>
                <w:lang w:eastAsia="sk-SK"/>
              </w:rPr>
              <w:t>0</w:t>
            </w:r>
          </w:p>
        </w:tc>
        <w:tc>
          <w:tcPr>
            <w:tcW w:w="109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765D09" w:rsidP="00182CC2">
            <w:pPr>
              <w:bidi w:val="0"/>
              <w:spacing w:after="0" w:line="240" w:lineRule="auto"/>
              <w:jc w:val="right"/>
              <w:rPr>
                <w:rFonts w:ascii="Times New Roman" w:hAnsi="Times New Roman"/>
                <w:sz w:val="20"/>
                <w:szCs w:val="20"/>
                <w:lang w:eastAsia="sk-SK"/>
              </w:rPr>
            </w:pPr>
            <w:r>
              <w:rPr>
                <w:rFonts w:ascii="Times New Roman" w:hAnsi="Times New Roman"/>
                <w:sz w:val="20"/>
                <w:szCs w:val="20"/>
                <w:lang w:eastAsia="sk-SK"/>
              </w:rPr>
              <w:t>990 000,00</w:t>
            </w:r>
          </w:p>
        </w:tc>
        <w:tc>
          <w:tcPr>
            <w:tcW w:w="10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Pr>
                <w:rFonts w:ascii="Times New Roman" w:hAnsi="Times New Roman"/>
                <w:sz w:val="20"/>
                <w:szCs w:val="20"/>
                <w:lang w:eastAsia="sk-SK"/>
              </w:rPr>
              <w:t>320 000,00</w:t>
            </w:r>
          </w:p>
        </w:tc>
        <w:tc>
          <w:tcPr>
            <w:tcW w:w="114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Pr>
                <w:rFonts w:ascii="Times New Roman" w:hAnsi="Times New Roman"/>
                <w:sz w:val="20"/>
                <w:szCs w:val="20"/>
                <w:lang w:eastAsia="sk-SK"/>
              </w:rPr>
              <w:t>280 000,00</w:t>
            </w:r>
          </w:p>
        </w:tc>
      </w:tr>
      <w:tr>
        <w:tblPrEx>
          <w:tblW w:w="9493" w:type="dxa"/>
          <w:tblCellMar>
            <w:left w:w="0" w:type="dxa"/>
            <w:right w:w="0" w:type="dxa"/>
          </w:tblCellMar>
          <w:tblLook w:val="04A0"/>
        </w:tblPrEx>
        <w:trPr>
          <w:trHeight w:val="270"/>
        </w:trPr>
        <w:tc>
          <w:tcPr>
            <w:tcW w:w="5151"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rPr>
                <w:rFonts w:ascii="Times New Roman" w:hAnsi="Times New Roman"/>
                <w:sz w:val="24"/>
                <w:szCs w:val="24"/>
                <w:lang w:eastAsia="sk-SK"/>
              </w:rPr>
            </w:pPr>
            <w:r w:rsidRPr="000E6BC7">
              <w:rPr>
                <w:rFonts w:ascii="Times New Roman" w:hAnsi="Times New Roman"/>
                <w:b/>
                <w:bCs/>
                <w:i/>
                <w:iCs/>
                <w:sz w:val="20"/>
                <w:szCs w:val="20"/>
                <w:lang w:eastAsia="sk-SK"/>
              </w:rPr>
              <w:t xml:space="preserve">z toho: </w:t>
            </w:r>
          </w:p>
        </w:tc>
        <w:tc>
          <w:tcPr>
            <w:tcW w:w="105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b/>
                <w:bCs/>
                <w:sz w:val="20"/>
                <w:szCs w:val="20"/>
                <w:lang w:eastAsia="sk-SK"/>
              </w:rPr>
              <w:t> </w:t>
            </w:r>
          </w:p>
        </w:tc>
        <w:tc>
          <w:tcPr>
            <w:tcW w:w="109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b/>
                <w:bCs/>
                <w:sz w:val="20"/>
                <w:szCs w:val="20"/>
                <w:lang w:eastAsia="sk-SK"/>
              </w:rPr>
              <w:t> </w:t>
            </w:r>
          </w:p>
        </w:tc>
        <w:tc>
          <w:tcPr>
            <w:tcW w:w="10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b/>
                <w:bCs/>
                <w:sz w:val="20"/>
                <w:szCs w:val="20"/>
                <w:lang w:eastAsia="sk-SK"/>
              </w:rPr>
              <w:t> </w:t>
            </w:r>
          </w:p>
        </w:tc>
        <w:tc>
          <w:tcPr>
            <w:tcW w:w="114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b/>
                <w:bCs/>
                <w:sz w:val="20"/>
                <w:szCs w:val="20"/>
                <w:lang w:eastAsia="sk-SK"/>
              </w:rPr>
              <w:t> </w:t>
            </w:r>
          </w:p>
        </w:tc>
      </w:tr>
      <w:tr>
        <w:tblPrEx>
          <w:tblW w:w="9493" w:type="dxa"/>
          <w:tblCellMar>
            <w:left w:w="0" w:type="dxa"/>
            <w:right w:w="0" w:type="dxa"/>
          </w:tblCellMar>
          <w:tblLook w:val="04A0"/>
        </w:tblPrEx>
        <w:trPr>
          <w:trHeight w:val="270"/>
        </w:trPr>
        <w:tc>
          <w:tcPr>
            <w:tcW w:w="5151"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rPr>
                <w:rFonts w:ascii="Times New Roman" w:hAnsi="Times New Roman"/>
                <w:sz w:val="24"/>
                <w:szCs w:val="24"/>
                <w:lang w:eastAsia="sk-SK"/>
              </w:rPr>
            </w:pPr>
            <w:r w:rsidRPr="000E6BC7">
              <w:rPr>
                <w:rFonts w:ascii="Times New Roman" w:hAnsi="Times New Roman"/>
                <w:b/>
                <w:bCs/>
                <w:i/>
                <w:iCs/>
                <w:sz w:val="20"/>
                <w:szCs w:val="20"/>
                <w:lang w:eastAsia="sk-SK"/>
              </w:rPr>
              <w:t>- vplyv na ŠR</w:t>
            </w:r>
          </w:p>
        </w:tc>
        <w:tc>
          <w:tcPr>
            <w:tcW w:w="105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765D09" w:rsidP="00182CC2">
            <w:pPr>
              <w:bidi w:val="0"/>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09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765D09" w:rsidP="00182CC2">
            <w:pPr>
              <w:bidi w:val="0"/>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990 000</w:t>
            </w:r>
            <w:r w:rsidRPr="00765D09">
              <w:rPr>
                <w:rFonts w:ascii="Times New Roman" w:hAnsi="Times New Roman"/>
                <w:b/>
                <w:bCs/>
                <w:sz w:val="20"/>
                <w:szCs w:val="20"/>
                <w:lang w:eastAsia="sk-SK"/>
              </w:rPr>
              <w:t xml:space="preserve">,00  </w:t>
            </w:r>
          </w:p>
        </w:tc>
        <w:tc>
          <w:tcPr>
            <w:tcW w:w="10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765D09" w:rsidP="00182CC2">
            <w:pPr>
              <w:bidi w:val="0"/>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320 000,00</w:t>
            </w:r>
          </w:p>
        </w:tc>
        <w:tc>
          <w:tcPr>
            <w:tcW w:w="114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F04443" w:rsidP="00182CC2">
            <w:pPr>
              <w:bidi w:val="0"/>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280 000,00</w:t>
            </w:r>
          </w:p>
        </w:tc>
      </w:tr>
      <w:tr>
        <w:tblPrEx>
          <w:tblW w:w="9493" w:type="dxa"/>
          <w:tblCellMar>
            <w:left w:w="0" w:type="dxa"/>
            <w:right w:w="0" w:type="dxa"/>
          </w:tblCellMar>
          <w:tblLook w:val="04A0"/>
        </w:tblPrEx>
        <w:trPr>
          <w:trHeight w:val="255"/>
        </w:trPr>
        <w:tc>
          <w:tcPr>
            <w:tcW w:w="5151"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ind w:firstLine="200"/>
              <w:rPr>
                <w:rFonts w:ascii="Times New Roman" w:hAnsi="Times New Roman"/>
                <w:sz w:val="24"/>
                <w:szCs w:val="24"/>
                <w:lang w:eastAsia="sk-SK"/>
              </w:rPr>
            </w:pPr>
            <w:r w:rsidRPr="000E6BC7">
              <w:rPr>
                <w:rFonts w:ascii="Times New Roman" w:hAnsi="Times New Roman"/>
                <w:i/>
                <w:iCs/>
                <w:sz w:val="20"/>
                <w:szCs w:val="20"/>
                <w:lang w:eastAsia="sk-SK"/>
              </w:rPr>
              <w:t>Rozpočtové prostriedky</w:t>
            </w:r>
          </w:p>
        </w:tc>
        <w:tc>
          <w:tcPr>
            <w:tcW w:w="105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Pr>
                <w:rFonts w:ascii="Times New Roman" w:hAnsi="Times New Roman"/>
                <w:sz w:val="20"/>
                <w:szCs w:val="20"/>
                <w:lang w:eastAsia="sk-SK"/>
              </w:rPr>
              <w:t>0</w:t>
            </w:r>
          </w:p>
        </w:tc>
        <w:tc>
          <w:tcPr>
            <w:tcW w:w="109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765D09" w:rsidP="00182CC2">
            <w:pPr>
              <w:bidi w:val="0"/>
              <w:spacing w:after="0" w:line="240" w:lineRule="auto"/>
              <w:jc w:val="right"/>
              <w:rPr>
                <w:rFonts w:ascii="Times New Roman" w:hAnsi="Times New Roman"/>
                <w:sz w:val="20"/>
                <w:szCs w:val="20"/>
                <w:lang w:eastAsia="sk-SK"/>
              </w:rPr>
            </w:pPr>
            <w:r>
              <w:rPr>
                <w:rFonts w:ascii="Times New Roman" w:hAnsi="Times New Roman"/>
                <w:sz w:val="20"/>
                <w:szCs w:val="20"/>
                <w:lang w:eastAsia="sk-SK"/>
              </w:rPr>
              <w:t>990 000,00</w:t>
            </w:r>
          </w:p>
        </w:tc>
        <w:tc>
          <w:tcPr>
            <w:tcW w:w="10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Pr>
                <w:rFonts w:ascii="Times New Roman" w:hAnsi="Times New Roman"/>
                <w:sz w:val="20"/>
                <w:szCs w:val="20"/>
                <w:lang w:eastAsia="sk-SK"/>
              </w:rPr>
              <w:t>320 000,00</w:t>
            </w:r>
          </w:p>
        </w:tc>
        <w:tc>
          <w:tcPr>
            <w:tcW w:w="114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Pr>
                <w:rFonts w:ascii="Times New Roman" w:hAnsi="Times New Roman"/>
                <w:sz w:val="20"/>
                <w:szCs w:val="20"/>
                <w:lang w:eastAsia="sk-SK"/>
              </w:rPr>
              <w:t>280 000,00</w:t>
            </w:r>
          </w:p>
        </w:tc>
      </w:tr>
      <w:tr>
        <w:tblPrEx>
          <w:tblW w:w="9493" w:type="dxa"/>
          <w:tblCellMar>
            <w:left w:w="0" w:type="dxa"/>
            <w:right w:w="0" w:type="dxa"/>
          </w:tblCellMar>
          <w:tblLook w:val="04A0"/>
        </w:tblPrEx>
        <w:trPr>
          <w:trHeight w:val="255"/>
        </w:trPr>
        <w:tc>
          <w:tcPr>
            <w:tcW w:w="5151"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rPr>
                <w:rFonts w:ascii="Times New Roman" w:hAnsi="Times New Roman"/>
                <w:sz w:val="24"/>
                <w:szCs w:val="24"/>
                <w:lang w:eastAsia="sk-SK"/>
              </w:rPr>
            </w:pPr>
            <w:r w:rsidRPr="000E6BC7">
              <w:rPr>
                <w:rFonts w:ascii="Times New Roman" w:hAnsi="Times New Roman"/>
                <w:i/>
                <w:iCs/>
                <w:sz w:val="20"/>
                <w:szCs w:val="20"/>
                <w:lang w:eastAsia="sk-SK"/>
              </w:rPr>
              <w:t>    EÚ zdroje</w:t>
            </w:r>
          </w:p>
        </w:tc>
        <w:tc>
          <w:tcPr>
            <w:tcW w:w="105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sz w:val="20"/>
                <w:szCs w:val="20"/>
                <w:lang w:eastAsia="sk-SK"/>
              </w:rPr>
              <w:t>0</w:t>
            </w:r>
          </w:p>
        </w:tc>
        <w:tc>
          <w:tcPr>
            <w:tcW w:w="109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sz w:val="20"/>
                <w:szCs w:val="20"/>
                <w:lang w:eastAsia="sk-SK"/>
              </w:rPr>
              <w:t>0</w:t>
            </w:r>
          </w:p>
        </w:tc>
        <w:tc>
          <w:tcPr>
            <w:tcW w:w="10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sz w:val="20"/>
                <w:szCs w:val="20"/>
                <w:lang w:eastAsia="sk-SK"/>
              </w:rPr>
              <w:t>0</w:t>
            </w:r>
          </w:p>
        </w:tc>
        <w:tc>
          <w:tcPr>
            <w:tcW w:w="114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sz w:val="20"/>
                <w:szCs w:val="20"/>
                <w:lang w:eastAsia="sk-SK"/>
              </w:rPr>
              <w:t>0</w:t>
            </w:r>
          </w:p>
        </w:tc>
      </w:tr>
      <w:tr>
        <w:tblPrEx>
          <w:tblW w:w="9493" w:type="dxa"/>
          <w:tblCellMar>
            <w:left w:w="0" w:type="dxa"/>
            <w:right w:w="0" w:type="dxa"/>
          </w:tblCellMar>
          <w:tblLook w:val="04A0"/>
        </w:tblPrEx>
        <w:trPr>
          <w:trHeight w:val="255"/>
        </w:trPr>
        <w:tc>
          <w:tcPr>
            <w:tcW w:w="5151"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rPr>
                <w:rFonts w:ascii="Times New Roman" w:hAnsi="Times New Roman"/>
                <w:sz w:val="24"/>
                <w:szCs w:val="24"/>
                <w:lang w:eastAsia="sk-SK"/>
              </w:rPr>
            </w:pPr>
            <w:r w:rsidRPr="000E6BC7">
              <w:rPr>
                <w:rFonts w:ascii="Times New Roman" w:hAnsi="Times New Roman"/>
                <w:i/>
                <w:iCs/>
                <w:sz w:val="20"/>
                <w:szCs w:val="20"/>
                <w:lang w:eastAsia="sk-SK"/>
              </w:rPr>
              <w:t>    spolufinancovanie</w:t>
            </w:r>
          </w:p>
        </w:tc>
        <w:tc>
          <w:tcPr>
            <w:tcW w:w="105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sz w:val="20"/>
                <w:szCs w:val="20"/>
                <w:lang w:eastAsia="sk-SK"/>
              </w:rPr>
              <w:t>0</w:t>
            </w:r>
          </w:p>
        </w:tc>
        <w:tc>
          <w:tcPr>
            <w:tcW w:w="109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sz w:val="20"/>
                <w:szCs w:val="20"/>
                <w:lang w:eastAsia="sk-SK"/>
              </w:rPr>
              <w:t>0</w:t>
            </w:r>
          </w:p>
        </w:tc>
        <w:tc>
          <w:tcPr>
            <w:tcW w:w="10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sz w:val="20"/>
                <w:szCs w:val="20"/>
                <w:lang w:eastAsia="sk-SK"/>
              </w:rPr>
              <w:t>0</w:t>
            </w:r>
          </w:p>
        </w:tc>
        <w:tc>
          <w:tcPr>
            <w:tcW w:w="114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sz w:val="20"/>
                <w:szCs w:val="20"/>
                <w:lang w:eastAsia="sk-SK"/>
              </w:rPr>
              <w:t>0</w:t>
            </w:r>
          </w:p>
        </w:tc>
      </w:tr>
      <w:tr>
        <w:tblPrEx>
          <w:tblW w:w="9493" w:type="dxa"/>
          <w:tblCellMar>
            <w:left w:w="0" w:type="dxa"/>
            <w:right w:w="0" w:type="dxa"/>
          </w:tblCellMar>
          <w:tblLook w:val="04A0"/>
        </w:tblPrEx>
        <w:trPr>
          <w:trHeight w:val="270"/>
        </w:trPr>
        <w:tc>
          <w:tcPr>
            <w:tcW w:w="5151"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rPr>
                <w:rFonts w:ascii="Times New Roman" w:hAnsi="Times New Roman"/>
                <w:sz w:val="24"/>
                <w:szCs w:val="24"/>
                <w:lang w:eastAsia="sk-SK"/>
              </w:rPr>
            </w:pPr>
            <w:r w:rsidRPr="000E6BC7">
              <w:rPr>
                <w:rFonts w:ascii="Times New Roman" w:hAnsi="Times New Roman"/>
                <w:b/>
                <w:bCs/>
                <w:i/>
                <w:iCs/>
                <w:sz w:val="20"/>
                <w:szCs w:val="20"/>
                <w:lang w:eastAsia="sk-SK"/>
              </w:rPr>
              <w:t>- vplyv na obce</w:t>
            </w:r>
          </w:p>
        </w:tc>
        <w:tc>
          <w:tcPr>
            <w:tcW w:w="105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b/>
                <w:bCs/>
                <w:sz w:val="20"/>
                <w:szCs w:val="20"/>
                <w:lang w:eastAsia="sk-SK"/>
              </w:rPr>
              <w:t>0</w:t>
            </w:r>
          </w:p>
        </w:tc>
        <w:tc>
          <w:tcPr>
            <w:tcW w:w="109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b/>
                <w:bCs/>
                <w:sz w:val="20"/>
                <w:szCs w:val="20"/>
                <w:lang w:eastAsia="sk-SK"/>
              </w:rPr>
              <w:t>0</w:t>
            </w:r>
          </w:p>
        </w:tc>
        <w:tc>
          <w:tcPr>
            <w:tcW w:w="10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b/>
                <w:bCs/>
                <w:sz w:val="20"/>
                <w:szCs w:val="20"/>
                <w:lang w:eastAsia="sk-SK"/>
              </w:rPr>
              <w:t>0</w:t>
            </w:r>
          </w:p>
        </w:tc>
        <w:tc>
          <w:tcPr>
            <w:tcW w:w="114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b/>
                <w:bCs/>
                <w:sz w:val="20"/>
                <w:szCs w:val="20"/>
                <w:lang w:eastAsia="sk-SK"/>
              </w:rPr>
              <w:t>0</w:t>
            </w:r>
          </w:p>
        </w:tc>
      </w:tr>
      <w:tr>
        <w:tblPrEx>
          <w:tblW w:w="9493" w:type="dxa"/>
          <w:tblCellMar>
            <w:left w:w="0" w:type="dxa"/>
            <w:right w:w="0" w:type="dxa"/>
          </w:tblCellMar>
          <w:tblLook w:val="04A0"/>
        </w:tblPrEx>
        <w:trPr>
          <w:trHeight w:val="270"/>
        </w:trPr>
        <w:tc>
          <w:tcPr>
            <w:tcW w:w="5151"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rPr>
                <w:rFonts w:ascii="Times New Roman" w:hAnsi="Times New Roman"/>
                <w:sz w:val="24"/>
                <w:szCs w:val="24"/>
                <w:lang w:eastAsia="sk-SK"/>
              </w:rPr>
            </w:pPr>
            <w:r w:rsidRPr="000E6BC7">
              <w:rPr>
                <w:rFonts w:ascii="Times New Roman" w:hAnsi="Times New Roman"/>
                <w:b/>
                <w:bCs/>
                <w:i/>
                <w:iCs/>
                <w:sz w:val="20"/>
                <w:szCs w:val="20"/>
                <w:lang w:eastAsia="sk-SK"/>
              </w:rPr>
              <w:t>- vplyv na vyššie územné celky</w:t>
            </w:r>
          </w:p>
        </w:tc>
        <w:tc>
          <w:tcPr>
            <w:tcW w:w="105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b/>
                <w:bCs/>
                <w:sz w:val="20"/>
                <w:szCs w:val="20"/>
                <w:lang w:eastAsia="sk-SK"/>
              </w:rPr>
              <w:t>0</w:t>
            </w:r>
          </w:p>
        </w:tc>
        <w:tc>
          <w:tcPr>
            <w:tcW w:w="109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b/>
                <w:bCs/>
                <w:sz w:val="20"/>
                <w:szCs w:val="20"/>
                <w:lang w:eastAsia="sk-SK"/>
              </w:rPr>
              <w:t>0</w:t>
            </w:r>
          </w:p>
        </w:tc>
        <w:tc>
          <w:tcPr>
            <w:tcW w:w="10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b/>
                <w:bCs/>
                <w:sz w:val="20"/>
                <w:szCs w:val="20"/>
                <w:lang w:eastAsia="sk-SK"/>
              </w:rPr>
              <w:t>0</w:t>
            </w:r>
          </w:p>
        </w:tc>
        <w:tc>
          <w:tcPr>
            <w:tcW w:w="114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b/>
                <w:bCs/>
                <w:sz w:val="20"/>
                <w:szCs w:val="20"/>
                <w:lang w:eastAsia="sk-SK"/>
              </w:rPr>
              <w:t>0</w:t>
            </w:r>
          </w:p>
        </w:tc>
      </w:tr>
      <w:tr>
        <w:tblPrEx>
          <w:tblW w:w="9493" w:type="dxa"/>
          <w:tblCellMar>
            <w:left w:w="0" w:type="dxa"/>
            <w:right w:w="0" w:type="dxa"/>
          </w:tblCellMar>
          <w:tblLook w:val="04A0"/>
        </w:tblPrEx>
        <w:trPr>
          <w:trHeight w:val="270"/>
        </w:trPr>
        <w:tc>
          <w:tcPr>
            <w:tcW w:w="5151"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rPr>
                <w:rFonts w:ascii="Times New Roman" w:hAnsi="Times New Roman"/>
                <w:sz w:val="24"/>
                <w:szCs w:val="24"/>
                <w:lang w:eastAsia="sk-SK"/>
              </w:rPr>
            </w:pPr>
            <w:r w:rsidRPr="000E6BC7">
              <w:rPr>
                <w:rFonts w:ascii="Times New Roman" w:hAnsi="Times New Roman"/>
                <w:b/>
                <w:bCs/>
                <w:i/>
                <w:iCs/>
                <w:sz w:val="20"/>
                <w:szCs w:val="20"/>
                <w:lang w:eastAsia="sk-SK"/>
              </w:rPr>
              <w:t>- vplyv na ostatné subjekty verejnej správy</w:t>
            </w:r>
          </w:p>
        </w:tc>
        <w:tc>
          <w:tcPr>
            <w:tcW w:w="105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b/>
                <w:bCs/>
                <w:sz w:val="20"/>
                <w:szCs w:val="20"/>
                <w:lang w:eastAsia="sk-SK"/>
              </w:rPr>
              <w:t>0</w:t>
            </w:r>
          </w:p>
        </w:tc>
        <w:tc>
          <w:tcPr>
            <w:tcW w:w="109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b/>
                <w:bCs/>
                <w:sz w:val="20"/>
                <w:szCs w:val="20"/>
                <w:lang w:eastAsia="sk-SK"/>
              </w:rPr>
              <w:t>0</w:t>
            </w:r>
          </w:p>
        </w:tc>
        <w:tc>
          <w:tcPr>
            <w:tcW w:w="10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b/>
                <w:bCs/>
                <w:sz w:val="20"/>
                <w:szCs w:val="20"/>
                <w:lang w:eastAsia="sk-SK"/>
              </w:rPr>
              <w:t>0</w:t>
            </w:r>
          </w:p>
        </w:tc>
        <w:tc>
          <w:tcPr>
            <w:tcW w:w="114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b/>
                <w:bCs/>
                <w:sz w:val="20"/>
                <w:szCs w:val="20"/>
                <w:lang w:eastAsia="sk-SK"/>
              </w:rPr>
              <w:t>0</w:t>
            </w:r>
          </w:p>
        </w:tc>
      </w:tr>
      <w:tr>
        <w:tblPrEx>
          <w:tblW w:w="9493" w:type="dxa"/>
          <w:tblCellMar>
            <w:left w:w="0" w:type="dxa"/>
            <w:right w:w="0" w:type="dxa"/>
          </w:tblCellMar>
          <w:tblLook w:val="04A0"/>
        </w:tblPrEx>
        <w:trPr>
          <w:trHeight w:val="255"/>
        </w:trPr>
        <w:tc>
          <w:tcPr>
            <w:tcW w:w="5151" w:type="dxa"/>
            <w:tcBorders>
              <w:top w:val="none" w:sz="0" w:space="0" w:color="auto"/>
              <w:left w:val="single" w:sz="4" w:space="0" w:color="000000"/>
              <w:bottom w:val="single" w:sz="4" w:space="0" w:color="000000"/>
              <w:right w:val="single" w:sz="4" w:space="0" w:color="000000"/>
            </w:tcBorders>
            <w:shd w:val="clear" w:color="auto" w:fill="BFBFBF"/>
            <w:tcMar>
              <w:top w:w="0" w:type="dxa"/>
              <w:left w:w="70" w:type="dxa"/>
              <w:bottom w:w="0" w:type="dxa"/>
              <w:right w:w="70" w:type="dxa"/>
            </w:tcMar>
            <w:textDirection w:val="lrTb"/>
            <w:vAlign w:val="center"/>
            <w:hideMark/>
          </w:tcPr>
          <w:p w:rsidR="00D14925" w:rsidRPr="000E6BC7" w:rsidP="00182CC2">
            <w:pPr>
              <w:bidi w:val="0"/>
              <w:spacing w:after="0" w:line="240" w:lineRule="auto"/>
              <w:rPr>
                <w:rFonts w:ascii="Times New Roman" w:hAnsi="Times New Roman"/>
                <w:sz w:val="24"/>
                <w:szCs w:val="24"/>
                <w:lang w:eastAsia="sk-SK"/>
              </w:rPr>
            </w:pPr>
            <w:r w:rsidRPr="000E6BC7">
              <w:rPr>
                <w:rFonts w:ascii="Times New Roman" w:hAnsi="Times New Roman"/>
                <w:b/>
                <w:bCs/>
                <w:sz w:val="20"/>
                <w:szCs w:val="20"/>
                <w:lang w:eastAsia="sk-SK"/>
              </w:rPr>
              <w:t xml:space="preserve">Vplyv na počet zamestnancov </w:t>
            </w:r>
          </w:p>
        </w:tc>
        <w:tc>
          <w:tcPr>
            <w:tcW w:w="1057" w:type="dxa"/>
            <w:tcBorders>
              <w:top w:val="none" w:sz="0" w:space="0" w:color="auto"/>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b/>
                <w:bCs/>
                <w:sz w:val="20"/>
                <w:szCs w:val="20"/>
                <w:lang w:eastAsia="sk-SK"/>
              </w:rPr>
              <w:t>0</w:t>
            </w:r>
          </w:p>
        </w:tc>
        <w:tc>
          <w:tcPr>
            <w:tcW w:w="1097" w:type="dxa"/>
            <w:tcBorders>
              <w:top w:val="none" w:sz="0" w:space="0" w:color="auto"/>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Pr>
                <w:rFonts w:ascii="Times New Roman" w:hAnsi="Times New Roman"/>
                <w:b/>
                <w:bCs/>
                <w:sz w:val="20"/>
                <w:szCs w:val="20"/>
                <w:lang w:eastAsia="sk-SK"/>
              </w:rPr>
              <w:t>0</w:t>
            </w:r>
          </w:p>
        </w:tc>
        <w:tc>
          <w:tcPr>
            <w:tcW w:w="1040" w:type="dxa"/>
            <w:tcBorders>
              <w:top w:val="none" w:sz="0" w:space="0" w:color="auto"/>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Pr>
                <w:rFonts w:ascii="Times New Roman" w:hAnsi="Times New Roman"/>
                <w:b/>
                <w:bCs/>
                <w:sz w:val="20"/>
                <w:szCs w:val="20"/>
                <w:lang w:eastAsia="sk-SK"/>
              </w:rPr>
              <w:t>0</w:t>
            </w:r>
          </w:p>
        </w:tc>
        <w:tc>
          <w:tcPr>
            <w:tcW w:w="1148" w:type="dxa"/>
            <w:tcBorders>
              <w:top w:val="none" w:sz="0" w:space="0" w:color="auto"/>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Pr>
                <w:rFonts w:ascii="Times New Roman" w:hAnsi="Times New Roman"/>
                <w:b/>
                <w:bCs/>
                <w:sz w:val="20"/>
                <w:szCs w:val="20"/>
                <w:lang w:eastAsia="sk-SK"/>
              </w:rPr>
              <w:t>0</w:t>
            </w:r>
          </w:p>
        </w:tc>
      </w:tr>
      <w:tr>
        <w:tblPrEx>
          <w:tblW w:w="9493" w:type="dxa"/>
          <w:tblCellMar>
            <w:left w:w="0" w:type="dxa"/>
            <w:right w:w="0" w:type="dxa"/>
          </w:tblCellMar>
          <w:tblLook w:val="04A0"/>
        </w:tblPrEx>
        <w:trPr>
          <w:trHeight w:val="270"/>
        </w:trPr>
        <w:tc>
          <w:tcPr>
            <w:tcW w:w="5151"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rPr>
                <w:rFonts w:ascii="Times New Roman" w:hAnsi="Times New Roman"/>
                <w:sz w:val="24"/>
                <w:szCs w:val="24"/>
                <w:lang w:eastAsia="sk-SK"/>
              </w:rPr>
            </w:pPr>
            <w:r w:rsidRPr="000E6BC7">
              <w:rPr>
                <w:rFonts w:ascii="Times New Roman" w:hAnsi="Times New Roman"/>
                <w:b/>
                <w:bCs/>
                <w:i/>
                <w:iCs/>
                <w:sz w:val="20"/>
                <w:szCs w:val="20"/>
                <w:lang w:eastAsia="sk-SK"/>
              </w:rPr>
              <w:t>- vplyv na ŠR</w:t>
            </w:r>
          </w:p>
        </w:tc>
        <w:tc>
          <w:tcPr>
            <w:tcW w:w="105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b/>
                <w:bCs/>
                <w:sz w:val="20"/>
                <w:szCs w:val="20"/>
                <w:lang w:eastAsia="sk-SK"/>
              </w:rPr>
              <w:t>0</w:t>
            </w:r>
          </w:p>
        </w:tc>
        <w:tc>
          <w:tcPr>
            <w:tcW w:w="109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Pr>
                <w:rFonts w:ascii="Times New Roman" w:hAnsi="Times New Roman"/>
                <w:b/>
                <w:bCs/>
                <w:sz w:val="20"/>
                <w:szCs w:val="20"/>
                <w:lang w:eastAsia="sk-SK"/>
              </w:rPr>
              <w:t>0</w:t>
            </w:r>
          </w:p>
        </w:tc>
        <w:tc>
          <w:tcPr>
            <w:tcW w:w="10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Pr>
                <w:rFonts w:ascii="Times New Roman" w:hAnsi="Times New Roman"/>
                <w:b/>
                <w:bCs/>
                <w:sz w:val="20"/>
                <w:szCs w:val="20"/>
                <w:lang w:eastAsia="sk-SK"/>
              </w:rPr>
              <w:t>0</w:t>
            </w:r>
          </w:p>
        </w:tc>
        <w:tc>
          <w:tcPr>
            <w:tcW w:w="114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Pr>
                <w:rFonts w:ascii="Times New Roman" w:hAnsi="Times New Roman"/>
                <w:b/>
                <w:bCs/>
                <w:sz w:val="20"/>
                <w:szCs w:val="20"/>
                <w:lang w:eastAsia="sk-SK"/>
              </w:rPr>
              <w:t>0</w:t>
            </w:r>
          </w:p>
        </w:tc>
      </w:tr>
      <w:tr>
        <w:tblPrEx>
          <w:tblW w:w="9493" w:type="dxa"/>
          <w:tblCellMar>
            <w:left w:w="0" w:type="dxa"/>
            <w:right w:w="0" w:type="dxa"/>
          </w:tblCellMar>
          <w:tblLook w:val="04A0"/>
        </w:tblPrEx>
        <w:trPr>
          <w:trHeight w:val="270"/>
        </w:trPr>
        <w:tc>
          <w:tcPr>
            <w:tcW w:w="5151"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rPr>
                <w:rFonts w:ascii="Times New Roman" w:hAnsi="Times New Roman"/>
                <w:sz w:val="24"/>
                <w:szCs w:val="24"/>
                <w:lang w:eastAsia="sk-SK"/>
              </w:rPr>
            </w:pPr>
            <w:r w:rsidRPr="000E6BC7">
              <w:rPr>
                <w:rFonts w:ascii="Times New Roman" w:hAnsi="Times New Roman"/>
                <w:b/>
                <w:bCs/>
                <w:i/>
                <w:iCs/>
                <w:sz w:val="20"/>
                <w:szCs w:val="20"/>
                <w:lang w:eastAsia="sk-SK"/>
              </w:rPr>
              <w:t>- vplyv na obce</w:t>
            </w:r>
          </w:p>
        </w:tc>
        <w:tc>
          <w:tcPr>
            <w:tcW w:w="105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b/>
                <w:bCs/>
                <w:sz w:val="20"/>
                <w:szCs w:val="20"/>
                <w:lang w:eastAsia="sk-SK"/>
              </w:rPr>
              <w:t>0</w:t>
            </w:r>
          </w:p>
        </w:tc>
        <w:tc>
          <w:tcPr>
            <w:tcW w:w="109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b/>
                <w:bCs/>
                <w:sz w:val="20"/>
                <w:szCs w:val="20"/>
                <w:lang w:eastAsia="sk-SK"/>
              </w:rPr>
              <w:t>0</w:t>
            </w:r>
          </w:p>
        </w:tc>
        <w:tc>
          <w:tcPr>
            <w:tcW w:w="10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b/>
                <w:bCs/>
                <w:sz w:val="20"/>
                <w:szCs w:val="20"/>
                <w:lang w:eastAsia="sk-SK"/>
              </w:rPr>
              <w:t>0</w:t>
            </w:r>
          </w:p>
        </w:tc>
        <w:tc>
          <w:tcPr>
            <w:tcW w:w="114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b/>
                <w:bCs/>
                <w:sz w:val="20"/>
                <w:szCs w:val="20"/>
                <w:lang w:eastAsia="sk-SK"/>
              </w:rPr>
              <w:t>0</w:t>
            </w:r>
          </w:p>
        </w:tc>
      </w:tr>
      <w:tr>
        <w:tblPrEx>
          <w:tblW w:w="9493" w:type="dxa"/>
          <w:tblCellMar>
            <w:left w:w="0" w:type="dxa"/>
            <w:right w:w="0" w:type="dxa"/>
          </w:tblCellMar>
          <w:tblLook w:val="04A0"/>
        </w:tblPrEx>
        <w:trPr>
          <w:trHeight w:val="270"/>
        </w:trPr>
        <w:tc>
          <w:tcPr>
            <w:tcW w:w="5151"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rPr>
                <w:rFonts w:ascii="Times New Roman" w:hAnsi="Times New Roman"/>
                <w:sz w:val="24"/>
                <w:szCs w:val="24"/>
                <w:lang w:eastAsia="sk-SK"/>
              </w:rPr>
            </w:pPr>
            <w:r w:rsidRPr="000E6BC7">
              <w:rPr>
                <w:rFonts w:ascii="Times New Roman" w:hAnsi="Times New Roman"/>
                <w:b/>
                <w:bCs/>
                <w:i/>
                <w:iCs/>
                <w:sz w:val="20"/>
                <w:szCs w:val="20"/>
                <w:lang w:eastAsia="sk-SK"/>
              </w:rPr>
              <w:t>- vplyv na vyššie územné celky</w:t>
            </w:r>
          </w:p>
        </w:tc>
        <w:tc>
          <w:tcPr>
            <w:tcW w:w="105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b/>
                <w:bCs/>
                <w:sz w:val="20"/>
                <w:szCs w:val="20"/>
                <w:lang w:eastAsia="sk-SK"/>
              </w:rPr>
              <w:t>0</w:t>
            </w:r>
          </w:p>
        </w:tc>
        <w:tc>
          <w:tcPr>
            <w:tcW w:w="109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b/>
                <w:bCs/>
                <w:sz w:val="20"/>
                <w:szCs w:val="20"/>
                <w:lang w:eastAsia="sk-SK"/>
              </w:rPr>
              <w:t>0</w:t>
            </w:r>
          </w:p>
        </w:tc>
        <w:tc>
          <w:tcPr>
            <w:tcW w:w="10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b/>
                <w:bCs/>
                <w:sz w:val="20"/>
                <w:szCs w:val="20"/>
                <w:lang w:eastAsia="sk-SK"/>
              </w:rPr>
              <w:t>0</w:t>
            </w:r>
          </w:p>
        </w:tc>
        <w:tc>
          <w:tcPr>
            <w:tcW w:w="114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b/>
                <w:bCs/>
                <w:sz w:val="20"/>
                <w:szCs w:val="20"/>
                <w:lang w:eastAsia="sk-SK"/>
              </w:rPr>
              <w:t>0</w:t>
            </w:r>
          </w:p>
        </w:tc>
      </w:tr>
      <w:tr>
        <w:tblPrEx>
          <w:tblW w:w="9493" w:type="dxa"/>
          <w:tblCellMar>
            <w:left w:w="0" w:type="dxa"/>
            <w:right w:w="0" w:type="dxa"/>
          </w:tblCellMar>
          <w:tblLook w:val="04A0"/>
        </w:tblPrEx>
        <w:trPr>
          <w:trHeight w:val="270"/>
        </w:trPr>
        <w:tc>
          <w:tcPr>
            <w:tcW w:w="5151"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rPr>
                <w:rFonts w:ascii="Times New Roman" w:hAnsi="Times New Roman"/>
                <w:sz w:val="24"/>
                <w:szCs w:val="24"/>
                <w:lang w:eastAsia="sk-SK"/>
              </w:rPr>
            </w:pPr>
            <w:r w:rsidRPr="000E6BC7">
              <w:rPr>
                <w:rFonts w:ascii="Times New Roman" w:hAnsi="Times New Roman"/>
                <w:b/>
                <w:bCs/>
                <w:i/>
                <w:iCs/>
                <w:sz w:val="20"/>
                <w:szCs w:val="20"/>
                <w:lang w:eastAsia="sk-SK"/>
              </w:rPr>
              <w:t>- vplyv na ostatné subjekty verejnej správy</w:t>
            </w:r>
          </w:p>
        </w:tc>
        <w:tc>
          <w:tcPr>
            <w:tcW w:w="105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b/>
                <w:bCs/>
                <w:sz w:val="20"/>
                <w:szCs w:val="20"/>
                <w:lang w:eastAsia="sk-SK"/>
              </w:rPr>
              <w:t>0</w:t>
            </w:r>
          </w:p>
        </w:tc>
        <w:tc>
          <w:tcPr>
            <w:tcW w:w="109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b/>
                <w:bCs/>
                <w:sz w:val="20"/>
                <w:szCs w:val="20"/>
                <w:lang w:eastAsia="sk-SK"/>
              </w:rPr>
              <w:t>0</w:t>
            </w:r>
          </w:p>
        </w:tc>
        <w:tc>
          <w:tcPr>
            <w:tcW w:w="10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b/>
                <w:bCs/>
                <w:sz w:val="20"/>
                <w:szCs w:val="20"/>
                <w:lang w:eastAsia="sk-SK"/>
              </w:rPr>
              <w:t>0</w:t>
            </w:r>
          </w:p>
        </w:tc>
        <w:tc>
          <w:tcPr>
            <w:tcW w:w="114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b/>
                <w:bCs/>
                <w:sz w:val="20"/>
                <w:szCs w:val="20"/>
                <w:lang w:eastAsia="sk-SK"/>
              </w:rPr>
              <w:t>0</w:t>
            </w:r>
          </w:p>
        </w:tc>
      </w:tr>
      <w:tr>
        <w:tblPrEx>
          <w:tblW w:w="9493" w:type="dxa"/>
          <w:tblCellMar>
            <w:left w:w="0" w:type="dxa"/>
            <w:right w:w="0" w:type="dxa"/>
          </w:tblCellMar>
          <w:tblLook w:val="04A0"/>
        </w:tblPrEx>
        <w:trPr>
          <w:trHeight w:val="255"/>
        </w:trPr>
        <w:tc>
          <w:tcPr>
            <w:tcW w:w="5151" w:type="dxa"/>
            <w:tcBorders>
              <w:top w:val="none" w:sz="0" w:space="0" w:color="auto"/>
              <w:left w:val="single" w:sz="4" w:space="0" w:color="000000"/>
              <w:bottom w:val="single" w:sz="4" w:space="0" w:color="000000"/>
              <w:right w:val="single" w:sz="4" w:space="0" w:color="000000"/>
            </w:tcBorders>
            <w:shd w:val="clear" w:color="auto" w:fill="BFBFBF"/>
            <w:tcMar>
              <w:top w:w="0" w:type="dxa"/>
              <w:left w:w="70" w:type="dxa"/>
              <w:bottom w:w="0" w:type="dxa"/>
              <w:right w:w="70" w:type="dxa"/>
            </w:tcMar>
            <w:textDirection w:val="lrTb"/>
            <w:vAlign w:val="center"/>
            <w:hideMark/>
          </w:tcPr>
          <w:p w:rsidR="00D14925" w:rsidRPr="000E6BC7" w:rsidP="00182CC2">
            <w:pPr>
              <w:bidi w:val="0"/>
              <w:spacing w:after="0" w:line="240" w:lineRule="auto"/>
              <w:rPr>
                <w:rFonts w:ascii="Times New Roman" w:hAnsi="Times New Roman"/>
                <w:sz w:val="24"/>
                <w:szCs w:val="24"/>
                <w:lang w:eastAsia="sk-SK"/>
              </w:rPr>
            </w:pPr>
            <w:r w:rsidRPr="000E6BC7">
              <w:rPr>
                <w:rFonts w:ascii="Times New Roman" w:hAnsi="Times New Roman"/>
                <w:b/>
                <w:bCs/>
                <w:sz w:val="20"/>
                <w:szCs w:val="20"/>
                <w:lang w:eastAsia="sk-SK"/>
              </w:rPr>
              <w:t>Vplyv na mzdové výdavky</w:t>
            </w:r>
          </w:p>
        </w:tc>
        <w:tc>
          <w:tcPr>
            <w:tcW w:w="1057" w:type="dxa"/>
            <w:tcBorders>
              <w:top w:val="none" w:sz="0" w:space="0" w:color="auto"/>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b/>
                <w:bCs/>
                <w:sz w:val="20"/>
                <w:szCs w:val="20"/>
                <w:lang w:eastAsia="sk-SK"/>
              </w:rPr>
              <w:t>0</w:t>
            </w:r>
          </w:p>
        </w:tc>
        <w:tc>
          <w:tcPr>
            <w:tcW w:w="1097" w:type="dxa"/>
            <w:tcBorders>
              <w:top w:val="none" w:sz="0" w:space="0" w:color="auto"/>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Pr>
                <w:rFonts w:ascii="Times New Roman" w:hAnsi="Times New Roman"/>
                <w:b/>
                <w:bCs/>
                <w:sz w:val="20"/>
                <w:szCs w:val="20"/>
                <w:lang w:eastAsia="sk-SK"/>
              </w:rPr>
              <w:t>0</w:t>
            </w:r>
          </w:p>
        </w:tc>
        <w:tc>
          <w:tcPr>
            <w:tcW w:w="1040" w:type="dxa"/>
            <w:tcBorders>
              <w:top w:val="none" w:sz="0" w:space="0" w:color="auto"/>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Pr>
                <w:rFonts w:ascii="Times New Roman" w:hAnsi="Times New Roman"/>
                <w:b/>
                <w:bCs/>
                <w:sz w:val="20"/>
                <w:szCs w:val="20"/>
                <w:lang w:eastAsia="sk-SK"/>
              </w:rPr>
              <w:t>0</w:t>
            </w:r>
          </w:p>
        </w:tc>
        <w:tc>
          <w:tcPr>
            <w:tcW w:w="1148" w:type="dxa"/>
            <w:tcBorders>
              <w:top w:val="none" w:sz="0" w:space="0" w:color="auto"/>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Pr>
                <w:rFonts w:ascii="Times New Roman" w:hAnsi="Times New Roman"/>
                <w:b/>
                <w:bCs/>
                <w:sz w:val="20"/>
                <w:szCs w:val="20"/>
                <w:lang w:eastAsia="sk-SK"/>
              </w:rPr>
              <w:t>0</w:t>
            </w:r>
          </w:p>
        </w:tc>
      </w:tr>
      <w:tr>
        <w:tblPrEx>
          <w:tblW w:w="9493" w:type="dxa"/>
          <w:tblCellMar>
            <w:left w:w="0" w:type="dxa"/>
            <w:right w:w="0" w:type="dxa"/>
          </w:tblCellMar>
          <w:tblLook w:val="04A0"/>
        </w:tblPrEx>
        <w:trPr>
          <w:trHeight w:val="270"/>
        </w:trPr>
        <w:tc>
          <w:tcPr>
            <w:tcW w:w="5151"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rPr>
                <w:rFonts w:ascii="Times New Roman" w:hAnsi="Times New Roman"/>
                <w:sz w:val="24"/>
                <w:szCs w:val="24"/>
                <w:lang w:eastAsia="sk-SK"/>
              </w:rPr>
            </w:pPr>
            <w:r w:rsidRPr="000E6BC7">
              <w:rPr>
                <w:rFonts w:ascii="Times New Roman" w:hAnsi="Times New Roman"/>
                <w:b/>
                <w:bCs/>
                <w:i/>
                <w:iCs/>
                <w:sz w:val="20"/>
                <w:szCs w:val="20"/>
                <w:lang w:eastAsia="sk-SK"/>
              </w:rPr>
              <w:t>- vplyv na ŠR</w:t>
            </w:r>
          </w:p>
        </w:tc>
        <w:tc>
          <w:tcPr>
            <w:tcW w:w="105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b/>
                <w:bCs/>
                <w:sz w:val="20"/>
                <w:szCs w:val="20"/>
                <w:lang w:eastAsia="sk-SK"/>
              </w:rPr>
              <w:t>0</w:t>
            </w:r>
          </w:p>
        </w:tc>
        <w:tc>
          <w:tcPr>
            <w:tcW w:w="109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Pr>
                <w:rFonts w:ascii="Times New Roman" w:hAnsi="Times New Roman"/>
                <w:b/>
                <w:bCs/>
                <w:sz w:val="20"/>
                <w:szCs w:val="20"/>
                <w:lang w:eastAsia="sk-SK"/>
              </w:rPr>
              <w:t>0</w:t>
            </w:r>
          </w:p>
        </w:tc>
        <w:tc>
          <w:tcPr>
            <w:tcW w:w="10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Pr>
                <w:rFonts w:ascii="Times New Roman" w:hAnsi="Times New Roman"/>
                <w:b/>
                <w:bCs/>
                <w:sz w:val="20"/>
                <w:szCs w:val="20"/>
                <w:lang w:eastAsia="sk-SK"/>
              </w:rPr>
              <w:t>0</w:t>
            </w:r>
          </w:p>
        </w:tc>
        <w:tc>
          <w:tcPr>
            <w:tcW w:w="114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Pr>
                <w:rFonts w:ascii="Times New Roman" w:hAnsi="Times New Roman"/>
                <w:b/>
                <w:bCs/>
                <w:sz w:val="20"/>
                <w:szCs w:val="20"/>
                <w:lang w:eastAsia="sk-SK"/>
              </w:rPr>
              <w:t>0</w:t>
            </w:r>
          </w:p>
        </w:tc>
      </w:tr>
      <w:tr>
        <w:tblPrEx>
          <w:tblW w:w="9493" w:type="dxa"/>
          <w:tblCellMar>
            <w:left w:w="0" w:type="dxa"/>
            <w:right w:w="0" w:type="dxa"/>
          </w:tblCellMar>
          <w:tblLook w:val="04A0"/>
        </w:tblPrEx>
        <w:trPr>
          <w:trHeight w:val="270"/>
        </w:trPr>
        <w:tc>
          <w:tcPr>
            <w:tcW w:w="5151"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rPr>
                <w:rFonts w:ascii="Times New Roman" w:hAnsi="Times New Roman"/>
                <w:sz w:val="24"/>
                <w:szCs w:val="24"/>
                <w:lang w:eastAsia="sk-SK"/>
              </w:rPr>
            </w:pPr>
            <w:r w:rsidRPr="000E6BC7">
              <w:rPr>
                <w:rFonts w:ascii="Times New Roman" w:hAnsi="Times New Roman"/>
                <w:b/>
                <w:bCs/>
                <w:i/>
                <w:iCs/>
                <w:sz w:val="20"/>
                <w:szCs w:val="20"/>
                <w:lang w:eastAsia="sk-SK"/>
              </w:rPr>
              <w:t>- vplyv na obce</w:t>
            </w:r>
          </w:p>
        </w:tc>
        <w:tc>
          <w:tcPr>
            <w:tcW w:w="105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b/>
                <w:bCs/>
                <w:sz w:val="20"/>
                <w:szCs w:val="20"/>
                <w:lang w:eastAsia="sk-SK"/>
              </w:rPr>
              <w:t>0</w:t>
            </w:r>
          </w:p>
        </w:tc>
        <w:tc>
          <w:tcPr>
            <w:tcW w:w="109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b/>
                <w:bCs/>
                <w:sz w:val="20"/>
                <w:szCs w:val="20"/>
                <w:lang w:eastAsia="sk-SK"/>
              </w:rPr>
              <w:t>0</w:t>
            </w:r>
          </w:p>
        </w:tc>
        <w:tc>
          <w:tcPr>
            <w:tcW w:w="10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b/>
                <w:bCs/>
                <w:sz w:val="20"/>
                <w:szCs w:val="20"/>
                <w:lang w:eastAsia="sk-SK"/>
              </w:rPr>
              <w:t>0</w:t>
            </w:r>
          </w:p>
        </w:tc>
        <w:tc>
          <w:tcPr>
            <w:tcW w:w="114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b/>
                <w:bCs/>
                <w:sz w:val="20"/>
                <w:szCs w:val="20"/>
                <w:lang w:eastAsia="sk-SK"/>
              </w:rPr>
              <w:t>0</w:t>
            </w:r>
          </w:p>
        </w:tc>
      </w:tr>
      <w:tr>
        <w:tblPrEx>
          <w:tblW w:w="9493" w:type="dxa"/>
          <w:tblCellMar>
            <w:left w:w="0" w:type="dxa"/>
            <w:right w:w="0" w:type="dxa"/>
          </w:tblCellMar>
          <w:tblLook w:val="04A0"/>
        </w:tblPrEx>
        <w:trPr>
          <w:trHeight w:val="270"/>
        </w:trPr>
        <w:tc>
          <w:tcPr>
            <w:tcW w:w="5151"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rPr>
                <w:rFonts w:ascii="Times New Roman" w:hAnsi="Times New Roman"/>
                <w:sz w:val="24"/>
                <w:szCs w:val="24"/>
                <w:lang w:eastAsia="sk-SK"/>
              </w:rPr>
            </w:pPr>
            <w:r w:rsidRPr="000E6BC7">
              <w:rPr>
                <w:rFonts w:ascii="Times New Roman" w:hAnsi="Times New Roman"/>
                <w:b/>
                <w:bCs/>
                <w:i/>
                <w:iCs/>
                <w:sz w:val="20"/>
                <w:szCs w:val="20"/>
                <w:lang w:eastAsia="sk-SK"/>
              </w:rPr>
              <w:t>- vplyv na vyššie územné celky</w:t>
            </w:r>
          </w:p>
        </w:tc>
        <w:tc>
          <w:tcPr>
            <w:tcW w:w="105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b/>
                <w:bCs/>
                <w:sz w:val="20"/>
                <w:szCs w:val="20"/>
                <w:lang w:eastAsia="sk-SK"/>
              </w:rPr>
              <w:t>0</w:t>
            </w:r>
          </w:p>
        </w:tc>
        <w:tc>
          <w:tcPr>
            <w:tcW w:w="109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b/>
                <w:bCs/>
                <w:sz w:val="20"/>
                <w:szCs w:val="20"/>
                <w:lang w:eastAsia="sk-SK"/>
              </w:rPr>
              <w:t>0</w:t>
            </w:r>
          </w:p>
        </w:tc>
        <w:tc>
          <w:tcPr>
            <w:tcW w:w="10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b/>
                <w:bCs/>
                <w:sz w:val="20"/>
                <w:szCs w:val="20"/>
                <w:lang w:eastAsia="sk-SK"/>
              </w:rPr>
              <w:t>0</w:t>
            </w:r>
          </w:p>
        </w:tc>
        <w:tc>
          <w:tcPr>
            <w:tcW w:w="114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b/>
                <w:bCs/>
                <w:sz w:val="20"/>
                <w:szCs w:val="20"/>
                <w:lang w:eastAsia="sk-SK"/>
              </w:rPr>
              <w:t>0</w:t>
            </w:r>
          </w:p>
        </w:tc>
      </w:tr>
      <w:tr>
        <w:tblPrEx>
          <w:tblW w:w="9493" w:type="dxa"/>
          <w:tblCellMar>
            <w:left w:w="0" w:type="dxa"/>
            <w:right w:w="0" w:type="dxa"/>
          </w:tblCellMar>
          <w:tblLook w:val="04A0"/>
        </w:tblPrEx>
        <w:trPr>
          <w:trHeight w:val="270"/>
        </w:trPr>
        <w:tc>
          <w:tcPr>
            <w:tcW w:w="5151"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rPr>
                <w:rFonts w:ascii="Times New Roman" w:hAnsi="Times New Roman"/>
                <w:sz w:val="24"/>
                <w:szCs w:val="24"/>
                <w:lang w:eastAsia="sk-SK"/>
              </w:rPr>
            </w:pPr>
            <w:r w:rsidRPr="000E6BC7">
              <w:rPr>
                <w:rFonts w:ascii="Times New Roman" w:hAnsi="Times New Roman"/>
                <w:b/>
                <w:bCs/>
                <w:i/>
                <w:iCs/>
                <w:sz w:val="20"/>
                <w:szCs w:val="20"/>
                <w:lang w:eastAsia="sk-SK"/>
              </w:rPr>
              <w:t>- vplyv na ostatné subjekty verejnej správy</w:t>
            </w:r>
          </w:p>
        </w:tc>
        <w:tc>
          <w:tcPr>
            <w:tcW w:w="105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b/>
                <w:bCs/>
                <w:sz w:val="20"/>
                <w:szCs w:val="20"/>
                <w:lang w:eastAsia="sk-SK"/>
              </w:rPr>
              <w:t>0</w:t>
            </w:r>
          </w:p>
        </w:tc>
        <w:tc>
          <w:tcPr>
            <w:tcW w:w="1097"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b/>
                <w:bCs/>
                <w:sz w:val="20"/>
                <w:szCs w:val="20"/>
                <w:lang w:eastAsia="sk-SK"/>
              </w:rPr>
              <w:t>0</w:t>
            </w:r>
          </w:p>
        </w:tc>
        <w:tc>
          <w:tcPr>
            <w:tcW w:w="104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b/>
                <w:bCs/>
                <w:sz w:val="20"/>
                <w:szCs w:val="20"/>
                <w:lang w:eastAsia="sk-SK"/>
              </w:rPr>
              <w:t>0</w:t>
            </w:r>
          </w:p>
        </w:tc>
        <w:tc>
          <w:tcPr>
            <w:tcW w:w="114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b/>
                <w:bCs/>
                <w:sz w:val="20"/>
                <w:szCs w:val="20"/>
                <w:lang w:eastAsia="sk-SK"/>
              </w:rPr>
              <w:t>0</w:t>
            </w:r>
          </w:p>
        </w:tc>
      </w:tr>
      <w:tr>
        <w:tblPrEx>
          <w:tblW w:w="9493" w:type="dxa"/>
          <w:tblCellMar>
            <w:left w:w="0" w:type="dxa"/>
            <w:right w:w="0" w:type="dxa"/>
          </w:tblCellMar>
          <w:tblLook w:val="04A0"/>
        </w:tblPrEx>
        <w:trPr>
          <w:trHeight w:val="255"/>
        </w:trPr>
        <w:tc>
          <w:tcPr>
            <w:tcW w:w="5151" w:type="dxa"/>
            <w:tcBorders>
              <w:top w:val="none" w:sz="0" w:space="0" w:color="auto"/>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D14925" w:rsidRPr="000E6BC7" w:rsidP="00182CC2">
            <w:pPr>
              <w:bidi w:val="0"/>
              <w:spacing w:after="0" w:line="240" w:lineRule="auto"/>
              <w:rPr>
                <w:rFonts w:ascii="Times New Roman" w:hAnsi="Times New Roman"/>
                <w:sz w:val="24"/>
                <w:szCs w:val="24"/>
                <w:lang w:eastAsia="sk-SK"/>
              </w:rPr>
            </w:pPr>
            <w:r w:rsidRPr="000E6BC7">
              <w:rPr>
                <w:rFonts w:ascii="Times New Roman" w:hAnsi="Times New Roman"/>
                <w:b/>
                <w:bCs/>
                <w:sz w:val="20"/>
                <w:szCs w:val="20"/>
                <w:lang w:eastAsia="sk-SK"/>
              </w:rPr>
              <w:t>Financovanie zabezpečené v rozpočte</w:t>
            </w:r>
          </w:p>
        </w:tc>
        <w:tc>
          <w:tcPr>
            <w:tcW w:w="1057" w:type="dxa"/>
            <w:tcBorders>
              <w:top w:val="none" w:sz="0" w:space="0" w:color="auto"/>
              <w:left w:val="none" w:sz="0" w:space="0" w:color="auto"/>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D14925" w:rsidRPr="00765D09" w:rsidP="00182CC2">
            <w:pPr>
              <w:bidi w:val="0"/>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097" w:type="dxa"/>
            <w:tcBorders>
              <w:top w:val="none" w:sz="0" w:space="0" w:color="auto"/>
              <w:left w:val="none" w:sz="0" w:space="0" w:color="auto"/>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D14925" w:rsidRPr="00765D09" w:rsidP="00182CC2">
            <w:pPr>
              <w:bidi w:val="0"/>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990 000,00</w:t>
            </w:r>
          </w:p>
        </w:tc>
        <w:tc>
          <w:tcPr>
            <w:tcW w:w="1040" w:type="dxa"/>
            <w:tcBorders>
              <w:top w:val="none" w:sz="0" w:space="0" w:color="auto"/>
              <w:left w:val="none" w:sz="0" w:space="0" w:color="auto"/>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D14925" w:rsidRPr="00765D09" w:rsidP="00182CC2">
            <w:pPr>
              <w:bidi w:val="0"/>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320 000,00</w:t>
            </w:r>
          </w:p>
        </w:tc>
        <w:tc>
          <w:tcPr>
            <w:tcW w:w="1148" w:type="dxa"/>
            <w:tcBorders>
              <w:top w:val="none" w:sz="0" w:space="0" w:color="auto"/>
              <w:left w:val="none" w:sz="0" w:space="0" w:color="auto"/>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Pr>
                <w:rFonts w:ascii="Times New Roman" w:hAnsi="Times New Roman"/>
                <w:b/>
                <w:bCs/>
                <w:sz w:val="20"/>
                <w:szCs w:val="20"/>
                <w:lang w:eastAsia="sk-SK"/>
              </w:rPr>
              <w:t>280 000,00</w:t>
            </w:r>
          </w:p>
        </w:tc>
      </w:tr>
      <w:tr>
        <w:tblPrEx>
          <w:tblW w:w="9493" w:type="dxa"/>
          <w:tblCellMar>
            <w:left w:w="0" w:type="dxa"/>
            <w:right w:w="0" w:type="dxa"/>
          </w:tblCellMar>
          <w:tblLook w:val="04A0"/>
        </w:tblPrEx>
        <w:trPr>
          <w:trHeight w:val="255"/>
        </w:trPr>
        <w:tc>
          <w:tcPr>
            <w:tcW w:w="5151" w:type="dxa"/>
            <w:tcBorders>
              <w:top w:val="none" w:sz="0" w:space="0" w:color="auto"/>
              <w:left w:val="single" w:sz="4" w:space="0" w:color="000000"/>
              <w:bottom w:val="single" w:sz="4" w:space="0" w:color="000000"/>
              <w:right w:val="single" w:sz="4" w:space="0" w:color="000000"/>
            </w:tcBorders>
            <w:shd w:val="clear" w:color="auto" w:fill="BFBFBF"/>
            <w:tcMar>
              <w:top w:w="0" w:type="dxa"/>
              <w:left w:w="70" w:type="dxa"/>
              <w:bottom w:w="0" w:type="dxa"/>
              <w:right w:w="70" w:type="dxa"/>
            </w:tcMar>
            <w:textDirection w:val="lrTb"/>
            <w:vAlign w:val="center"/>
            <w:hideMark/>
          </w:tcPr>
          <w:p w:rsidR="00D14925" w:rsidRPr="000E6BC7" w:rsidP="00182CC2">
            <w:pPr>
              <w:bidi w:val="0"/>
              <w:spacing w:after="0" w:line="240" w:lineRule="auto"/>
              <w:rPr>
                <w:rFonts w:ascii="Times New Roman" w:hAnsi="Times New Roman"/>
                <w:sz w:val="24"/>
                <w:szCs w:val="24"/>
                <w:lang w:eastAsia="sk-SK"/>
              </w:rPr>
            </w:pPr>
            <w:r w:rsidRPr="000E6BC7">
              <w:rPr>
                <w:rFonts w:ascii="Times New Roman" w:hAnsi="Times New Roman"/>
                <w:b/>
                <w:bCs/>
                <w:sz w:val="20"/>
                <w:szCs w:val="20"/>
                <w:lang w:eastAsia="sk-SK"/>
              </w:rPr>
              <w:t>Iné ako rozpočtové zdroje</w:t>
            </w:r>
          </w:p>
        </w:tc>
        <w:tc>
          <w:tcPr>
            <w:tcW w:w="1057" w:type="dxa"/>
            <w:tcBorders>
              <w:top w:val="none" w:sz="0" w:space="0" w:color="auto"/>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b/>
                <w:bCs/>
                <w:sz w:val="20"/>
                <w:szCs w:val="20"/>
                <w:lang w:eastAsia="sk-SK"/>
              </w:rPr>
              <w:t>0</w:t>
            </w:r>
          </w:p>
        </w:tc>
        <w:tc>
          <w:tcPr>
            <w:tcW w:w="1097" w:type="dxa"/>
            <w:tcBorders>
              <w:top w:val="none" w:sz="0" w:space="0" w:color="auto"/>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b/>
                <w:bCs/>
                <w:sz w:val="20"/>
                <w:szCs w:val="20"/>
                <w:lang w:eastAsia="sk-SK"/>
              </w:rPr>
              <w:t>0</w:t>
            </w:r>
          </w:p>
        </w:tc>
        <w:tc>
          <w:tcPr>
            <w:tcW w:w="1040" w:type="dxa"/>
            <w:tcBorders>
              <w:top w:val="none" w:sz="0" w:space="0" w:color="auto"/>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b/>
                <w:bCs/>
                <w:sz w:val="20"/>
                <w:szCs w:val="20"/>
                <w:lang w:eastAsia="sk-SK"/>
              </w:rPr>
              <w:t>0</w:t>
            </w:r>
          </w:p>
        </w:tc>
        <w:tc>
          <w:tcPr>
            <w:tcW w:w="1148" w:type="dxa"/>
            <w:tcBorders>
              <w:top w:val="none" w:sz="0" w:space="0" w:color="auto"/>
              <w:left w:val="none" w:sz="0" w:space="0" w:color="auto"/>
              <w:bottom w:val="single" w:sz="4" w:space="0" w:color="000000"/>
              <w:right w:val="single" w:sz="4" w:space="0" w:color="000000"/>
            </w:tcBorders>
            <w:shd w:val="clear" w:color="auto" w:fill="BFBFBF"/>
            <w:tcMar>
              <w:top w:w="0" w:type="dxa"/>
              <w:left w:w="70" w:type="dxa"/>
              <w:bottom w:w="0" w:type="dxa"/>
              <w:right w:w="70" w:type="dxa"/>
            </w:tcMar>
            <w:textDirection w:val="lrTb"/>
            <w:vAlign w:val="center"/>
            <w:hideMark/>
          </w:tcPr>
          <w:p w:rsidR="00D14925" w:rsidRPr="000E6BC7" w:rsidP="00182CC2">
            <w:pPr>
              <w:bidi w:val="0"/>
              <w:spacing w:after="0" w:line="240" w:lineRule="auto"/>
              <w:jc w:val="right"/>
              <w:rPr>
                <w:rFonts w:ascii="Times New Roman" w:hAnsi="Times New Roman"/>
                <w:sz w:val="24"/>
                <w:szCs w:val="24"/>
                <w:lang w:eastAsia="sk-SK"/>
              </w:rPr>
            </w:pPr>
            <w:r w:rsidRPr="000E6BC7">
              <w:rPr>
                <w:rFonts w:ascii="Times New Roman" w:hAnsi="Times New Roman"/>
                <w:b/>
                <w:bCs/>
                <w:sz w:val="20"/>
                <w:szCs w:val="20"/>
                <w:lang w:eastAsia="sk-SK"/>
              </w:rPr>
              <w:t>0</w:t>
            </w:r>
          </w:p>
        </w:tc>
      </w:tr>
      <w:tr>
        <w:tblPrEx>
          <w:tblW w:w="9493" w:type="dxa"/>
          <w:tblCellMar>
            <w:left w:w="0" w:type="dxa"/>
            <w:right w:w="0" w:type="dxa"/>
          </w:tblCellMar>
          <w:tblLook w:val="04A0"/>
        </w:tblPrEx>
        <w:trPr>
          <w:trHeight w:val="255"/>
        </w:trPr>
        <w:tc>
          <w:tcPr>
            <w:tcW w:w="5151" w:type="dxa"/>
            <w:tcBorders>
              <w:top w:val="none" w:sz="0" w:space="0" w:color="auto"/>
              <w:left w:val="single" w:sz="4" w:space="0" w:color="000000"/>
              <w:bottom w:val="single" w:sz="4" w:space="0" w:color="000000"/>
              <w:right w:val="single" w:sz="4" w:space="0" w:color="000000"/>
            </w:tcBorders>
            <w:shd w:val="clear" w:color="auto" w:fill="A6A6A6"/>
            <w:tcMar>
              <w:top w:w="0" w:type="dxa"/>
              <w:left w:w="70" w:type="dxa"/>
              <w:bottom w:w="0" w:type="dxa"/>
              <w:right w:w="70" w:type="dxa"/>
            </w:tcMar>
            <w:textDirection w:val="lrTb"/>
            <w:vAlign w:val="center"/>
            <w:hideMark/>
          </w:tcPr>
          <w:p w:rsidR="00D14925" w:rsidRPr="000E6BC7" w:rsidP="00182CC2">
            <w:pPr>
              <w:bidi w:val="0"/>
              <w:spacing w:after="0" w:line="240" w:lineRule="auto"/>
              <w:rPr>
                <w:rFonts w:ascii="Times New Roman" w:hAnsi="Times New Roman"/>
                <w:sz w:val="24"/>
                <w:szCs w:val="24"/>
                <w:lang w:eastAsia="sk-SK"/>
              </w:rPr>
            </w:pPr>
            <w:r w:rsidRPr="000E6BC7">
              <w:rPr>
                <w:rFonts w:ascii="Times New Roman" w:hAnsi="Times New Roman"/>
                <w:b/>
                <w:bCs/>
                <w:sz w:val="20"/>
                <w:szCs w:val="20"/>
                <w:lang w:eastAsia="sk-SK"/>
              </w:rPr>
              <w:t>Rozpočtovo nekrytý vplyv / úspora</w:t>
            </w:r>
          </w:p>
        </w:tc>
        <w:tc>
          <w:tcPr>
            <w:tcW w:w="1057" w:type="dxa"/>
            <w:tcBorders>
              <w:top w:val="none" w:sz="0" w:space="0" w:color="auto"/>
              <w:left w:val="none" w:sz="0" w:space="0" w:color="auto"/>
              <w:bottom w:val="single" w:sz="4" w:space="0" w:color="000000"/>
              <w:right w:val="single" w:sz="4" w:space="0" w:color="000000"/>
            </w:tcBorders>
            <w:shd w:val="clear" w:color="auto" w:fill="A6A6A6"/>
            <w:tcMar>
              <w:top w:w="0" w:type="dxa"/>
              <w:left w:w="70" w:type="dxa"/>
              <w:bottom w:w="0" w:type="dxa"/>
              <w:right w:w="70" w:type="dxa"/>
            </w:tcMar>
            <w:textDirection w:val="lrTb"/>
            <w:vAlign w:val="center"/>
            <w:hideMark/>
          </w:tcPr>
          <w:p w:rsidR="00D14925" w:rsidRPr="00765D09" w:rsidP="00182CC2">
            <w:pPr>
              <w:bidi w:val="0"/>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097" w:type="dxa"/>
            <w:tcBorders>
              <w:top w:val="none" w:sz="0" w:space="0" w:color="auto"/>
              <w:left w:val="none" w:sz="0" w:space="0" w:color="auto"/>
              <w:bottom w:val="single" w:sz="4" w:space="0" w:color="000000"/>
              <w:right w:val="single" w:sz="4" w:space="0" w:color="000000"/>
            </w:tcBorders>
            <w:shd w:val="clear" w:color="auto" w:fill="A6A6A6"/>
            <w:tcMar>
              <w:top w:w="0" w:type="dxa"/>
              <w:left w:w="70" w:type="dxa"/>
              <w:bottom w:w="0" w:type="dxa"/>
              <w:right w:w="70" w:type="dxa"/>
            </w:tcMar>
            <w:textDirection w:val="lrTb"/>
            <w:vAlign w:val="center"/>
          </w:tcPr>
          <w:p w:rsidR="00D14925" w:rsidRPr="00765D09" w:rsidP="00182CC2">
            <w:pPr>
              <w:bidi w:val="0"/>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040" w:type="dxa"/>
            <w:tcBorders>
              <w:top w:val="none" w:sz="0" w:space="0" w:color="auto"/>
              <w:left w:val="none" w:sz="0" w:space="0" w:color="auto"/>
              <w:bottom w:val="single" w:sz="4" w:space="0" w:color="000000"/>
              <w:right w:val="single" w:sz="4" w:space="0" w:color="000000"/>
            </w:tcBorders>
            <w:shd w:val="clear" w:color="auto" w:fill="A6A6A6"/>
            <w:tcMar>
              <w:top w:w="0" w:type="dxa"/>
              <w:left w:w="70" w:type="dxa"/>
              <w:bottom w:w="0" w:type="dxa"/>
              <w:right w:w="70" w:type="dxa"/>
            </w:tcMar>
            <w:textDirection w:val="lrTb"/>
            <w:vAlign w:val="center"/>
          </w:tcPr>
          <w:p w:rsidR="00D14925" w:rsidRPr="00765D09" w:rsidP="00182CC2">
            <w:pPr>
              <w:bidi w:val="0"/>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148" w:type="dxa"/>
            <w:tcBorders>
              <w:top w:val="none" w:sz="0" w:space="0" w:color="auto"/>
              <w:left w:val="none" w:sz="0" w:space="0" w:color="auto"/>
              <w:bottom w:val="single" w:sz="4" w:space="0" w:color="000000"/>
              <w:right w:val="single" w:sz="4" w:space="0" w:color="000000"/>
            </w:tcBorders>
            <w:shd w:val="clear" w:color="auto" w:fill="A6A6A6"/>
            <w:tcMar>
              <w:top w:w="0" w:type="dxa"/>
              <w:left w:w="70" w:type="dxa"/>
              <w:bottom w:w="0" w:type="dxa"/>
              <w:right w:w="70" w:type="dxa"/>
            </w:tcMar>
            <w:textDirection w:val="lrTb"/>
            <w:vAlign w:val="center"/>
          </w:tcPr>
          <w:p w:rsidR="00D14925" w:rsidRPr="000E6BC7" w:rsidP="00182CC2">
            <w:pPr>
              <w:bidi w:val="0"/>
              <w:spacing w:after="0" w:line="240" w:lineRule="auto"/>
              <w:jc w:val="right"/>
              <w:rPr>
                <w:rFonts w:ascii="Times New Roman" w:hAnsi="Times New Roman"/>
                <w:sz w:val="24"/>
                <w:szCs w:val="24"/>
                <w:lang w:eastAsia="sk-SK"/>
              </w:rPr>
            </w:pPr>
            <w:r>
              <w:rPr>
                <w:rFonts w:ascii="Times New Roman" w:hAnsi="Times New Roman"/>
                <w:b/>
                <w:bCs/>
                <w:sz w:val="20"/>
                <w:szCs w:val="20"/>
                <w:lang w:eastAsia="sk-SK"/>
              </w:rPr>
              <w:t>0</w:t>
            </w:r>
          </w:p>
        </w:tc>
      </w:tr>
      <w:tr>
        <w:tblPrEx>
          <w:tblW w:w="9493" w:type="dxa"/>
          <w:tblCellMar>
            <w:left w:w="0" w:type="dxa"/>
            <w:right w:w="0" w:type="dxa"/>
          </w:tblCellMar>
          <w:tblLook w:val="04A0"/>
        </w:tblPrEx>
        <w:tc>
          <w:tcPr>
            <w:tcW w:w="5151" w:type="dxa"/>
            <w:tcBorders>
              <w:top w:val="nil"/>
              <w:left w:val="nil"/>
              <w:bottom w:val="nil"/>
              <w:right w:val="nil"/>
            </w:tcBorders>
            <w:textDirection w:val="lrTb"/>
            <w:vAlign w:val="center"/>
            <w:hideMark/>
          </w:tcPr>
          <w:p w:rsidR="00D14925" w:rsidRPr="000E6BC7" w:rsidP="00182CC2">
            <w:pPr>
              <w:bidi w:val="0"/>
              <w:spacing w:after="0" w:line="240" w:lineRule="auto"/>
              <w:rPr>
                <w:rFonts w:ascii="Times New Roman" w:hAnsi="Times New Roman"/>
                <w:sz w:val="24"/>
                <w:szCs w:val="24"/>
                <w:lang w:eastAsia="sk-SK"/>
              </w:rPr>
            </w:pPr>
          </w:p>
        </w:tc>
        <w:tc>
          <w:tcPr>
            <w:tcW w:w="1057" w:type="dxa"/>
            <w:tcBorders>
              <w:top w:val="nil"/>
              <w:left w:val="nil"/>
              <w:bottom w:val="nil"/>
              <w:right w:val="nil"/>
            </w:tcBorders>
            <w:textDirection w:val="lrTb"/>
            <w:vAlign w:val="center"/>
            <w:hideMark/>
          </w:tcPr>
          <w:p w:rsidR="00D14925" w:rsidRPr="000E6BC7" w:rsidP="00182CC2">
            <w:pPr>
              <w:bidi w:val="0"/>
              <w:spacing w:after="0" w:line="240" w:lineRule="auto"/>
              <w:rPr>
                <w:rFonts w:ascii="Times New Roman" w:hAnsi="Times New Roman"/>
                <w:sz w:val="20"/>
                <w:szCs w:val="20"/>
                <w:lang w:eastAsia="sk-SK"/>
              </w:rPr>
            </w:pPr>
          </w:p>
        </w:tc>
        <w:tc>
          <w:tcPr>
            <w:tcW w:w="1097" w:type="dxa"/>
            <w:tcBorders>
              <w:top w:val="nil"/>
              <w:left w:val="nil"/>
              <w:bottom w:val="nil"/>
              <w:right w:val="nil"/>
            </w:tcBorders>
            <w:textDirection w:val="lrTb"/>
            <w:vAlign w:val="center"/>
            <w:hideMark/>
          </w:tcPr>
          <w:p w:rsidR="00D14925" w:rsidRPr="000E6BC7" w:rsidP="00182CC2">
            <w:pPr>
              <w:bidi w:val="0"/>
              <w:spacing w:after="0" w:line="240" w:lineRule="auto"/>
              <w:rPr>
                <w:rFonts w:ascii="Times New Roman" w:hAnsi="Times New Roman"/>
                <w:sz w:val="20"/>
                <w:szCs w:val="20"/>
                <w:lang w:eastAsia="sk-SK"/>
              </w:rPr>
            </w:pPr>
          </w:p>
        </w:tc>
        <w:tc>
          <w:tcPr>
            <w:tcW w:w="1040" w:type="dxa"/>
            <w:tcBorders>
              <w:top w:val="nil"/>
              <w:left w:val="nil"/>
              <w:bottom w:val="nil"/>
              <w:right w:val="nil"/>
            </w:tcBorders>
            <w:textDirection w:val="lrTb"/>
            <w:vAlign w:val="center"/>
            <w:hideMark/>
          </w:tcPr>
          <w:p w:rsidR="00D14925" w:rsidRPr="000E6BC7" w:rsidP="00182CC2">
            <w:pPr>
              <w:bidi w:val="0"/>
              <w:spacing w:after="0" w:line="240" w:lineRule="auto"/>
              <w:rPr>
                <w:rFonts w:ascii="Times New Roman" w:hAnsi="Times New Roman"/>
                <w:sz w:val="20"/>
                <w:szCs w:val="20"/>
                <w:lang w:eastAsia="sk-SK"/>
              </w:rPr>
            </w:pPr>
          </w:p>
        </w:tc>
        <w:tc>
          <w:tcPr>
            <w:tcW w:w="1148" w:type="dxa"/>
            <w:tcBorders>
              <w:top w:val="nil"/>
              <w:left w:val="nil"/>
              <w:bottom w:val="nil"/>
              <w:right w:val="nil"/>
            </w:tcBorders>
            <w:textDirection w:val="lrTb"/>
            <w:vAlign w:val="center"/>
            <w:hideMark/>
          </w:tcPr>
          <w:p w:rsidR="00D14925" w:rsidRPr="000E6BC7" w:rsidP="00182CC2">
            <w:pPr>
              <w:bidi w:val="0"/>
              <w:spacing w:after="0" w:line="240" w:lineRule="auto"/>
              <w:rPr>
                <w:rFonts w:ascii="Times New Roman" w:hAnsi="Times New Roman"/>
                <w:sz w:val="20"/>
                <w:szCs w:val="20"/>
                <w:lang w:eastAsia="sk-SK"/>
              </w:rPr>
            </w:pPr>
          </w:p>
        </w:tc>
      </w:tr>
    </w:tbl>
    <w:p w:rsidR="00D14925" w:rsidRPr="007D5748" w:rsidP="00D14925">
      <w:pPr>
        <w:bidi w:val="0"/>
        <w:spacing w:after="0" w:line="240" w:lineRule="auto"/>
        <w:rPr>
          <w:rFonts w:ascii="Times New Roman" w:hAnsi="Times New Roman"/>
          <w:b/>
          <w:bCs/>
          <w:sz w:val="24"/>
          <w:szCs w:val="24"/>
          <w:lang w:eastAsia="sk-SK"/>
        </w:rPr>
      </w:pPr>
    </w:p>
    <w:p w:rsidR="00D14925" w:rsidP="00D14925">
      <w:pPr>
        <w:bidi w:val="0"/>
        <w:rPr>
          <w:rFonts w:ascii="Times New Roman" w:hAnsi="Times New Roman"/>
          <w:b/>
          <w:bCs/>
          <w:sz w:val="24"/>
          <w:szCs w:val="24"/>
          <w:lang w:eastAsia="sk-SK"/>
        </w:rPr>
      </w:pPr>
      <w:r>
        <w:rPr>
          <w:rFonts w:ascii="Times New Roman" w:hAnsi="Times New Roman"/>
          <w:b/>
          <w:bCs/>
          <w:sz w:val="24"/>
          <w:szCs w:val="24"/>
          <w:lang w:eastAsia="sk-SK"/>
        </w:rPr>
        <w:br w:type="page"/>
      </w:r>
    </w:p>
    <w:p w:rsidR="00D14925" w:rsidP="00D14925">
      <w:pPr>
        <w:bidi w:val="0"/>
        <w:spacing w:after="0" w:line="240" w:lineRule="auto"/>
        <w:jc w:val="both"/>
        <w:rPr>
          <w:rFonts w:ascii="Times New Roman" w:hAnsi="Times New Roman"/>
          <w:b/>
          <w:bCs/>
          <w:sz w:val="24"/>
          <w:szCs w:val="24"/>
          <w:lang w:eastAsia="sk-SK"/>
        </w:rPr>
      </w:pPr>
      <w:r w:rsidRPr="007D5748">
        <w:rPr>
          <w:rFonts w:ascii="Times New Roman" w:hAnsi="Times New Roman"/>
          <w:b/>
          <w:bCs/>
          <w:sz w:val="24"/>
          <w:szCs w:val="24"/>
          <w:lang w:eastAsia="sk-SK"/>
        </w:rPr>
        <w:t>2.1.1. Financovanie návrhu - Návrh na riešenie úbytku príjmov alebo zvýšených výdavkov podľa § 33 ods. 1 zákona č. 523/2004 Z. z. o rozpočtových pravidlách verejnej správy:</w:t>
      </w:r>
    </w:p>
    <w:p w:rsidR="00D14925" w:rsidP="00D14925">
      <w:pPr>
        <w:bidi w:val="0"/>
        <w:spacing w:after="0" w:line="240" w:lineRule="auto"/>
        <w:jc w:val="both"/>
        <w:rPr>
          <w:rFonts w:ascii="Times New Roman" w:hAnsi="Times New Roman"/>
          <w:b/>
          <w:bCs/>
          <w:sz w:val="24"/>
          <w:szCs w:val="24"/>
          <w:lang w:eastAsia="sk-SK"/>
        </w:rPr>
      </w:pPr>
    </w:p>
    <w:p w:rsidR="00D14925" w:rsidRPr="007D5748" w:rsidP="00D14925">
      <w:pPr>
        <w:bidi w:val="0"/>
        <w:spacing w:after="0" w:line="240" w:lineRule="auto"/>
        <w:jc w:val="both"/>
        <w:rPr>
          <w:rFonts w:ascii="Times New Roman" w:hAnsi="Times New Roman"/>
          <w:b/>
          <w:bCs/>
          <w:sz w:val="24"/>
          <w:szCs w:val="24"/>
          <w:lang w:eastAsia="sk-SK"/>
        </w:rPr>
      </w:pPr>
    </w:p>
    <w:p w:rsidR="00D14925" w:rsidRPr="007D5748" w:rsidP="00D14925">
      <w:pPr>
        <w:bidi w:val="0"/>
        <w:spacing w:after="0" w:line="240" w:lineRule="auto"/>
        <w:jc w:val="both"/>
        <w:rPr>
          <w:rFonts w:ascii="Times New Roman" w:hAnsi="Times New Roman"/>
          <w:b/>
          <w:bCs/>
          <w:sz w:val="12"/>
          <w:szCs w:val="24"/>
          <w:lang w:eastAsia="sk-SK"/>
        </w:rPr>
      </w:pPr>
    </w:p>
    <w:p w:rsidR="00D14925" w:rsidP="00D14925">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bCs/>
          <w:sz w:val="24"/>
          <w:szCs w:val="24"/>
          <w:lang w:eastAsia="sk-SK"/>
        </w:rPr>
      </w:pPr>
    </w:p>
    <w:p w:rsidR="00D14925" w:rsidP="00D14925">
      <w:pPr>
        <w:pBdr>
          <w:top w:val="single" w:sz="4" w:space="1" w:color="auto"/>
          <w:left w:val="single" w:sz="4" w:space="4" w:color="auto"/>
          <w:bottom w:val="single" w:sz="4" w:space="0" w:color="auto"/>
          <w:right w:val="single" w:sz="4" w:space="4" w:color="auto"/>
        </w:pBdr>
        <w:bidi w:val="0"/>
        <w:spacing w:after="0" w:line="240" w:lineRule="auto"/>
        <w:jc w:val="both"/>
        <w:rPr>
          <w:rFonts w:ascii="Times New Roman" w:hAnsi="Times New Roman"/>
          <w:bCs/>
          <w:sz w:val="24"/>
          <w:szCs w:val="24"/>
          <w:lang w:eastAsia="sk-SK"/>
        </w:rPr>
      </w:pPr>
      <w:r>
        <w:rPr>
          <w:rFonts w:ascii="Times New Roman" w:hAnsi="Times New Roman"/>
          <w:bCs/>
          <w:sz w:val="24"/>
          <w:szCs w:val="24"/>
          <w:lang w:eastAsia="sk-SK"/>
        </w:rPr>
        <w:t xml:space="preserve">Vplyv na rozpočet verejnej správy na roky 2018 až 2020 sa navrhuje zabezpečiť v rámci rozpočtu </w:t>
      </w:r>
      <w:r w:rsidRPr="00E25571">
        <w:rPr>
          <w:rFonts w:ascii="Times New Roman" w:hAnsi="Times New Roman"/>
          <w:bCs/>
          <w:sz w:val="24"/>
          <w:szCs w:val="24"/>
          <w:lang w:eastAsia="sk-SK"/>
        </w:rPr>
        <w:t xml:space="preserve">kapitoly Úradu podpredsedu vlády Slovenskej republiky pre investície </w:t>
      </w:r>
      <w:r>
        <w:rPr>
          <w:rFonts w:ascii="Times New Roman" w:hAnsi="Times New Roman"/>
          <w:bCs/>
          <w:sz w:val="24"/>
          <w:szCs w:val="24"/>
          <w:lang w:eastAsia="sk-SK"/>
        </w:rPr>
        <w:t xml:space="preserve">a informatizáciu v roku 2018 po získaní zdrojov z refundovaných projektov EÚ realizovaných a uhradených v roku 2017. </w:t>
      </w:r>
    </w:p>
    <w:p w:rsidR="00D14925" w:rsidRPr="007D5748" w:rsidP="00D14925">
      <w:pPr>
        <w:pBdr>
          <w:top w:val="single" w:sz="4" w:space="1" w:color="auto"/>
          <w:left w:val="single" w:sz="4" w:space="4" w:color="auto"/>
          <w:bottom w:val="single" w:sz="4" w:space="0" w:color="auto"/>
          <w:right w:val="single" w:sz="4" w:space="4" w:color="auto"/>
        </w:pBdr>
        <w:bidi w:val="0"/>
        <w:spacing w:after="0" w:line="240" w:lineRule="auto"/>
        <w:rPr>
          <w:rFonts w:ascii="Times New Roman" w:hAnsi="Times New Roman"/>
          <w:b/>
          <w:bCs/>
          <w:sz w:val="24"/>
          <w:szCs w:val="24"/>
          <w:lang w:eastAsia="sk-SK"/>
        </w:rPr>
      </w:pPr>
    </w:p>
    <w:p w:rsidR="00D14925" w:rsidP="00D14925">
      <w:pPr>
        <w:bidi w:val="0"/>
        <w:spacing w:after="0" w:line="240" w:lineRule="auto"/>
        <w:rPr>
          <w:rFonts w:ascii="Times New Roman" w:hAnsi="Times New Roman"/>
          <w:b/>
          <w:bCs/>
          <w:sz w:val="24"/>
          <w:szCs w:val="24"/>
          <w:lang w:eastAsia="sk-SK"/>
        </w:rPr>
      </w:pPr>
    </w:p>
    <w:p w:rsidR="00D14925" w:rsidP="00D14925">
      <w:pPr>
        <w:bidi w:val="0"/>
        <w:spacing w:after="0" w:line="240" w:lineRule="auto"/>
        <w:rPr>
          <w:rFonts w:ascii="Times New Roman" w:hAnsi="Times New Roman"/>
          <w:b/>
          <w:bCs/>
          <w:sz w:val="24"/>
          <w:szCs w:val="24"/>
          <w:lang w:eastAsia="sk-SK"/>
        </w:rPr>
      </w:pPr>
    </w:p>
    <w:p w:rsidR="00D14925" w:rsidP="00D14925">
      <w:pPr>
        <w:bidi w:val="0"/>
        <w:spacing w:after="0" w:line="240" w:lineRule="auto"/>
        <w:rPr>
          <w:rFonts w:ascii="Times New Roman" w:hAnsi="Times New Roman"/>
          <w:b/>
          <w:bCs/>
          <w:sz w:val="24"/>
          <w:szCs w:val="24"/>
          <w:lang w:eastAsia="sk-SK"/>
        </w:rPr>
      </w:pPr>
    </w:p>
    <w:p w:rsidR="00D14925" w:rsidRPr="007D5748" w:rsidP="00D14925">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2.2. Popis a charakteristika návrhu</w:t>
      </w:r>
    </w:p>
    <w:p w:rsidR="00D14925" w:rsidP="00D14925">
      <w:pPr>
        <w:bidi w:val="0"/>
        <w:spacing w:after="0" w:line="240" w:lineRule="auto"/>
        <w:rPr>
          <w:rFonts w:ascii="Times New Roman" w:hAnsi="Times New Roman"/>
          <w:sz w:val="24"/>
          <w:szCs w:val="24"/>
          <w:lang w:eastAsia="sk-SK"/>
        </w:rPr>
      </w:pPr>
    </w:p>
    <w:p w:rsidR="00D14925" w:rsidP="00D14925">
      <w:pPr>
        <w:bidi w:val="0"/>
        <w:spacing w:after="0" w:line="240" w:lineRule="auto"/>
        <w:rPr>
          <w:rFonts w:ascii="Times New Roman" w:hAnsi="Times New Roman"/>
          <w:sz w:val="24"/>
          <w:szCs w:val="24"/>
          <w:lang w:eastAsia="sk-SK"/>
        </w:rPr>
      </w:pPr>
    </w:p>
    <w:p w:rsidR="00D14925" w:rsidRPr="007D5748" w:rsidP="00D14925">
      <w:pPr>
        <w:bidi w:val="0"/>
        <w:spacing w:after="0" w:line="240" w:lineRule="auto"/>
        <w:rPr>
          <w:rFonts w:ascii="Times New Roman" w:hAnsi="Times New Roman"/>
          <w:b/>
          <w:bCs/>
          <w:sz w:val="24"/>
          <w:szCs w:val="24"/>
          <w:lang w:eastAsia="sk-SK"/>
        </w:rPr>
      </w:pPr>
      <w:r>
        <w:rPr>
          <w:rFonts w:ascii="Times New Roman" w:hAnsi="Times New Roman"/>
          <w:b/>
          <w:bCs/>
          <w:sz w:val="24"/>
          <w:szCs w:val="24"/>
          <w:lang w:eastAsia="sk-SK"/>
        </w:rPr>
        <w:t>2.2.2. Popis návrhu:</w:t>
      </w:r>
    </w:p>
    <w:p w:rsidR="00D14925" w:rsidP="00D14925">
      <w:pPr>
        <w:bidi w:val="0"/>
        <w:spacing w:after="0" w:line="240" w:lineRule="auto"/>
        <w:rPr>
          <w:rFonts w:ascii="Times New Roman" w:hAnsi="Times New Roman"/>
          <w:sz w:val="24"/>
          <w:szCs w:val="24"/>
          <w:lang w:eastAsia="sk-SK"/>
        </w:rPr>
      </w:pPr>
    </w:p>
    <w:p w:rsidR="00D14925" w:rsidP="00D14925">
      <w:pPr>
        <w:bidi w:val="0"/>
        <w:spacing w:after="0" w:line="240" w:lineRule="auto"/>
        <w:ind w:firstLine="708"/>
        <w:jc w:val="both"/>
        <w:rPr>
          <w:rFonts w:ascii="Times New Roman" w:hAnsi="Times New Roman"/>
          <w:bCs/>
          <w:sz w:val="24"/>
          <w:szCs w:val="24"/>
          <w:lang w:eastAsia="sk-SK"/>
        </w:rPr>
      </w:pPr>
      <w:r>
        <w:rPr>
          <w:rFonts w:ascii="Times New Roman" w:hAnsi="Times New Roman"/>
          <w:sz w:val="24"/>
          <w:szCs w:val="24"/>
          <w:lang w:eastAsia="sk-SK"/>
        </w:rPr>
        <w:t xml:space="preserve">Z rozpočtu kapitoly </w:t>
      </w:r>
      <w:r w:rsidRPr="00E25571">
        <w:rPr>
          <w:rFonts w:ascii="Times New Roman" w:hAnsi="Times New Roman"/>
          <w:bCs/>
          <w:sz w:val="24"/>
          <w:szCs w:val="24"/>
          <w:lang w:eastAsia="sk-SK"/>
        </w:rPr>
        <w:t xml:space="preserve">Úradu podpredsedu vlády Slovenskej republiky pre investície </w:t>
      </w:r>
      <w:r>
        <w:rPr>
          <w:rFonts w:ascii="Times New Roman" w:hAnsi="Times New Roman"/>
          <w:bCs/>
          <w:sz w:val="24"/>
          <w:szCs w:val="24"/>
          <w:lang w:eastAsia="sk-SK"/>
        </w:rPr>
        <w:t xml:space="preserve">a informatizáciu  sa v rokoch 2018 až 2020 predpokladá poskytovanie dotácií zo štátneho rozpočtu na nasledujúci projekt:  </w:t>
      </w:r>
    </w:p>
    <w:p w:rsidR="00D14925" w:rsidP="00D14925">
      <w:pPr>
        <w:bidi w:val="0"/>
        <w:spacing w:after="0" w:line="240" w:lineRule="auto"/>
        <w:jc w:val="both"/>
        <w:rPr>
          <w:rFonts w:ascii="Times New Roman" w:hAnsi="Times New Roman"/>
          <w:sz w:val="24"/>
          <w:szCs w:val="24"/>
          <w:lang w:eastAsia="sk-SK"/>
        </w:rPr>
      </w:pPr>
    </w:p>
    <w:p w:rsidR="00D14925" w:rsidRPr="009C77F0" w:rsidP="00D14925">
      <w:pPr>
        <w:bidi w:val="0"/>
        <w:spacing w:after="0" w:line="240" w:lineRule="auto"/>
        <w:jc w:val="both"/>
        <w:rPr>
          <w:rFonts w:ascii="Times New Roman" w:hAnsi="Times New Roman"/>
          <w:b/>
          <w:sz w:val="24"/>
          <w:szCs w:val="24"/>
        </w:rPr>
      </w:pPr>
      <w:r w:rsidRPr="003A5C6F">
        <w:rPr>
          <w:rFonts w:ascii="Times New Roman" w:hAnsi="Times New Roman"/>
          <w:b/>
          <w:sz w:val="24"/>
          <w:szCs w:val="24"/>
        </w:rPr>
        <w:t xml:space="preserve">Memorandum o porozumení s University of California </w:t>
      </w:r>
      <w:r>
        <w:rPr>
          <w:rFonts w:ascii="Times New Roman" w:hAnsi="Times New Roman"/>
          <w:b/>
          <w:sz w:val="24"/>
          <w:szCs w:val="24"/>
        </w:rPr>
        <w:t xml:space="preserve">Berkeley </w:t>
      </w:r>
      <w:r w:rsidR="00A36C14">
        <w:rPr>
          <w:rFonts w:ascii="Times New Roman" w:hAnsi="Times New Roman"/>
          <w:b/>
          <w:sz w:val="24"/>
          <w:szCs w:val="24"/>
        </w:rPr>
        <w:t>a Žilinsk</w:t>
      </w:r>
      <w:r w:rsidRPr="003A5C6F">
        <w:rPr>
          <w:rFonts w:ascii="Times New Roman" w:hAnsi="Times New Roman"/>
          <w:b/>
          <w:sz w:val="24"/>
          <w:szCs w:val="24"/>
        </w:rPr>
        <w:t>ou univerzitou v Žiline (OFN)</w:t>
      </w:r>
    </w:p>
    <w:p w:rsidR="00D14925" w:rsidP="00D14925">
      <w:pPr>
        <w:bidi w:val="0"/>
        <w:spacing w:after="0" w:line="240" w:lineRule="auto"/>
        <w:jc w:val="both"/>
        <w:rPr>
          <w:rFonts w:ascii="Times New Roman" w:hAnsi="Times New Roman"/>
          <w:b/>
          <w:bCs/>
          <w:sz w:val="24"/>
          <w:szCs w:val="24"/>
          <w:lang w:eastAsia="sk-SK"/>
        </w:rPr>
      </w:pPr>
    </w:p>
    <w:p w:rsidR="00D14925" w:rsidP="00D14925">
      <w:pPr>
        <w:bidi w:val="0"/>
        <w:spacing w:after="0"/>
        <w:jc w:val="both"/>
        <w:rPr>
          <w:rFonts w:ascii="Times New Roman" w:hAnsi="Times New Roman"/>
          <w:bCs/>
          <w:sz w:val="24"/>
          <w:szCs w:val="24"/>
          <w:lang w:eastAsia="sk-SK"/>
        </w:rPr>
      </w:pPr>
      <w:r>
        <w:rPr>
          <w:rFonts w:ascii="Times New Roman" w:hAnsi="Times New Roman"/>
          <w:bCs/>
          <w:sz w:val="24"/>
          <w:szCs w:val="24"/>
          <w:lang w:eastAsia="sk-SK"/>
        </w:rPr>
        <w:t>Pridanou hodnotou Memoranda o porozumení bude:</w:t>
      </w:r>
    </w:p>
    <w:p w:rsidR="00D14925" w:rsidRPr="008B0D4E" w:rsidP="00D14925">
      <w:pPr>
        <w:bidi w:val="0"/>
        <w:spacing w:after="0"/>
        <w:jc w:val="both"/>
        <w:rPr>
          <w:rFonts w:ascii="Times New Roman" w:hAnsi="Times New Roman"/>
          <w:bCs/>
          <w:sz w:val="24"/>
          <w:szCs w:val="24"/>
          <w:lang w:eastAsia="sk-SK"/>
        </w:rPr>
      </w:pPr>
    </w:p>
    <w:p w:rsidR="00D14925" w:rsidP="00D14925">
      <w:pPr>
        <w:pStyle w:val="ListParagraph"/>
        <w:widowControl w:val="0"/>
        <w:numPr>
          <w:numId w:val="17"/>
        </w:numPr>
        <w:bidi w:val="0"/>
        <w:adjustRightInd w:val="0"/>
        <w:spacing w:after="0"/>
        <w:jc w:val="both"/>
        <w:rPr>
          <w:rFonts w:ascii="Times New Roman" w:hAnsi="Times New Roman"/>
          <w:bCs/>
          <w:sz w:val="24"/>
          <w:szCs w:val="24"/>
        </w:rPr>
      </w:pPr>
      <w:r w:rsidRPr="001A7B93">
        <w:rPr>
          <w:rFonts w:ascii="Times New Roman" w:hAnsi="Times New Roman"/>
          <w:bCs/>
          <w:sz w:val="24"/>
          <w:szCs w:val="24"/>
        </w:rPr>
        <w:t>Podpora slovenských študentov graduálneho a postgraduálneho štúdia zapojených do výskumu a vývoja (R&amp;D) v oblast</w:t>
      </w:r>
      <w:r>
        <w:rPr>
          <w:rFonts w:ascii="Times New Roman" w:hAnsi="Times New Roman"/>
          <w:bCs/>
          <w:sz w:val="24"/>
          <w:szCs w:val="24"/>
        </w:rPr>
        <w:t>i moderných technológií (aj IT).</w:t>
      </w:r>
      <w:r w:rsidRPr="001A7B93">
        <w:rPr>
          <w:rFonts w:ascii="Times New Roman" w:hAnsi="Times New Roman"/>
          <w:bCs/>
          <w:sz w:val="24"/>
          <w:szCs w:val="24"/>
        </w:rPr>
        <w:t xml:space="preserve"> </w:t>
      </w:r>
    </w:p>
    <w:p w:rsidR="00D14925" w:rsidRPr="001A7B93" w:rsidP="00D14925">
      <w:pPr>
        <w:pStyle w:val="ListParagraph"/>
        <w:bidi w:val="0"/>
        <w:spacing w:after="0"/>
        <w:jc w:val="both"/>
        <w:rPr>
          <w:rFonts w:ascii="Times New Roman" w:hAnsi="Times New Roman"/>
          <w:bCs/>
          <w:sz w:val="24"/>
          <w:szCs w:val="24"/>
        </w:rPr>
      </w:pPr>
    </w:p>
    <w:p w:rsidR="00D14925" w:rsidRPr="001A7B93" w:rsidP="00D14925">
      <w:pPr>
        <w:pStyle w:val="ListParagraph"/>
        <w:widowControl w:val="0"/>
        <w:numPr>
          <w:numId w:val="17"/>
        </w:numPr>
        <w:bidi w:val="0"/>
        <w:adjustRightInd w:val="0"/>
        <w:spacing w:after="0"/>
        <w:jc w:val="both"/>
        <w:rPr>
          <w:rFonts w:ascii="Times New Roman" w:hAnsi="Times New Roman"/>
          <w:bCs/>
          <w:sz w:val="24"/>
          <w:szCs w:val="24"/>
        </w:rPr>
      </w:pPr>
      <w:r w:rsidRPr="001A7B93">
        <w:rPr>
          <w:rFonts w:ascii="Times New Roman" w:hAnsi="Times New Roman"/>
          <w:bCs/>
          <w:sz w:val="24"/>
          <w:szCs w:val="24"/>
        </w:rPr>
        <w:t xml:space="preserve">Podpora študentov, ktorí reprezentujú Slovenskú republiku na medzinárodnej úrovni. </w:t>
      </w:r>
    </w:p>
    <w:p w:rsidR="00D14925" w:rsidP="00D14925">
      <w:pPr>
        <w:bidi w:val="0"/>
        <w:spacing w:after="0"/>
        <w:jc w:val="both"/>
        <w:rPr>
          <w:rFonts w:ascii="Times New Roman" w:hAnsi="Times New Roman"/>
          <w:sz w:val="24"/>
          <w:szCs w:val="24"/>
        </w:rPr>
      </w:pPr>
    </w:p>
    <w:p w:rsidR="00D14925" w:rsidP="00D14925">
      <w:pPr>
        <w:bidi w:val="0"/>
        <w:spacing w:after="0"/>
        <w:jc w:val="both"/>
        <w:rPr>
          <w:rFonts w:ascii="Times New Roman" w:hAnsi="Times New Roman"/>
          <w:sz w:val="24"/>
          <w:szCs w:val="24"/>
        </w:rPr>
      </w:pPr>
      <w:r>
        <w:rPr>
          <w:rFonts w:ascii="Times New Roman" w:hAnsi="Times New Roman"/>
          <w:sz w:val="24"/>
          <w:szCs w:val="24"/>
        </w:rPr>
        <w:t>Financovanie projektov bude zabezpečené formou:</w:t>
      </w:r>
    </w:p>
    <w:p w:rsidR="00D14925" w:rsidP="00D14925">
      <w:pPr>
        <w:bidi w:val="0"/>
        <w:spacing w:after="0"/>
        <w:jc w:val="both"/>
        <w:rPr>
          <w:rFonts w:ascii="Times New Roman" w:hAnsi="Times New Roman"/>
          <w:sz w:val="24"/>
          <w:szCs w:val="24"/>
        </w:rPr>
      </w:pPr>
    </w:p>
    <w:p w:rsidR="00D14925" w:rsidRPr="001A7B93" w:rsidP="00D14925">
      <w:pPr>
        <w:pStyle w:val="ListParagraph"/>
        <w:widowControl w:val="0"/>
        <w:numPr>
          <w:numId w:val="18"/>
        </w:numPr>
        <w:bidi w:val="0"/>
        <w:adjustRightInd w:val="0"/>
        <w:spacing w:after="0"/>
        <w:jc w:val="both"/>
        <w:rPr>
          <w:rFonts w:ascii="Times New Roman" w:hAnsi="Times New Roman"/>
          <w:sz w:val="24"/>
          <w:szCs w:val="24"/>
        </w:rPr>
      </w:pPr>
      <w:r w:rsidRPr="001A7B93">
        <w:rPr>
          <w:rFonts w:ascii="Times New Roman" w:hAnsi="Times New Roman"/>
          <w:sz w:val="24"/>
          <w:szCs w:val="24"/>
        </w:rPr>
        <w:t>Poskytnutia finančných prostriedkov Žilinskej univerzite</w:t>
      </w:r>
      <w:r w:rsidR="00A36C14">
        <w:rPr>
          <w:rFonts w:ascii="Times New Roman" w:hAnsi="Times New Roman"/>
          <w:sz w:val="24"/>
          <w:szCs w:val="24"/>
        </w:rPr>
        <w:t xml:space="preserve"> v Žiline</w:t>
      </w:r>
      <w:r w:rsidRPr="001A7B93">
        <w:rPr>
          <w:rFonts w:ascii="Times New Roman" w:hAnsi="Times New Roman"/>
          <w:sz w:val="24"/>
          <w:szCs w:val="24"/>
        </w:rPr>
        <w:t>, ktorá následne zabezpečí pobyt hosťujúceho študenta v Center for Global Education and Outreach from Berkeley Engineering (GLOBE).</w:t>
      </w:r>
      <w:r w:rsidRPr="001A7B93">
        <w:rPr>
          <w:rFonts w:ascii="Times New Roman" w:hAnsi="Times New Roman"/>
          <w:bCs/>
          <w:sz w:val="24"/>
          <w:szCs w:val="24"/>
        </w:rPr>
        <w:t xml:space="preserve"> </w:t>
      </w:r>
    </w:p>
    <w:p w:rsidR="00D14925" w:rsidP="00D14925">
      <w:pPr>
        <w:bidi w:val="0"/>
        <w:spacing w:after="0"/>
        <w:jc w:val="both"/>
        <w:rPr>
          <w:rFonts w:ascii="Times New Roman" w:hAnsi="Times New Roman"/>
          <w:sz w:val="24"/>
          <w:szCs w:val="24"/>
        </w:rPr>
      </w:pPr>
    </w:p>
    <w:p w:rsidR="00D14925" w:rsidP="00D14925">
      <w:pPr>
        <w:bidi w:val="0"/>
        <w:spacing w:after="0"/>
        <w:ind w:firstLine="708"/>
        <w:jc w:val="both"/>
        <w:rPr>
          <w:rFonts w:ascii="Times New Roman" w:hAnsi="Times New Roman"/>
          <w:sz w:val="24"/>
          <w:szCs w:val="24"/>
        </w:rPr>
      </w:pPr>
      <w:r w:rsidRPr="00707512">
        <w:rPr>
          <w:rFonts w:ascii="Times New Roman" w:hAnsi="Times New Roman"/>
          <w:sz w:val="24"/>
          <w:szCs w:val="24"/>
        </w:rPr>
        <w:t xml:space="preserve">Zámerom finančnej  podpory je naplnenie cieľov podpísaného memoranda s Univerzitou Kalifornia v Berkeley </w:t>
      </w:r>
      <w:r>
        <w:rPr>
          <w:rFonts w:ascii="Times New Roman" w:hAnsi="Times New Roman"/>
          <w:sz w:val="24"/>
          <w:szCs w:val="24"/>
        </w:rPr>
        <w:t>a </w:t>
      </w:r>
      <w:r w:rsidR="00A36C14">
        <w:rPr>
          <w:rFonts w:ascii="Times New Roman" w:hAnsi="Times New Roman"/>
          <w:sz w:val="24"/>
          <w:szCs w:val="24"/>
        </w:rPr>
        <w:t>Žilinskou</w:t>
      </w:r>
      <w:r>
        <w:rPr>
          <w:rFonts w:ascii="Times New Roman" w:hAnsi="Times New Roman"/>
          <w:sz w:val="24"/>
          <w:szCs w:val="24"/>
        </w:rPr>
        <w:t xml:space="preserve"> univerzitou v Žiline </w:t>
      </w:r>
      <w:r w:rsidRPr="00707512">
        <w:rPr>
          <w:rFonts w:ascii="Times New Roman" w:hAnsi="Times New Roman"/>
          <w:sz w:val="24"/>
          <w:szCs w:val="24"/>
        </w:rPr>
        <w:t>na prípravu analytických kapacít a podporu slovenských študentov</w:t>
      </w:r>
      <w:r>
        <w:rPr>
          <w:rFonts w:ascii="Times New Roman" w:hAnsi="Times New Roman"/>
          <w:sz w:val="24"/>
          <w:szCs w:val="24"/>
        </w:rPr>
        <w:t>.</w:t>
      </w:r>
    </w:p>
    <w:p w:rsidR="00D14925" w:rsidP="00D14925">
      <w:pPr>
        <w:bidi w:val="0"/>
        <w:spacing w:after="0"/>
        <w:jc w:val="both"/>
        <w:rPr>
          <w:rFonts w:ascii="Times New Roman" w:hAnsi="Times New Roman"/>
          <w:sz w:val="24"/>
          <w:szCs w:val="24"/>
        </w:rPr>
      </w:pPr>
    </w:p>
    <w:p w:rsidR="00D14925" w:rsidP="00D14925">
      <w:pPr>
        <w:bidi w:val="0"/>
        <w:spacing w:after="0"/>
        <w:ind w:firstLine="708"/>
        <w:jc w:val="both"/>
        <w:rPr>
          <w:rFonts w:ascii="Times New Roman" w:hAnsi="Times New Roman"/>
          <w:sz w:val="24"/>
          <w:szCs w:val="24"/>
        </w:rPr>
      </w:pPr>
      <w:r>
        <w:rPr>
          <w:rFonts w:ascii="Times New Roman" w:hAnsi="Times New Roman"/>
          <w:sz w:val="24"/>
          <w:szCs w:val="24"/>
        </w:rPr>
        <w:t xml:space="preserve">Predpokladaný objem dotácií poskytnutých z rozpočtu ÚPPVII bude </w:t>
      </w:r>
      <w:r w:rsidRPr="00505178">
        <w:rPr>
          <w:rFonts w:ascii="Times New Roman" w:hAnsi="Times New Roman"/>
          <w:b/>
          <w:sz w:val="24"/>
          <w:szCs w:val="24"/>
        </w:rPr>
        <w:t>v roku 2018 vo výške 210 000 Eur, v roku 2019 vo výške 280 000 Eur a v roku 2020 vo výške 280 000 Eur</w:t>
      </w:r>
      <w:r>
        <w:rPr>
          <w:rFonts w:ascii="Times New Roman" w:hAnsi="Times New Roman"/>
          <w:sz w:val="24"/>
          <w:szCs w:val="24"/>
        </w:rPr>
        <w:t xml:space="preserve">. </w:t>
      </w:r>
    </w:p>
    <w:p w:rsidR="00D14925" w:rsidP="00D14925">
      <w:pPr>
        <w:bidi w:val="0"/>
        <w:spacing w:after="0"/>
        <w:ind w:firstLine="708"/>
        <w:jc w:val="both"/>
        <w:rPr>
          <w:rFonts w:ascii="Times New Roman" w:hAnsi="Times New Roman"/>
          <w:sz w:val="24"/>
          <w:szCs w:val="24"/>
        </w:rPr>
      </w:pPr>
    </w:p>
    <w:p w:rsidR="00D14925" w:rsidP="00D14925">
      <w:pPr>
        <w:bidi w:val="0"/>
        <w:spacing w:after="0"/>
        <w:ind w:firstLine="708"/>
        <w:jc w:val="both"/>
        <w:rPr>
          <w:rFonts w:ascii="Times New Roman" w:hAnsi="Times New Roman"/>
          <w:sz w:val="24"/>
          <w:szCs w:val="24"/>
        </w:rPr>
      </w:pPr>
    </w:p>
    <w:p w:rsidR="00D14925" w:rsidP="00D14925">
      <w:pPr>
        <w:bidi w:val="0"/>
        <w:spacing w:after="0"/>
        <w:ind w:firstLine="708"/>
        <w:jc w:val="both"/>
        <w:rPr>
          <w:rFonts w:ascii="Times New Roman" w:hAnsi="Times New Roman"/>
          <w:sz w:val="24"/>
          <w:szCs w:val="24"/>
        </w:rPr>
      </w:pPr>
    </w:p>
    <w:p w:rsidR="00D14925" w:rsidRPr="001F59E5" w:rsidP="00D14925">
      <w:pPr>
        <w:bidi w:val="0"/>
        <w:ind w:firstLine="708"/>
        <w:jc w:val="both"/>
        <w:rPr>
          <w:rFonts w:ascii="Times New Roman" w:hAnsi="Times New Roman"/>
          <w:b/>
          <w:sz w:val="24"/>
          <w:szCs w:val="24"/>
        </w:rPr>
      </w:pPr>
      <w:r w:rsidRPr="001F59E5">
        <w:rPr>
          <w:rFonts w:ascii="Times New Roman" w:hAnsi="Times New Roman"/>
          <w:b/>
          <w:sz w:val="24"/>
          <w:szCs w:val="24"/>
        </w:rPr>
        <w:t>Pilotná podpora experimentálneho vývoja a inovácií pre budovanie rozumných miest v</w:t>
      </w:r>
      <w:r>
        <w:rPr>
          <w:rFonts w:ascii="Times New Roman" w:hAnsi="Times New Roman"/>
          <w:b/>
          <w:sz w:val="24"/>
          <w:szCs w:val="24"/>
        </w:rPr>
        <w:t> </w:t>
      </w:r>
      <w:r w:rsidRPr="001F59E5">
        <w:rPr>
          <w:rFonts w:ascii="Times New Roman" w:hAnsi="Times New Roman"/>
          <w:b/>
          <w:sz w:val="24"/>
          <w:szCs w:val="24"/>
        </w:rPr>
        <w:t>SR</w:t>
      </w:r>
      <w:r>
        <w:rPr>
          <w:rFonts w:ascii="Times New Roman" w:hAnsi="Times New Roman"/>
          <w:b/>
          <w:sz w:val="24"/>
          <w:szCs w:val="24"/>
        </w:rPr>
        <w:t xml:space="preserve"> – </w:t>
      </w:r>
      <w:r w:rsidRPr="001F59E5">
        <w:rPr>
          <w:rFonts w:ascii="Times New Roman" w:hAnsi="Times New Roman"/>
          <w:sz w:val="24"/>
          <w:szCs w:val="24"/>
        </w:rPr>
        <w:t>na základe uznesenia vlády č. 314/2017 z 28.6.2017 k Návrhu pilotnej podpory projektov experimentálneho vývoja a inovácií pre</w:t>
      </w:r>
      <w:r>
        <w:rPr>
          <w:rFonts w:ascii="Times New Roman" w:hAnsi="Times New Roman"/>
          <w:sz w:val="24"/>
          <w:szCs w:val="24"/>
        </w:rPr>
        <w:t xml:space="preserve"> budovanie rozumných miest v SR sú v rozpočte ÚPPVII na rok 2018 zahrnuté bežné transfery na tento účel vo výške </w:t>
      </w:r>
      <w:r w:rsidRPr="0090288B">
        <w:rPr>
          <w:rFonts w:ascii="Times New Roman" w:hAnsi="Times New Roman"/>
          <w:b/>
          <w:sz w:val="24"/>
          <w:szCs w:val="24"/>
        </w:rPr>
        <w:t>780 000 eur</w:t>
      </w:r>
      <w:r>
        <w:rPr>
          <w:rFonts w:ascii="Times New Roman" w:hAnsi="Times New Roman"/>
          <w:sz w:val="24"/>
          <w:szCs w:val="24"/>
        </w:rPr>
        <w:t xml:space="preserve"> a na rok 2019 vo  výške </w:t>
      </w:r>
      <w:r w:rsidRPr="0090288B">
        <w:rPr>
          <w:rFonts w:ascii="Times New Roman" w:hAnsi="Times New Roman"/>
          <w:b/>
          <w:sz w:val="24"/>
          <w:szCs w:val="24"/>
        </w:rPr>
        <w:t>40 000 eur</w:t>
      </w:r>
      <w:r>
        <w:rPr>
          <w:rFonts w:ascii="Times New Roman" w:hAnsi="Times New Roman"/>
          <w:sz w:val="24"/>
          <w:szCs w:val="24"/>
        </w:rPr>
        <w:t xml:space="preserve">.  </w:t>
      </w:r>
    </w:p>
    <w:p w:rsidR="00D14925" w:rsidP="00D14925">
      <w:pPr>
        <w:bidi w:val="0"/>
        <w:spacing w:after="0"/>
        <w:jc w:val="both"/>
        <w:rPr>
          <w:rFonts w:ascii="Times New Roman" w:hAnsi="Times New Roman"/>
          <w:sz w:val="24"/>
          <w:szCs w:val="24"/>
        </w:rPr>
      </w:pPr>
      <w:r>
        <w:rPr>
          <w:rFonts w:ascii="Times New Roman" w:hAnsi="Times New Roman"/>
          <w:sz w:val="24"/>
          <w:szCs w:val="24"/>
        </w:rPr>
        <w:tab/>
      </w:r>
    </w:p>
    <w:p w:rsidR="00D14925" w:rsidP="00D14925">
      <w:pPr>
        <w:bidi w:val="0"/>
        <w:spacing w:after="0"/>
        <w:jc w:val="both"/>
        <w:rPr>
          <w:rFonts w:ascii="Times New Roman" w:hAnsi="Times New Roman"/>
          <w:b/>
          <w:bCs/>
          <w:sz w:val="24"/>
          <w:szCs w:val="24"/>
          <w:lang w:eastAsia="sk-SK"/>
        </w:rPr>
      </w:pPr>
    </w:p>
    <w:p w:rsidR="00D14925" w:rsidP="00D14925">
      <w:pPr>
        <w:bidi w:val="0"/>
        <w:spacing w:after="0" w:line="240" w:lineRule="auto"/>
        <w:rPr>
          <w:rFonts w:ascii="Times New Roman" w:hAnsi="Times New Roman"/>
          <w:b/>
          <w:bCs/>
          <w:sz w:val="24"/>
          <w:szCs w:val="24"/>
          <w:lang w:eastAsia="sk-SK"/>
        </w:rPr>
      </w:pPr>
    </w:p>
    <w:p w:rsidR="00D14925" w:rsidRPr="007D5748" w:rsidP="00D14925">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2.2.2. Charakteristika návrhu:</w:t>
      </w:r>
    </w:p>
    <w:p w:rsidR="00D14925" w:rsidRPr="000E6BC7" w:rsidP="00D14925">
      <w:pPr>
        <w:bidi w:val="0"/>
        <w:spacing w:after="0" w:line="240" w:lineRule="auto"/>
        <w:rPr>
          <w:rFonts w:ascii="Times New Roman" w:hAnsi="Times New Roman"/>
          <w:sz w:val="24"/>
          <w:szCs w:val="24"/>
          <w:lang w:eastAsia="sk-SK"/>
        </w:rPr>
      </w:pPr>
    </w:p>
    <w:p w:rsidR="00D14925" w:rsidRPr="000E6BC7" w:rsidP="00D14925">
      <w:pPr>
        <w:bidi w:val="0"/>
        <w:spacing w:after="0" w:line="240" w:lineRule="auto"/>
        <w:rPr>
          <w:rFonts w:ascii="Times New Roman" w:hAnsi="Times New Roman"/>
          <w:sz w:val="24"/>
          <w:szCs w:val="24"/>
          <w:lang w:eastAsia="sk-SK"/>
        </w:rPr>
      </w:pPr>
      <w:r w:rsidRPr="000E6BC7">
        <w:rPr>
          <w:rFonts w:ascii="Times New Roman" w:hAnsi="Times New Roman"/>
          <w:b/>
          <w:bCs/>
          <w:sz w:val="24"/>
          <w:szCs w:val="24"/>
          <w:bdr w:val="single" w:sz="4" w:space="0" w:color="000000" w:frame="1"/>
          <w:lang w:eastAsia="sk-SK"/>
        </w:rPr>
        <w:t xml:space="preserve">     </w:t>
      </w:r>
      <w:r w:rsidRPr="000E6BC7">
        <w:rPr>
          <w:rFonts w:ascii="Times New Roman" w:hAnsi="Times New Roman"/>
          <w:b/>
          <w:bCs/>
          <w:sz w:val="24"/>
          <w:szCs w:val="24"/>
          <w:lang w:eastAsia="sk-SK"/>
        </w:rPr>
        <w:t xml:space="preserve">  </w:t>
      </w:r>
      <w:r w:rsidRPr="000E6BC7">
        <w:rPr>
          <w:rFonts w:ascii="Times New Roman" w:hAnsi="Times New Roman"/>
          <w:sz w:val="24"/>
          <w:szCs w:val="24"/>
          <w:lang w:eastAsia="sk-SK"/>
        </w:rPr>
        <w:t>zmena sadzby</w:t>
      </w:r>
    </w:p>
    <w:p w:rsidR="00D14925" w:rsidRPr="000E6BC7" w:rsidP="00D14925">
      <w:pPr>
        <w:bidi w:val="0"/>
        <w:spacing w:after="0" w:line="240" w:lineRule="auto"/>
        <w:rPr>
          <w:rFonts w:ascii="Times New Roman" w:hAnsi="Times New Roman"/>
          <w:sz w:val="24"/>
          <w:szCs w:val="24"/>
          <w:lang w:eastAsia="sk-SK"/>
        </w:rPr>
      </w:pPr>
      <w:r w:rsidRPr="000E6BC7">
        <w:rPr>
          <w:rFonts w:ascii="Times New Roman" w:hAnsi="Times New Roman"/>
          <w:sz w:val="24"/>
          <w:szCs w:val="24"/>
          <w:bdr w:val="single" w:sz="4" w:space="0" w:color="000000" w:frame="1"/>
          <w:lang w:eastAsia="sk-SK"/>
        </w:rPr>
        <w:t xml:space="preserve">     </w:t>
      </w:r>
      <w:r w:rsidRPr="000E6BC7">
        <w:rPr>
          <w:rFonts w:ascii="Times New Roman" w:hAnsi="Times New Roman"/>
          <w:sz w:val="24"/>
          <w:szCs w:val="24"/>
          <w:lang w:eastAsia="sk-SK"/>
        </w:rPr>
        <w:t>  zmena v nároku</w:t>
      </w:r>
    </w:p>
    <w:p w:rsidR="00D14925" w:rsidRPr="000E6BC7" w:rsidP="00D14925">
      <w:pPr>
        <w:bidi w:val="0"/>
        <w:spacing w:after="0" w:line="240" w:lineRule="auto"/>
        <w:rPr>
          <w:rFonts w:ascii="Times New Roman" w:hAnsi="Times New Roman"/>
          <w:sz w:val="24"/>
          <w:szCs w:val="24"/>
          <w:lang w:eastAsia="sk-SK"/>
        </w:rPr>
      </w:pPr>
      <w:r w:rsidRPr="000E6BC7">
        <w:rPr>
          <w:rFonts w:ascii="Times New Roman" w:hAnsi="Times New Roman"/>
          <w:sz w:val="24"/>
          <w:szCs w:val="24"/>
          <w:bdr w:val="single" w:sz="4" w:space="0" w:color="000000" w:frame="1"/>
          <w:lang w:eastAsia="sk-SK"/>
        </w:rPr>
        <w:t xml:space="preserve">     </w:t>
      </w:r>
      <w:r w:rsidRPr="000E6BC7">
        <w:rPr>
          <w:rFonts w:ascii="Times New Roman" w:hAnsi="Times New Roman"/>
          <w:sz w:val="24"/>
          <w:szCs w:val="24"/>
          <w:lang w:eastAsia="sk-SK"/>
        </w:rPr>
        <w:t>  nová služba alebo nariadenie (alebo ich zrušenie)</w:t>
      </w:r>
    </w:p>
    <w:p w:rsidR="00D14925" w:rsidRPr="000E6BC7" w:rsidP="00D14925">
      <w:pPr>
        <w:bidi w:val="0"/>
        <w:spacing w:after="0" w:line="240" w:lineRule="auto"/>
        <w:rPr>
          <w:rFonts w:ascii="Times New Roman" w:hAnsi="Times New Roman"/>
          <w:sz w:val="24"/>
          <w:szCs w:val="24"/>
          <w:lang w:eastAsia="sk-SK"/>
        </w:rPr>
      </w:pPr>
      <w:r w:rsidRPr="000E6BC7">
        <w:rPr>
          <w:rFonts w:ascii="Times New Roman" w:hAnsi="Times New Roman"/>
          <w:sz w:val="24"/>
          <w:szCs w:val="24"/>
          <w:bdr w:val="single" w:sz="4" w:space="0" w:color="000000" w:frame="1"/>
          <w:lang w:eastAsia="sk-SK"/>
        </w:rPr>
        <w:t xml:space="preserve">     </w:t>
      </w:r>
      <w:r w:rsidRPr="000E6BC7">
        <w:rPr>
          <w:rFonts w:ascii="Times New Roman" w:hAnsi="Times New Roman"/>
          <w:sz w:val="24"/>
          <w:szCs w:val="24"/>
          <w:lang w:eastAsia="sk-SK"/>
        </w:rPr>
        <w:t>  kombinovaný návrh</w:t>
      </w:r>
    </w:p>
    <w:p w:rsidR="00D14925" w:rsidRPr="000E6BC7" w:rsidP="00D14925">
      <w:pPr>
        <w:bidi w:val="0"/>
        <w:spacing w:after="0" w:line="240" w:lineRule="auto"/>
        <w:rPr>
          <w:rFonts w:ascii="Times New Roman" w:hAnsi="Times New Roman"/>
          <w:sz w:val="24"/>
          <w:szCs w:val="24"/>
          <w:lang w:eastAsia="sk-SK"/>
        </w:rPr>
      </w:pPr>
      <w:r>
        <w:rPr>
          <w:rFonts w:ascii="Times New Roman" w:hAnsi="Times New Roman"/>
          <w:sz w:val="24"/>
          <w:szCs w:val="24"/>
          <w:bdr w:val="single" w:sz="4" w:space="0" w:color="000000" w:frame="1"/>
          <w:lang w:eastAsia="sk-SK"/>
        </w:rPr>
        <w:t xml:space="preserve"> X</w:t>
      </w:r>
      <w:r w:rsidRPr="000E6BC7">
        <w:rPr>
          <w:rFonts w:ascii="Times New Roman" w:hAnsi="Times New Roman"/>
          <w:sz w:val="24"/>
          <w:szCs w:val="24"/>
          <w:bdr w:val="single" w:sz="4" w:space="0" w:color="000000" w:frame="1"/>
          <w:lang w:eastAsia="sk-SK"/>
        </w:rPr>
        <w:t xml:space="preserve"> </w:t>
      </w:r>
      <w:r w:rsidRPr="000E6BC7">
        <w:rPr>
          <w:rFonts w:ascii="Times New Roman" w:hAnsi="Times New Roman"/>
          <w:sz w:val="24"/>
          <w:szCs w:val="24"/>
          <w:lang w:eastAsia="sk-SK"/>
        </w:rPr>
        <w:t xml:space="preserve">  iné </w:t>
      </w:r>
    </w:p>
    <w:p w:rsidR="00D14925" w:rsidP="00D14925">
      <w:pPr>
        <w:bidi w:val="0"/>
        <w:spacing w:after="0" w:line="240" w:lineRule="auto"/>
        <w:rPr>
          <w:rFonts w:ascii="Times New Roman" w:hAnsi="Times New Roman"/>
          <w:sz w:val="24"/>
          <w:szCs w:val="24"/>
          <w:lang w:eastAsia="sk-SK"/>
        </w:rPr>
      </w:pPr>
    </w:p>
    <w:p w:rsidR="00D14925" w:rsidP="00D14925">
      <w:pPr>
        <w:bidi w:val="0"/>
        <w:spacing w:after="0" w:line="240" w:lineRule="auto"/>
        <w:rPr>
          <w:rFonts w:ascii="Times New Roman" w:hAnsi="Times New Roman"/>
          <w:sz w:val="24"/>
          <w:szCs w:val="24"/>
          <w:lang w:eastAsia="sk-SK"/>
        </w:rPr>
      </w:pPr>
    </w:p>
    <w:p w:rsidR="00D14925" w:rsidRPr="007D5748" w:rsidP="00D14925">
      <w:pPr>
        <w:bidi w:val="0"/>
        <w:spacing w:after="0" w:line="240" w:lineRule="auto"/>
        <w:rPr>
          <w:rFonts w:ascii="Times New Roman" w:hAnsi="Times New Roman"/>
          <w:sz w:val="24"/>
          <w:szCs w:val="24"/>
          <w:lang w:eastAsia="sk-SK"/>
        </w:rPr>
      </w:pPr>
    </w:p>
    <w:p w:rsidR="00D14925" w:rsidRPr="00817B8E" w:rsidP="00D14925">
      <w:pPr>
        <w:pStyle w:val="ListParagraph"/>
        <w:widowControl w:val="0"/>
        <w:numPr>
          <w:ilvl w:val="2"/>
          <w:numId w:val="16"/>
        </w:numPr>
        <w:bidi w:val="0"/>
        <w:adjustRightInd w:val="0"/>
        <w:spacing w:after="0" w:line="240" w:lineRule="auto"/>
        <w:ind w:left="567" w:hanging="567"/>
        <w:rPr>
          <w:rFonts w:ascii="Times New Roman" w:hAnsi="Times New Roman"/>
          <w:b/>
          <w:bCs/>
          <w:sz w:val="24"/>
          <w:szCs w:val="24"/>
        </w:rPr>
      </w:pPr>
      <w:r w:rsidRPr="00817B8E">
        <w:rPr>
          <w:rFonts w:ascii="Times New Roman" w:hAnsi="Times New Roman"/>
          <w:b/>
          <w:bCs/>
          <w:sz w:val="24"/>
          <w:szCs w:val="24"/>
        </w:rPr>
        <w:t>Predpoklady vývoja objemu aktivít:</w:t>
      </w:r>
    </w:p>
    <w:p w:rsidR="00D14925" w:rsidP="00D14925">
      <w:pPr>
        <w:bidi w:val="0"/>
        <w:spacing w:after="0" w:line="240" w:lineRule="auto"/>
        <w:rPr>
          <w:rFonts w:ascii="Times New Roman" w:hAnsi="Times New Roman"/>
          <w:sz w:val="24"/>
          <w:szCs w:val="24"/>
        </w:rPr>
      </w:pPr>
    </w:p>
    <w:p w:rsidR="00D14925" w:rsidP="00D14925">
      <w:pPr>
        <w:bidi w:val="0"/>
        <w:spacing w:after="0" w:line="240" w:lineRule="auto"/>
        <w:rPr>
          <w:rFonts w:ascii="Times New Roman" w:hAnsi="Times New Roman"/>
          <w:sz w:val="24"/>
          <w:szCs w:val="24"/>
        </w:rPr>
      </w:pPr>
    </w:p>
    <w:p w:rsidR="00D14925" w:rsidP="00D14925">
      <w:pPr>
        <w:bidi w:val="0"/>
        <w:spacing w:after="0" w:line="240" w:lineRule="auto"/>
        <w:rPr>
          <w:rFonts w:ascii="Times New Roman" w:hAnsi="Times New Roman"/>
          <w:sz w:val="24"/>
          <w:szCs w:val="24"/>
        </w:rPr>
      </w:pPr>
    </w:p>
    <w:p w:rsidR="00D14925" w:rsidP="00D14925">
      <w:pPr>
        <w:pStyle w:val="ListParagraph"/>
        <w:widowControl w:val="0"/>
        <w:numPr>
          <w:ilvl w:val="2"/>
          <w:numId w:val="16"/>
        </w:numPr>
        <w:bidi w:val="0"/>
        <w:adjustRightInd w:val="0"/>
        <w:spacing w:after="0" w:line="240" w:lineRule="auto"/>
        <w:ind w:left="567" w:hanging="567"/>
        <w:rPr>
          <w:rFonts w:ascii="Times New Roman" w:hAnsi="Times New Roman"/>
          <w:b/>
          <w:bCs/>
          <w:sz w:val="24"/>
          <w:szCs w:val="24"/>
        </w:rPr>
      </w:pPr>
      <w:r w:rsidRPr="00817B8E">
        <w:rPr>
          <w:rFonts w:ascii="Times New Roman" w:hAnsi="Times New Roman"/>
          <w:b/>
          <w:bCs/>
          <w:sz w:val="24"/>
          <w:szCs w:val="24"/>
        </w:rPr>
        <w:t>Výpočty vplyvov na verejné financie</w:t>
      </w:r>
    </w:p>
    <w:p w:rsidR="00D14925" w:rsidP="00D14925">
      <w:pPr>
        <w:bidi w:val="0"/>
        <w:spacing w:after="0" w:line="240" w:lineRule="auto"/>
        <w:rPr>
          <w:rFonts w:ascii="Times New Roman" w:hAnsi="Times New Roman"/>
          <w:sz w:val="24"/>
          <w:szCs w:val="20"/>
        </w:rPr>
      </w:pPr>
    </w:p>
    <w:p w:rsidR="00D14925" w:rsidRPr="007D5748" w:rsidP="00D14925">
      <w:pPr>
        <w:bidi w:val="0"/>
        <w:spacing w:after="0" w:line="240" w:lineRule="auto"/>
        <w:rPr>
          <w:rFonts w:ascii="Times New Roman" w:hAnsi="Times New Roman"/>
          <w:bCs/>
          <w:sz w:val="24"/>
          <w:szCs w:val="20"/>
          <w:lang w:eastAsia="sk-SK"/>
        </w:rPr>
      </w:pPr>
      <w:r w:rsidRPr="00817B8E">
        <w:rPr>
          <w:rFonts w:ascii="Times New Roman" w:hAnsi="Times New Roman"/>
          <w:sz w:val="24"/>
          <w:szCs w:val="20"/>
        </w:rPr>
        <w:br w:type="page"/>
      </w:r>
    </w:p>
    <w:p w:rsidR="00D14925" w:rsidRPr="009C77F0" w:rsidP="00D14925">
      <w:pPr>
        <w:tabs>
          <w:tab w:val="left" w:pos="1139"/>
        </w:tabs>
        <w:bidi w:val="0"/>
        <w:rPr>
          <w:rFonts w:ascii="Times New Roman" w:hAnsi="Times New Roman"/>
          <w:sz w:val="24"/>
          <w:szCs w:val="20"/>
          <w:lang w:eastAsia="sk-SK"/>
        </w:rPr>
        <w:sectPr w:rsidSect="004211E9">
          <w:headerReference w:type="even" r:id="rId7"/>
          <w:footerReference w:type="even" r:id="rId8"/>
          <w:footerReference w:type="default" r:id="rId9"/>
          <w:headerReference w:type="first" r:id="rId10"/>
          <w:footerReference w:type="first" r:id="rId11"/>
          <w:pgSz w:w="11906" w:h="16838"/>
          <w:pgMar w:top="1417" w:right="1417" w:bottom="1276" w:left="1417" w:header="708" w:footer="708" w:gutter="0"/>
          <w:lnNumType w:distance="0"/>
          <w:pgNumType w:start="1"/>
          <w:cols w:space="708"/>
          <w:noEndnote w:val="0"/>
          <w:bidi w:val="0"/>
          <w:docGrid w:linePitch="360"/>
        </w:sectPr>
      </w:pPr>
    </w:p>
    <w:p w:rsidR="00D14925" w:rsidRPr="007D5748" w:rsidP="00D14925">
      <w:pPr>
        <w:tabs>
          <w:tab w:val="num" w:pos="1080"/>
        </w:tabs>
        <w:bidi w:val="0"/>
        <w:spacing w:after="0" w:line="240" w:lineRule="auto"/>
        <w:jc w:val="right"/>
        <w:rPr>
          <w:rFonts w:ascii="Times New Roman" w:hAnsi="Times New Roman"/>
          <w:bCs/>
          <w:sz w:val="24"/>
          <w:szCs w:val="24"/>
          <w:lang w:eastAsia="sk-SK"/>
        </w:rPr>
      </w:pPr>
      <w:r>
        <w:rPr>
          <w:rFonts w:ascii="Times New Roman" w:hAnsi="Times New Roman"/>
          <w:bCs/>
          <w:sz w:val="24"/>
          <w:szCs w:val="24"/>
          <w:lang w:eastAsia="sk-SK"/>
        </w:rPr>
        <w:t>Tabuľka č. 2</w:t>
      </w:r>
    </w:p>
    <w:p w:rsidR="00D14925" w:rsidRPr="007D5748" w:rsidP="00D14925">
      <w:pPr>
        <w:tabs>
          <w:tab w:val="num" w:pos="1080"/>
        </w:tabs>
        <w:bidi w:val="0"/>
        <w:spacing w:after="0" w:line="240" w:lineRule="auto"/>
        <w:jc w:val="both"/>
        <w:rPr>
          <w:rFonts w:ascii="Times New Roman" w:hAnsi="Times New Roman"/>
          <w:bCs/>
          <w:sz w:val="24"/>
          <w:szCs w:val="20"/>
          <w:lang w:eastAsia="sk-SK"/>
        </w:rPr>
      </w:pPr>
    </w:p>
    <w:tbl>
      <w:tblPr>
        <w:tblStyle w:val="TableNormal"/>
        <w:tblpPr w:leftFromText="141" w:rightFromText="141" w:horzAnchor="margin" w:tblpXSpec="center" w:tblpY="533"/>
        <w:tblW w:w="13950" w:type="dxa"/>
        <w:tblCellMar>
          <w:left w:w="70" w:type="dxa"/>
          <w:right w:w="70" w:type="dxa"/>
        </w:tblCellMar>
      </w:tblPr>
      <w:tblGrid>
        <w:gridCol w:w="4950"/>
        <w:gridCol w:w="1500"/>
        <w:gridCol w:w="1500"/>
        <w:gridCol w:w="1500"/>
        <w:gridCol w:w="1500"/>
        <w:gridCol w:w="3000"/>
      </w:tblGrid>
      <w:tr>
        <w:tblPrEx>
          <w:tblW w:w="13950" w:type="dxa"/>
          <w:tblCellMar>
            <w:left w:w="70" w:type="dxa"/>
            <w:right w:w="70" w:type="dxa"/>
          </w:tblCellMar>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14925" w:rsidRPr="007D5748" w:rsidP="00182CC2">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D14925" w:rsidRPr="007D5748" w:rsidP="00182CC2">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14925" w:rsidRPr="007D5748" w:rsidP="00182CC2">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poznámka</w:t>
            </w:r>
          </w:p>
        </w:tc>
      </w:tr>
      <w:tr>
        <w:tblPrEx>
          <w:tblW w:w="13950" w:type="dxa"/>
          <w:tblCellMar>
            <w:left w:w="70" w:type="dxa"/>
            <w:right w:w="70" w:type="dxa"/>
          </w:tblCellMar>
        </w:tblPrEx>
        <w:trPr>
          <w:cantSplit/>
          <w:trHeight w:val="255"/>
        </w:trPr>
        <w:tc>
          <w:tcPr>
            <w:tcW w:w="4950" w:type="dxa"/>
            <w:vMerge/>
            <w:tcBorders>
              <w:top w:val="single" w:sz="4" w:space="0" w:color="auto"/>
              <w:left w:val="single" w:sz="4" w:space="0" w:color="auto"/>
              <w:bottom w:val="single" w:sz="4" w:space="0" w:color="auto"/>
              <w:right w:val="single" w:sz="4" w:space="0" w:color="auto"/>
            </w:tcBorders>
            <w:textDirection w:val="lrTb"/>
            <w:vAlign w:val="center"/>
          </w:tcPr>
          <w:p w:rsidR="00D14925" w:rsidRPr="007D5748" w:rsidP="00182CC2">
            <w:pPr>
              <w:bidi w:val="0"/>
              <w:spacing w:after="0" w:line="240" w:lineRule="auto"/>
              <w:rPr>
                <w:rFonts w:ascii="Times New Roman" w:hAnsi="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extDirection w:val="lrTb"/>
            <w:vAlign w:val="top"/>
          </w:tcPr>
          <w:p w:rsidR="00D14925" w:rsidRPr="007D5748" w:rsidP="00182CC2">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2017</w:t>
            </w:r>
          </w:p>
        </w:tc>
        <w:tc>
          <w:tcPr>
            <w:tcW w:w="1500" w:type="dxa"/>
            <w:tcBorders>
              <w:top w:val="nil"/>
              <w:left w:val="nil"/>
              <w:bottom w:val="single" w:sz="4" w:space="0" w:color="auto"/>
              <w:right w:val="single" w:sz="4" w:space="0" w:color="auto"/>
            </w:tcBorders>
            <w:shd w:val="clear" w:color="auto" w:fill="BFBFBF"/>
            <w:textDirection w:val="lrTb"/>
            <w:vAlign w:val="top"/>
          </w:tcPr>
          <w:p w:rsidR="00D14925" w:rsidRPr="007D5748" w:rsidP="00182CC2">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2018</w:t>
            </w:r>
          </w:p>
        </w:tc>
        <w:tc>
          <w:tcPr>
            <w:tcW w:w="1500" w:type="dxa"/>
            <w:tcBorders>
              <w:top w:val="nil"/>
              <w:left w:val="nil"/>
              <w:bottom w:val="single" w:sz="4" w:space="0" w:color="auto"/>
              <w:right w:val="single" w:sz="4" w:space="0" w:color="auto"/>
            </w:tcBorders>
            <w:shd w:val="clear" w:color="auto" w:fill="BFBFBF"/>
            <w:textDirection w:val="lrTb"/>
            <w:vAlign w:val="top"/>
          </w:tcPr>
          <w:p w:rsidR="00D14925" w:rsidRPr="007D5748" w:rsidP="00182CC2">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2019</w:t>
            </w:r>
          </w:p>
        </w:tc>
        <w:tc>
          <w:tcPr>
            <w:tcW w:w="1500" w:type="dxa"/>
            <w:tcBorders>
              <w:top w:val="nil"/>
              <w:left w:val="nil"/>
              <w:bottom w:val="single" w:sz="4" w:space="0" w:color="auto"/>
              <w:right w:val="single" w:sz="4" w:space="0" w:color="auto"/>
            </w:tcBorders>
            <w:shd w:val="clear" w:color="auto" w:fill="BFBFBF"/>
            <w:textDirection w:val="lrTb"/>
            <w:vAlign w:val="top"/>
          </w:tcPr>
          <w:p w:rsidR="00D14925" w:rsidRPr="007D5748" w:rsidP="00182CC2">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2020</w:t>
            </w:r>
          </w:p>
        </w:tc>
        <w:tc>
          <w:tcPr>
            <w:tcW w:w="3000" w:type="dxa"/>
            <w:vMerge/>
            <w:tcBorders>
              <w:top w:val="single" w:sz="4" w:space="0" w:color="auto"/>
              <w:left w:val="single" w:sz="4" w:space="0" w:color="auto"/>
              <w:bottom w:val="single" w:sz="4" w:space="0" w:color="auto"/>
              <w:right w:val="single" w:sz="4" w:space="0" w:color="auto"/>
            </w:tcBorders>
            <w:textDirection w:val="lrTb"/>
            <w:vAlign w:val="center"/>
          </w:tcPr>
          <w:p w:rsidR="00D14925" w:rsidRPr="007D5748" w:rsidP="00182CC2">
            <w:pPr>
              <w:bidi w:val="0"/>
              <w:spacing w:after="0" w:line="240" w:lineRule="auto"/>
              <w:rPr>
                <w:rFonts w:ascii="Times New Roman" w:hAnsi="Times New Roman"/>
                <w:b/>
                <w:bCs/>
                <w:color w:val="FFFFFF"/>
                <w:sz w:val="24"/>
                <w:szCs w:val="24"/>
                <w:lang w:eastAsia="sk-SK"/>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D14925" w:rsidRPr="007D5748" w:rsidP="00182CC2">
            <w:pPr>
              <w:bidi w:val="0"/>
              <w:spacing w:after="0" w:line="240" w:lineRule="auto"/>
              <w:rPr>
                <w:rFonts w:ascii="Times New Roman" w:hAnsi="Times New Roman"/>
                <w:b/>
                <w:bCs/>
                <w:sz w:val="24"/>
                <w:szCs w:val="24"/>
                <w:vertAlign w:val="superscript"/>
                <w:lang w:eastAsia="sk-SK"/>
              </w:rPr>
            </w:pPr>
            <w:r w:rsidRPr="007D5748">
              <w:rPr>
                <w:rFonts w:ascii="Times New Roman" w:hAnsi="Times New Roman"/>
                <w:b/>
                <w:bCs/>
                <w:sz w:val="24"/>
                <w:szCs w:val="24"/>
                <w:lang w:eastAsia="sk-SK"/>
              </w:rPr>
              <w:t>Daňové príjmy (100)</w:t>
            </w:r>
            <w:r w:rsidRPr="007D5748">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D14925" w:rsidRPr="007D5748" w:rsidP="00182CC2">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textDirection w:val="lrTb"/>
            <w:vAlign w:val="top"/>
          </w:tcPr>
          <w:p w:rsidR="00D14925" w:rsidRPr="007D5748" w:rsidP="00182CC2">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textDirection w:val="lrTb"/>
            <w:vAlign w:val="top"/>
          </w:tcPr>
          <w:p w:rsidR="00D14925" w:rsidRPr="007D5748" w:rsidP="00182CC2">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textDirection w:val="lrTb"/>
            <w:vAlign w:val="top"/>
          </w:tcPr>
          <w:p w:rsidR="00D14925" w:rsidRPr="007D5748" w:rsidP="00182CC2">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3000" w:type="dxa"/>
            <w:tcBorders>
              <w:top w:val="nil"/>
              <w:left w:val="nil"/>
              <w:bottom w:val="single" w:sz="4" w:space="0" w:color="auto"/>
              <w:right w:val="single" w:sz="4" w:space="0" w:color="auto"/>
            </w:tcBorders>
            <w:noWrap/>
            <w:textDirection w:val="lrTb"/>
            <w:vAlign w:val="bottom"/>
          </w:tcPr>
          <w:p w:rsidR="00D14925" w:rsidRPr="007D5748" w:rsidP="00182CC2">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D14925" w:rsidRPr="007D5748" w:rsidP="00182CC2">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Nedaňové príjmy (200)</w:t>
            </w:r>
            <w:r w:rsidRPr="007D5748">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D14925" w:rsidRPr="007D5748" w:rsidP="00182CC2">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textDirection w:val="lrTb"/>
            <w:vAlign w:val="top"/>
          </w:tcPr>
          <w:p w:rsidR="00D14925" w:rsidRPr="007D5748" w:rsidP="00182CC2">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textDirection w:val="lrTb"/>
            <w:vAlign w:val="top"/>
          </w:tcPr>
          <w:p w:rsidR="00D14925" w:rsidRPr="007D5748" w:rsidP="00182CC2">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textDirection w:val="lrTb"/>
            <w:vAlign w:val="top"/>
          </w:tcPr>
          <w:p w:rsidR="00D14925" w:rsidRPr="007D5748" w:rsidP="00182CC2">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3000" w:type="dxa"/>
            <w:tcBorders>
              <w:top w:val="nil"/>
              <w:left w:val="nil"/>
              <w:bottom w:val="single" w:sz="4" w:space="0" w:color="auto"/>
              <w:right w:val="single" w:sz="4" w:space="0" w:color="auto"/>
            </w:tcBorders>
            <w:noWrap/>
            <w:textDirection w:val="lrTb"/>
            <w:vAlign w:val="bottom"/>
          </w:tcPr>
          <w:p w:rsidR="00D14925" w:rsidRPr="007D5748" w:rsidP="00182CC2">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D14925" w:rsidRPr="007D5748" w:rsidP="00182CC2">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Granty a transfery (300)</w:t>
            </w:r>
            <w:r w:rsidRPr="007D5748">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extDirection w:val="lrTb"/>
            <w:vAlign w:val="top"/>
          </w:tcPr>
          <w:p w:rsidR="00D14925" w:rsidRPr="007D5748" w:rsidP="00182CC2">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textDirection w:val="lrTb"/>
            <w:vAlign w:val="top"/>
          </w:tcPr>
          <w:p w:rsidR="00D14925" w:rsidRPr="007D5748" w:rsidP="00182CC2">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textDirection w:val="lrTb"/>
            <w:vAlign w:val="top"/>
          </w:tcPr>
          <w:p w:rsidR="00D14925" w:rsidRPr="007D5748" w:rsidP="00182CC2">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textDirection w:val="lrTb"/>
            <w:vAlign w:val="top"/>
          </w:tcPr>
          <w:p w:rsidR="00D14925" w:rsidRPr="007D5748" w:rsidP="00182CC2">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3000" w:type="dxa"/>
            <w:tcBorders>
              <w:top w:val="nil"/>
              <w:left w:val="nil"/>
              <w:bottom w:val="single" w:sz="4" w:space="0" w:color="auto"/>
              <w:right w:val="single" w:sz="4" w:space="0" w:color="auto"/>
            </w:tcBorders>
            <w:noWrap/>
            <w:textDirection w:val="lrTb"/>
            <w:vAlign w:val="bottom"/>
          </w:tcPr>
          <w:p w:rsidR="00D14925" w:rsidRPr="007D5748" w:rsidP="00182CC2">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D14925" w:rsidRPr="007D5748" w:rsidP="00182CC2">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top"/>
          </w:tcPr>
          <w:p w:rsidR="00D14925" w:rsidRPr="007D5748" w:rsidP="00182CC2">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r w:rsidRPr="007D5748">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D14925" w:rsidRPr="007D5748" w:rsidP="00182CC2">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FFFF99"/>
            <w:textDirection w:val="lrTb"/>
            <w:vAlign w:val="top"/>
          </w:tcPr>
          <w:p w:rsidR="00D14925" w:rsidRPr="007D5748" w:rsidP="00182CC2">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FFFF99"/>
            <w:textDirection w:val="lrTb"/>
            <w:vAlign w:val="top"/>
          </w:tcPr>
          <w:p w:rsidR="00D14925" w:rsidRPr="007D5748" w:rsidP="00182CC2">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3000" w:type="dxa"/>
            <w:tcBorders>
              <w:top w:val="nil"/>
              <w:left w:val="nil"/>
              <w:bottom w:val="single" w:sz="4" w:space="0" w:color="auto"/>
              <w:right w:val="single" w:sz="4" w:space="0" w:color="auto"/>
            </w:tcBorders>
            <w:noWrap/>
            <w:textDirection w:val="lrTb"/>
            <w:vAlign w:val="bottom"/>
          </w:tcPr>
          <w:p w:rsidR="00D14925" w:rsidRPr="007D5748" w:rsidP="00182CC2">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D14925" w:rsidRPr="007D5748" w:rsidP="00182CC2">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top"/>
          </w:tcPr>
          <w:p w:rsidR="00D14925" w:rsidRPr="007D5748" w:rsidP="00182CC2">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r>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FFFF99"/>
            <w:textDirection w:val="lrTb"/>
            <w:vAlign w:val="top"/>
          </w:tcPr>
          <w:p w:rsidR="00D14925" w:rsidRPr="007D5748" w:rsidP="00182CC2">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FFFF99"/>
            <w:textDirection w:val="lrTb"/>
            <w:vAlign w:val="top"/>
          </w:tcPr>
          <w:p w:rsidR="00D14925" w:rsidRPr="007D5748" w:rsidP="00182CC2">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FFFF99"/>
            <w:textDirection w:val="lrTb"/>
            <w:vAlign w:val="top"/>
          </w:tcPr>
          <w:p w:rsidR="00D14925" w:rsidRPr="007D5748" w:rsidP="00182CC2">
            <w:pPr>
              <w:bidi w:val="0"/>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0</w:t>
            </w:r>
          </w:p>
        </w:tc>
        <w:tc>
          <w:tcPr>
            <w:tcW w:w="3000" w:type="dxa"/>
            <w:tcBorders>
              <w:top w:val="nil"/>
              <w:left w:val="nil"/>
              <w:bottom w:val="single" w:sz="4" w:space="0" w:color="auto"/>
              <w:right w:val="single" w:sz="4" w:space="0" w:color="auto"/>
            </w:tcBorders>
            <w:noWrap/>
            <w:textDirection w:val="lrTb"/>
            <w:vAlign w:val="bottom"/>
          </w:tcPr>
          <w:p w:rsidR="00D14925" w:rsidRPr="007D5748" w:rsidP="00182CC2">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shd w:val="clear" w:color="auto" w:fill="BFBFBF"/>
            <w:textDirection w:val="lrTb"/>
            <w:vAlign w:val="top"/>
          </w:tcPr>
          <w:p w:rsidR="00D14925" w:rsidRPr="007D5748" w:rsidP="00182CC2">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extDirection w:val="lrTb"/>
            <w:vAlign w:val="top"/>
          </w:tcPr>
          <w:p w:rsidR="00D14925" w:rsidRPr="007D5748" w:rsidP="00182CC2">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extDirection w:val="lrTb"/>
            <w:vAlign w:val="top"/>
          </w:tcPr>
          <w:p w:rsidR="00D14925" w:rsidRPr="007D5748" w:rsidP="00182CC2">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extDirection w:val="lrTb"/>
            <w:vAlign w:val="top"/>
          </w:tcPr>
          <w:p w:rsidR="00D14925" w:rsidRPr="007D5748" w:rsidP="00182CC2">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extDirection w:val="lrTb"/>
            <w:vAlign w:val="top"/>
          </w:tcPr>
          <w:p w:rsidR="00D14925" w:rsidRPr="007D5748" w:rsidP="00182CC2">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noWrap/>
            <w:textDirection w:val="lrTb"/>
            <w:vAlign w:val="bottom"/>
          </w:tcPr>
          <w:p w:rsidR="00D14925" w:rsidRPr="007D5748" w:rsidP="00182CC2">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bl>
    <w:p w:rsidR="00D14925" w:rsidRPr="007D5748" w:rsidP="00D14925">
      <w:pPr>
        <w:tabs>
          <w:tab w:val="num" w:pos="1080"/>
        </w:tabs>
        <w:bidi w:val="0"/>
        <w:spacing w:after="0" w:line="240" w:lineRule="auto"/>
        <w:jc w:val="both"/>
        <w:rPr>
          <w:rFonts w:ascii="Times New Roman" w:hAnsi="Times New Roman"/>
          <w:bCs/>
          <w:sz w:val="24"/>
          <w:szCs w:val="20"/>
          <w:lang w:eastAsia="sk-SK"/>
        </w:rPr>
      </w:pPr>
    </w:p>
    <w:p w:rsidR="00D14925" w:rsidP="00D14925">
      <w:pPr>
        <w:tabs>
          <w:tab w:val="num" w:pos="1080"/>
        </w:tabs>
        <w:bidi w:val="0"/>
        <w:spacing w:after="0" w:line="240" w:lineRule="auto"/>
        <w:ind w:right="-32"/>
        <w:rPr>
          <w:rFonts w:ascii="Times New Roman" w:hAnsi="Times New Roman"/>
          <w:bCs/>
          <w:sz w:val="24"/>
          <w:szCs w:val="24"/>
          <w:lang w:eastAsia="sk-SK"/>
        </w:rPr>
      </w:pPr>
    </w:p>
    <w:p w:rsidR="00D14925" w:rsidRPr="007D5748" w:rsidP="00D14925">
      <w:pPr>
        <w:tabs>
          <w:tab w:val="num" w:pos="1080"/>
        </w:tabs>
        <w:bidi w:val="0"/>
        <w:spacing w:after="0" w:line="240" w:lineRule="auto"/>
        <w:ind w:right="-32"/>
        <w:jc w:val="right"/>
        <w:rPr>
          <w:rFonts w:ascii="Times New Roman" w:hAnsi="Times New Roman"/>
          <w:bCs/>
          <w:sz w:val="24"/>
          <w:szCs w:val="24"/>
          <w:lang w:eastAsia="sk-SK"/>
        </w:rPr>
      </w:pPr>
      <w:r>
        <w:rPr>
          <w:rFonts w:ascii="Times New Roman" w:hAnsi="Times New Roman"/>
          <w:bCs/>
          <w:sz w:val="24"/>
          <w:szCs w:val="24"/>
          <w:lang w:eastAsia="sk-SK"/>
        </w:rPr>
        <w:t>Tabuľka č. 3</w:t>
      </w:r>
      <w:r w:rsidRPr="007D5748">
        <w:rPr>
          <w:rFonts w:ascii="Times New Roman" w:hAnsi="Times New Roman"/>
          <w:bCs/>
          <w:sz w:val="24"/>
          <w:szCs w:val="24"/>
          <w:lang w:eastAsia="sk-SK"/>
        </w:rPr>
        <w:t xml:space="preserve"> </w:t>
      </w:r>
    </w:p>
    <w:p w:rsidR="00D14925" w:rsidRPr="007D5748" w:rsidP="00D14925">
      <w:pPr>
        <w:tabs>
          <w:tab w:val="num" w:pos="1080"/>
        </w:tabs>
        <w:bidi w:val="0"/>
        <w:spacing w:after="0" w:line="240" w:lineRule="auto"/>
        <w:jc w:val="both"/>
        <w:rPr>
          <w:rFonts w:ascii="Times New Roman" w:hAnsi="Times New Roman"/>
          <w:bCs/>
          <w:sz w:val="24"/>
          <w:szCs w:val="20"/>
          <w:lang w:eastAsia="sk-SK"/>
        </w:rPr>
      </w:pPr>
    </w:p>
    <w:tbl>
      <w:tblPr>
        <w:tblStyle w:val="TableNormal"/>
        <w:tblpPr w:leftFromText="141" w:rightFromText="141" w:vertAnchor="text" w:horzAnchor="page" w:tblpX="629" w:tblpY="2"/>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tcPr>
          <w:p w:rsidR="00D14925" w:rsidRPr="007D5748" w:rsidP="00182CC2">
            <w:pPr>
              <w:bidi w:val="0"/>
              <w:spacing w:after="0"/>
              <w:jc w:val="center"/>
              <w:rPr>
                <w:rFonts w:ascii="Times New Roman" w:hAnsi="Times New Roman"/>
                <w:b/>
                <w:bCs/>
                <w:sz w:val="20"/>
                <w:szCs w:val="20"/>
                <w:lang w:eastAsia="sk-SK"/>
              </w:rPr>
            </w:pPr>
            <w:r w:rsidRPr="007D5748">
              <w:rPr>
                <w:rFonts w:ascii="Times New Roman" w:hAnsi="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D14925" w:rsidRPr="007D5748" w:rsidP="00182CC2">
            <w:pPr>
              <w:bidi w:val="0"/>
              <w:spacing w:after="0"/>
              <w:jc w:val="center"/>
              <w:rPr>
                <w:rFonts w:ascii="Times New Roman" w:hAnsi="Times New Roman"/>
                <w:b/>
                <w:bCs/>
                <w:sz w:val="20"/>
                <w:szCs w:val="20"/>
                <w:lang w:eastAsia="sk-SK"/>
              </w:rPr>
            </w:pPr>
            <w:r w:rsidRPr="007D5748">
              <w:rPr>
                <w:rFonts w:ascii="Times New Roman" w:hAnsi="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14925" w:rsidRPr="007D5748" w:rsidP="00182CC2">
            <w:pPr>
              <w:bidi w:val="0"/>
              <w:spacing w:after="0"/>
              <w:jc w:val="center"/>
              <w:rPr>
                <w:rFonts w:ascii="Times New Roman" w:hAnsi="Times New Roman"/>
                <w:b/>
                <w:bCs/>
                <w:sz w:val="24"/>
                <w:szCs w:val="24"/>
                <w:lang w:eastAsia="sk-SK"/>
              </w:rPr>
            </w:pPr>
            <w:r w:rsidRPr="007D5748">
              <w:rPr>
                <w:rFonts w:ascii="Times New Roman" w:hAnsi="Times New Roman"/>
                <w:b/>
                <w:bCs/>
                <w:sz w:val="24"/>
                <w:szCs w:val="24"/>
                <w:lang w:eastAsia="sk-SK"/>
              </w:rPr>
              <w:t>poznámka</w:t>
            </w:r>
          </w:p>
        </w:tc>
      </w:tr>
      <w:tr>
        <w:tblPrEx>
          <w:tblW w:w="15450"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D14925" w:rsidRPr="007D5748" w:rsidP="00182CC2">
            <w:pPr>
              <w:bidi w:val="0"/>
              <w:spacing w:after="0"/>
              <w:rPr>
                <w:rFonts w:ascii="Times New Roman" w:hAnsi="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extDirection w:val="lrTb"/>
            <w:vAlign w:val="top"/>
          </w:tcPr>
          <w:p w:rsidR="00D14925" w:rsidRPr="007D5748" w:rsidP="00182CC2">
            <w:pPr>
              <w:bidi w:val="0"/>
              <w:spacing w:after="0"/>
              <w:jc w:val="center"/>
              <w:rPr>
                <w:rFonts w:ascii="Times New Roman" w:hAnsi="Times New Roman"/>
                <w:b/>
                <w:bCs/>
                <w:sz w:val="20"/>
                <w:szCs w:val="20"/>
                <w:lang w:eastAsia="sk-SK"/>
              </w:rPr>
            </w:pPr>
            <w:r>
              <w:rPr>
                <w:rFonts w:ascii="Times New Roman" w:hAnsi="Times New Roman"/>
                <w:b/>
                <w:bCs/>
                <w:sz w:val="20"/>
                <w:szCs w:val="20"/>
                <w:lang w:eastAsia="sk-SK"/>
              </w:rPr>
              <w:t>2017</w:t>
            </w:r>
          </w:p>
        </w:tc>
        <w:tc>
          <w:tcPr>
            <w:tcW w:w="1540" w:type="dxa"/>
            <w:tcBorders>
              <w:top w:val="nil"/>
              <w:left w:val="nil"/>
              <w:bottom w:val="single" w:sz="4" w:space="0" w:color="auto"/>
              <w:right w:val="single" w:sz="4" w:space="0" w:color="auto"/>
            </w:tcBorders>
            <w:shd w:val="clear" w:color="auto" w:fill="BFBFBF"/>
            <w:textDirection w:val="lrTb"/>
            <w:vAlign w:val="top"/>
          </w:tcPr>
          <w:p w:rsidR="00D14925" w:rsidRPr="007D5748" w:rsidP="00182CC2">
            <w:pPr>
              <w:bidi w:val="0"/>
              <w:spacing w:after="0"/>
              <w:jc w:val="center"/>
              <w:rPr>
                <w:rFonts w:ascii="Times New Roman" w:hAnsi="Times New Roman"/>
                <w:b/>
                <w:bCs/>
                <w:sz w:val="20"/>
                <w:szCs w:val="20"/>
                <w:lang w:eastAsia="sk-SK"/>
              </w:rPr>
            </w:pPr>
            <w:r>
              <w:rPr>
                <w:rFonts w:ascii="Times New Roman" w:hAnsi="Times New Roman"/>
                <w:b/>
                <w:bCs/>
                <w:sz w:val="20"/>
                <w:szCs w:val="20"/>
                <w:lang w:eastAsia="sk-SK"/>
              </w:rPr>
              <w:t>2018</w:t>
            </w:r>
          </w:p>
        </w:tc>
        <w:tc>
          <w:tcPr>
            <w:tcW w:w="1540" w:type="dxa"/>
            <w:tcBorders>
              <w:top w:val="nil"/>
              <w:left w:val="nil"/>
              <w:bottom w:val="single" w:sz="4" w:space="0" w:color="auto"/>
              <w:right w:val="single" w:sz="4" w:space="0" w:color="auto"/>
            </w:tcBorders>
            <w:shd w:val="clear" w:color="auto" w:fill="BFBFBF"/>
            <w:textDirection w:val="lrTb"/>
            <w:vAlign w:val="top"/>
          </w:tcPr>
          <w:p w:rsidR="00D14925" w:rsidRPr="007D5748" w:rsidP="00182CC2">
            <w:pPr>
              <w:bidi w:val="0"/>
              <w:spacing w:after="0"/>
              <w:jc w:val="center"/>
              <w:rPr>
                <w:rFonts w:ascii="Times New Roman" w:hAnsi="Times New Roman"/>
                <w:b/>
                <w:bCs/>
                <w:sz w:val="20"/>
                <w:szCs w:val="20"/>
                <w:lang w:eastAsia="sk-SK"/>
              </w:rPr>
            </w:pPr>
            <w:r>
              <w:rPr>
                <w:rFonts w:ascii="Times New Roman" w:hAnsi="Times New Roman"/>
                <w:b/>
                <w:bCs/>
                <w:sz w:val="20"/>
                <w:szCs w:val="20"/>
                <w:lang w:eastAsia="sk-SK"/>
              </w:rPr>
              <w:t>2019</w:t>
            </w:r>
          </w:p>
        </w:tc>
        <w:tc>
          <w:tcPr>
            <w:tcW w:w="1540" w:type="dxa"/>
            <w:tcBorders>
              <w:top w:val="nil"/>
              <w:left w:val="nil"/>
              <w:bottom w:val="single" w:sz="4" w:space="0" w:color="auto"/>
              <w:right w:val="single" w:sz="4" w:space="0" w:color="auto"/>
            </w:tcBorders>
            <w:shd w:val="clear" w:color="auto" w:fill="BFBFBF"/>
            <w:textDirection w:val="lrTb"/>
            <w:vAlign w:val="top"/>
          </w:tcPr>
          <w:p w:rsidR="00D14925" w:rsidRPr="007D5748" w:rsidP="00182CC2">
            <w:pPr>
              <w:bidi w:val="0"/>
              <w:spacing w:after="0"/>
              <w:jc w:val="center"/>
              <w:rPr>
                <w:rFonts w:ascii="Times New Roman" w:hAnsi="Times New Roman"/>
                <w:b/>
                <w:bCs/>
                <w:sz w:val="24"/>
                <w:szCs w:val="24"/>
                <w:lang w:eastAsia="sk-SK"/>
              </w:rPr>
            </w:pPr>
            <w:r>
              <w:rPr>
                <w:rFonts w:ascii="Times New Roman" w:hAnsi="Times New Roman"/>
                <w:b/>
                <w:bCs/>
                <w:sz w:val="24"/>
                <w:szCs w:val="24"/>
                <w:lang w:eastAsia="sk-SK"/>
              </w:rPr>
              <w:t>2020</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D14925" w:rsidRPr="007D5748" w:rsidP="00182CC2">
            <w:pPr>
              <w:bidi w:val="0"/>
              <w:spacing w:after="0"/>
              <w:rPr>
                <w:rFonts w:ascii="Times New Roman" w:hAnsi="Times New Roman"/>
                <w:b/>
                <w:bCs/>
                <w:color w:val="FFFFFF"/>
                <w:sz w:val="24"/>
                <w:szCs w:val="24"/>
                <w:lang w:eastAsia="sk-SK"/>
              </w:rPr>
            </w:pPr>
          </w:p>
        </w:tc>
      </w:tr>
      <w:tr>
        <w:tblPrEx>
          <w:tblW w:w="15450" w:type="dxa"/>
          <w:tblCellMar>
            <w:left w:w="70" w:type="dxa"/>
            <w:right w:w="7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extDirection w:val="lrTb"/>
            <w:vAlign w:val="center"/>
          </w:tcPr>
          <w:p w:rsidR="00D14925" w:rsidRPr="000E6BC7" w:rsidP="00182CC2">
            <w:pPr>
              <w:bidi w:val="0"/>
              <w:spacing w:after="0"/>
              <w:rPr>
                <w:rFonts w:ascii="Times New Roman" w:hAnsi="Times New Roman"/>
                <w:sz w:val="24"/>
                <w:szCs w:val="24"/>
                <w:lang w:eastAsia="sk-SK"/>
              </w:rPr>
            </w:pPr>
            <w:r w:rsidRPr="000E6BC7">
              <w:rPr>
                <w:rFonts w:ascii="Times New Roman" w:hAnsi="Times New Roman"/>
                <w:b/>
                <w:bCs/>
                <w:sz w:val="20"/>
                <w:szCs w:val="20"/>
                <w:lang w:eastAsia="sk-SK"/>
              </w:rPr>
              <w:t>Bežné výdavky (600)</w:t>
            </w:r>
          </w:p>
        </w:tc>
        <w:tc>
          <w:tcPr>
            <w:tcW w:w="1540" w:type="dxa"/>
            <w:tcBorders>
              <w:top w:val="single" w:sz="4" w:space="0" w:color="000000"/>
              <w:left w:val="none" w:sz="0" w:space="0" w:color="auto"/>
              <w:bottom w:val="single" w:sz="4" w:space="0" w:color="000000"/>
              <w:right w:val="single" w:sz="4" w:space="0" w:color="000000"/>
            </w:tcBorders>
            <w:textDirection w:val="lrTb"/>
            <w:vAlign w:val="center"/>
          </w:tcPr>
          <w:p w:rsidR="00D14925" w:rsidRPr="004211E9" w:rsidP="00182CC2">
            <w:pPr>
              <w:bidi w:val="0"/>
              <w:spacing w:after="0"/>
              <w:jc w:val="center"/>
              <w:rPr>
                <w:rFonts w:ascii="Times New Roman" w:hAnsi="Times New Roman"/>
                <w:b/>
                <w:bCs/>
                <w:sz w:val="20"/>
                <w:szCs w:val="20"/>
                <w:lang w:eastAsia="sk-SK"/>
              </w:rPr>
            </w:pPr>
            <w:r w:rsidRPr="004211E9">
              <w:rPr>
                <w:rFonts w:ascii="Times New Roman" w:hAnsi="Times New Roman"/>
                <w:b/>
                <w:bCs/>
                <w:sz w:val="20"/>
                <w:szCs w:val="20"/>
                <w:lang w:eastAsia="sk-SK"/>
              </w:rPr>
              <w:t>0</w:t>
            </w:r>
          </w:p>
        </w:tc>
        <w:tc>
          <w:tcPr>
            <w:tcW w:w="1540" w:type="dxa"/>
            <w:tcBorders>
              <w:top w:val="single" w:sz="4" w:space="0" w:color="000000"/>
              <w:left w:val="none" w:sz="0" w:space="0" w:color="auto"/>
              <w:bottom w:val="single" w:sz="4" w:space="0" w:color="000000"/>
              <w:right w:val="single" w:sz="4" w:space="0" w:color="000000"/>
            </w:tcBorders>
            <w:textDirection w:val="lrTb"/>
            <w:vAlign w:val="center"/>
          </w:tcPr>
          <w:p w:rsidR="00D14925" w:rsidRPr="006B71C4" w:rsidP="00182CC2">
            <w:pPr>
              <w:bidi w:val="0"/>
              <w:spacing w:after="0"/>
              <w:jc w:val="center"/>
              <w:rPr>
                <w:rFonts w:ascii="Times New Roman" w:hAnsi="Times New Roman"/>
                <w:b/>
                <w:color w:val="000000"/>
                <w:sz w:val="20"/>
                <w:szCs w:val="20"/>
              </w:rPr>
            </w:pPr>
            <w:r>
              <w:rPr>
                <w:rFonts w:ascii="Times New Roman" w:hAnsi="Times New Roman"/>
                <w:b/>
                <w:color w:val="000000"/>
                <w:sz w:val="20"/>
                <w:szCs w:val="20"/>
              </w:rPr>
              <w:t>99</w:t>
            </w:r>
            <w:r w:rsidRPr="006B71C4">
              <w:rPr>
                <w:rFonts w:ascii="Times New Roman" w:hAnsi="Times New Roman"/>
                <w:b/>
                <w:color w:val="000000"/>
                <w:sz w:val="20"/>
                <w:szCs w:val="20"/>
              </w:rPr>
              <w:t xml:space="preserve">0 </w:t>
            </w:r>
            <w:r w:rsidRPr="006B71C4">
              <w:rPr>
                <w:rFonts w:ascii="Times New Roman" w:hAnsi="Times New Roman"/>
                <w:b/>
                <w:sz w:val="20"/>
                <w:szCs w:val="20"/>
                <w:lang w:eastAsia="sk-SK"/>
              </w:rPr>
              <w:t>000</w:t>
            </w:r>
            <w:r w:rsidRPr="006B71C4">
              <w:rPr>
                <w:rFonts w:ascii="Times New Roman" w:hAnsi="Times New Roman"/>
                <w:b/>
                <w:color w:val="000000"/>
                <w:sz w:val="20"/>
                <w:szCs w:val="20"/>
              </w:rPr>
              <w:t>,00</w:t>
            </w:r>
          </w:p>
        </w:tc>
        <w:tc>
          <w:tcPr>
            <w:tcW w:w="1540" w:type="dxa"/>
            <w:tcBorders>
              <w:top w:val="single" w:sz="4" w:space="0" w:color="000000"/>
              <w:left w:val="none" w:sz="0" w:space="0" w:color="auto"/>
              <w:bottom w:val="single" w:sz="4" w:space="0" w:color="000000"/>
              <w:right w:val="single" w:sz="4" w:space="0" w:color="000000"/>
            </w:tcBorders>
            <w:textDirection w:val="lrTb"/>
            <w:vAlign w:val="center"/>
          </w:tcPr>
          <w:p w:rsidR="00D14925" w:rsidRPr="006B71C4" w:rsidP="00182CC2">
            <w:pPr>
              <w:bidi w:val="0"/>
              <w:spacing w:after="0"/>
              <w:jc w:val="center"/>
              <w:rPr>
                <w:rFonts w:ascii="Times New Roman" w:hAnsi="Times New Roman"/>
                <w:b/>
                <w:color w:val="000000"/>
                <w:sz w:val="20"/>
                <w:szCs w:val="20"/>
              </w:rPr>
            </w:pPr>
            <w:r>
              <w:rPr>
                <w:rFonts w:ascii="Times New Roman" w:hAnsi="Times New Roman"/>
                <w:b/>
                <w:color w:val="000000"/>
                <w:sz w:val="20"/>
                <w:szCs w:val="20"/>
              </w:rPr>
              <w:t>32</w:t>
            </w:r>
            <w:r w:rsidRPr="006B71C4">
              <w:rPr>
                <w:rFonts w:ascii="Times New Roman" w:hAnsi="Times New Roman"/>
                <w:b/>
                <w:color w:val="000000"/>
                <w:sz w:val="20"/>
                <w:szCs w:val="20"/>
              </w:rPr>
              <w:t>0 000,00</w:t>
            </w:r>
          </w:p>
        </w:tc>
        <w:tc>
          <w:tcPr>
            <w:tcW w:w="1540" w:type="dxa"/>
            <w:tcBorders>
              <w:top w:val="single" w:sz="4" w:space="0" w:color="000000"/>
              <w:left w:val="none" w:sz="0" w:space="0" w:color="auto"/>
              <w:bottom w:val="single" w:sz="4" w:space="0" w:color="000000"/>
              <w:right w:val="single" w:sz="4" w:space="0" w:color="000000"/>
            </w:tcBorders>
            <w:textDirection w:val="lrTb"/>
            <w:vAlign w:val="center"/>
          </w:tcPr>
          <w:p w:rsidR="00D14925" w:rsidRPr="006B71C4" w:rsidP="00182CC2">
            <w:pPr>
              <w:bidi w:val="0"/>
              <w:spacing w:after="0"/>
              <w:jc w:val="center"/>
              <w:rPr>
                <w:rFonts w:ascii="Times New Roman" w:hAnsi="Times New Roman"/>
                <w:b/>
                <w:sz w:val="20"/>
                <w:szCs w:val="20"/>
                <w:lang w:eastAsia="sk-SK"/>
              </w:rPr>
            </w:pPr>
            <w:r w:rsidRPr="006B71C4">
              <w:rPr>
                <w:rFonts w:ascii="Times New Roman" w:hAnsi="Times New Roman"/>
                <w:b/>
                <w:color w:val="000000"/>
                <w:sz w:val="20"/>
                <w:szCs w:val="20"/>
              </w:rPr>
              <w:t>280 000,00</w:t>
            </w:r>
          </w:p>
        </w:tc>
        <w:tc>
          <w:tcPr>
            <w:tcW w:w="2220" w:type="dxa"/>
            <w:tcBorders>
              <w:top w:val="single" w:sz="4" w:space="0" w:color="000000"/>
              <w:left w:val="none" w:sz="0" w:space="0" w:color="auto"/>
              <w:bottom w:val="single" w:sz="4" w:space="0" w:color="000000"/>
              <w:right w:val="single" w:sz="4" w:space="0" w:color="000000"/>
            </w:tcBorders>
            <w:noWrap/>
            <w:textDirection w:val="lrTb"/>
            <w:vAlign w:val="center"/>
          </w:tcPr>
          <w:p w:rsidR="00D14925" w:rsidRPr="00B66482" w:rsidP="00182CC2">
            <w:pPr>
              <w:bidi w:val="0"/>
              <w:spacing w:after="0"/>
              <w:jc w:val="center"/>
              <w:rPr>
                <w:rFonts w:ascii="Times New Roman" w:hAnsi="Times New Roman"/>
                <w:sz w:val="20"/>
                <w:szCs w:val="20"/>
                <w:lang w:eastAsia="sk-SK"/>
              </w:rPr>
            </w:pPr>
          </w:p>
        </w:tc>
      </w:tr>
      <w:tr>
        <w:tblPrEx>
          <w:tblW w:w="15450" w:type="dxa"/>
          <w:tblCellMar>
            <w:left w:w="70" w:type="dxa"/>
            <w:right w:w="7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extDirection w:val="lrTb"/>
            <w:vAlign w:val="center"/>
          </w:tcPr>
          <w:p w:rsidR="00D14925" w:rsidRPr="000E6BC7" w:rsidP="00182CC2">
            <w:pPr>
              <w:bidi w:val="0"/>
              <w:spacing w:after="0"/>
              <w:rPr>
                <w:rFonts w:ascii="Times New Roman" w:hAnsi="Times New Roman"/>
                <w:sz w:val="24"/>
                <w:szCs w:val="24"/>
                <w:lang w:eastAsia="sk-SK"/>
              </w:rPr>
            </w:pPr>
            <w:r w:rsidRPr="000E6BC7">
              <w:rPr>
                <w:rFonts w:ascii="Times New Roman" w:hAnsi="Times New Roman"/>
                <w:sz w:val="20"/>
                <w:szCs w:val="20"/>
                <w:lang w:eastAsia="sk-SK"/>
              </w:rPr>
              <w:t>  Mzdy, platy, služobné príjmy a ostatné osobné vyrovnania (610)</w:t>
            </w:r>
          </w:p>
        </w:tc>
        <w:tc>
          <w:tcPr>
            <w:tcW w:w="1540" w:type="dxa"/>
            <w:tcBorders>
              <w:top w:val="single" w:sz="4" w:space="0" w:color="000000"/>
              <w:left w:val="none" w:sz="0" w:space="0" w:color="auto"/>
              <w:bottom w:val="single" w:sz="4" w:space="0" w:color="000000"/>
              <w:right w:val="single" w:sz="4" w:space="0" w:color="000000"/>
            </w:tcBorders>
            <w:textDirection w:val="lrTb"/>
            <w:vAlign w:val="center"/>
          </w:tcPr>
          <w:p w:rsidR="00D14925" w:rsidRPr="006B71C4" w:rsidP="00182CC2">
            <w:pPr>
              <w:bidi w:val="0"/>
              <w:spacing w:after="0"/>
              <w:jc w:val="center"/>
              <w:rPr>
                <w:rFonts w:ascii="Times New Roman" w:hAnsi="Times New Roman"/>
                <w:color w:val="000000"/>
                <w:sz w:val="20"/>
                <w:szCs w:val="20"/>
              </w:rPr>
            </w:pPr>
            <w:r w:rsidRPr="006B71C4">
              <w:rPr>
                <w:rFonts w:ascii="Times New Roman" w:hAnsi="Times New Roman"/>
                <w:sz w:val="20"/>
                <w:szCs w:val="20"/>
                <w:lang w:eastAsia="sk-SK"/>
              </w:rPr>
              <w:t>0</w:t>
            </w:r>
          </w:p>
        </w:tc>
        <w:tc>
          <w:tcPr>
            <w:tcW w:w="1540" w:type="dxa"/>
            <w:tcBorders>
              <w:top w:val="single" w:sz="4" w:space="0" w:color="000000"/>
              <w:left w:val="none" w:sz="0" w:space="0" w:color="auto"/>
              <w:bottom w:val="single" w:sz="4" w:space="0" w:color="000000"/>
              <w:right w:val="single" w:sz="4" w:space="0" w:color="000000"/>
            </w:tcBorders>
            <w:textDirection w:val="lrTb"/>
            <w:vAlign w:val="center"/>
          </w:tcPr>
          <w:p w:rsidR="00D14925" w:rsidRPr="006B71C4" w:rsidP="00182CC2">
            <w:pPr>
              <w:bidi w:val="0"/>
              <w:spacing w:after="0"/>
              <w:jc w:val="center"/>
              <w:rPr>
                <w:rFonts w:ascii="Times New Roman" w:hAnsi="Times New Roman"/>
                <w:color w:val="000000"/>
                <w:sz w:val="20"/>
                <w:szCs w:val="20"/>
              </w:rPr>
            </w:pPr>
            <w:r w:rsidRPr="006B71C4">
              <w:rPr>
                <w:rFonts w:ascii="Times New Roman" w:hAnsi="Times New Roman"/>
                <w:color w:val="000000"/>
                <w:sz w:val="20"/>
                <w:szCs w:val="20"/>
              </w:rPr>
              <w:t>0</w:t>
            </w:r>
          </w:p>
        </w:tc>
        <w:tc>
          <w:tcPr>
            <w:tcW w:w="1540" w:type="dxa"/>
            <w:tcBorders>
              <w:top w:val="single" w:sz="4" w:space="0" w:color="000000"/>
              <w:left w:val="none" w:sz="0" w:space="0" w:color="auto"/>
              <w:bottom w:val="single" w:sz="4" w:space="0" w:color="000000"/>
              <w:right w:val="single" w:sz="4" w:space="0" w:color="000000"/>
            </w:tcBorders>
            <w:textDirection w:val="lrTb"/>
            <w:vAlign w:val="center"/>
          </w:tcPr>
          <w:p w:rsidR="00D14925" w:rsidRPr="006B71C4" w:rsidP="00182CC2">
            <w:pPr>
              <w:bidi w:val="0"/>
              <w:spacing w:after="0"/>
              <w:jc w:val="center"/>
              <w:rPr>
                <w:rFonts w:ascii="Times New Roman" w:hAnsi="Times New Roman"/>
                <w:color w:val="000000"/>
                <w:sz w:val="20"/>
                <w:szCs w:val="20"/>
              </w:rPr>
            </w:pPr>
            <w:r w:rsidRPr="006B71C4">
              <w:rPr>
                <w:rFonts w:ascii="Times New Roman" w:hAnsi="Times New Roman"/>
                <w:color w:val="000000"/>
                <w:sz w:val="20"/>
                <w:szCs w:val="20"/>
              </w:rPr>
              <w:t>0</w:t>
            </w:r>
          </w:p>
        </w:tc>
        <w:tc>
          <w:tcPr>
            <w:tcW w:w="1540" w:type="dxa"/>
            <w:tcBorders>
              <w:top w:val="single" w:sz="4" w:space="0" w:color="000000"/>
              <w:left w:val="none" w:sz="0" w:space="0" w:color="auto"/>
              <w:bottom w:val="single" w:sz="4" w:space="0" w:color="000000"/>
              <w:right w:val="single" w:sz="4" w:space="0" w:color="000000"/>
            </w:tcBorders>
            <w:textDirection w:val="lrTb"/>
            <w:vAlign w:val="center"/>
          </w:tcPr>
          <w:p w:rsidR="00D14925" w:rsidRPr="006B71C4" w:rsidP="00182CC2">
            <w:pPr>
              <w:bidi w:val="0"/>
              <w:spacing w:after="0"/>
              <w:jc w:val="center"/>
              <w:rPr>
                <w:rFonts w:ascii="Times New Roman" w:hAnsi="Times New Roman"/>
                <w:sz w:val="20"/>
                <w:szCs w:val="20"/>
                <w:lang w:eastAsia="sk-SK"/>
              </w:rPr>
            </w:pPr>
            <w:r w:rsidRPr="006B71C4">
              <w:rPr>
                <w:rFonts w:ascii="Times New Roman" w:hAnsi="Times New Roman"/>
                <w:sz w:val="20"/>
                <w:szCs w:val="20"/>
                <w:lang w:eastAsia="sk-SK"/>
              </w:rPr>
              <w:t>0</w:t>
            </w:r>
          </w:p>
        </w:tc>
        <w:tc>
          <w:tcPr>
            <w:tcW w:w="2220" w:type="dxa"/>
            <w:tcBorders>
              <w:top w:val="single" w:sz="4" w:space="0" w:color="000000"/>
              <w:left w:val="none" w:sz="0" w:space="0" w:color="auto"/>
              <w:bottom w:val="single" w:sz="4" w:space="0" w:color="000000"/>
              <w:right w:val="single" w:sz="4" w:space="0" w:color="000000"/>
            </w:tcBorders>
            <w:noWrap/>
            <w:textDirection w:val="lrTb"/>
            <w:vAlign w:val="center"/>
          </w:tcPr>
          <w:p w:rsidR="00D14925" w:rsidRPr="00B66482" w:rsidP="00182CC2">
            <w:pPr>
              <w:bidi w:val="0"/>
              <w:spacing w:after="0"/>
              <w:jc w:val="center"/>
              <w:rPr>
                <w:rFonts w:ascii="Times New Roman" w:hAnsi="Times New Roman"/>
                <w:sz w:val="20"/>
                <w:szCs w:val="20"/>
                <w:lang w:eastAsia="sk-SK"/>
              </w:rPr>
            </w:pPr>
          </w:p>
        </w:tc>
      </w:tr>
      <w:tr>
        <w:tblPrEx>
          <w:tblW w:w="15450" w:type="dxa"/>
          <w:tblCellMar>
            <w:left w:w="70" w:type="dxa"/>
            <w:right w:w="7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extDirection w:val="lrTb"/>
            <w:vAlign w:val="center"/>
          </w:tcPr>
          <w:p w:rsidR="00D14925" w:rsidRPr="000E6BC7" w:rsidP="00182CC2">
            <w:pPr>
              <w:bidi w:val="0"/>
              <w:spacing w:after="0"/>
              <w:rPr>
                <w:rFonts w:ascii="Times New Roman" w:hAnsi="Times New Roman"/>
                <w:sz w:val="24"/>
                <w:szCs w:val="24"/>
                <w:lang w:eastAsia="sk-SK"/>
              </w:rPr>
            </w:pPr>
            <w:r>
              <w:rPr>
                <w:rFonts w:ascii="Times New Roman" w:hAnsi="Times New Roman"/>
                <w:sz w:val="20"/>
                <w:szCs w:val="20"/>
                <w:lang w:eastAsia="sk-SK"/>
              </w:rPr>
              <w:t xml:space="preserve">  Poistné a príspev. </w:t>
            </w:r>
            <w:r w:rsidRPr="000E6BC7">
              <w:rPr>
                <w:rFonts w:ascii="Times New Roman" w:hAnsi="Times New Roman"/>
                <w:sz w:val="20"/>
                <w:szCs w:val="20"/>
                <w:lang w:eastAsia="sk-SK"/>
              </w:rPr>
              <w:t>do poisťovní (620)</w:t>
            </w:r>
          </w:p>
        </w:tc>
        <w:tc>
          <w:tcPr>
            <w:tcW w:w="1540" w:type="dxa"/>
            <w:tcBorders>
              <w:top w:val="single" w:sz="4" w:space="0" w:color="000000"/>
              <w:left w:val="none" w:sz="0" w:space="0" w:color="auto"/>
              <w:bottom w:val="single" w:sz="4" w:space="0" w:color="000000"/>
              <w:right w:val="single" w:sz="4" w:space="0" w:color="000000"/>
            </w:tcBorders>
            <w:textDirection w:val="lrTb"/>
            <w:vAlign w:val="center"/>
          </w:tcPr>
          <w:p w:rsidR="00D14925" w:rsidRPr="00B66482" w:rsidP="00182CC2">
            <w:pPr>
              <w:bidi w:val="0"/>
              <w:spacing w:after="0"/>
              <w:jc w:val="center"/>
              <w:rPr>
                <w:rFonts w:ascii="Times New Roman" w:hAnsi="Times New Roman"/>
                <w:color w:val="000000"/>
                <w:sz w:val="20"/>
                <w:szCs w:val="20"/>
              </w:rPr>
            </w:pPr>
            <w:r>
              <w:rPr>
                <w:rFonts w:ascii="Times New Roman" w:hAnsi="Times New Roman"/>
                <w:color w:val="000000"/>
                <w:sz w:val="20"/>
                <w:szCs w:val="20"/>
              </w:rPr>
              <w:t>0</w:t>
            </w:r>
          </w:p>
        </w:tc>
        <w:tc>
          <w:tcPr>
            <w:tcW w:w="1540" w:type="dxa"/>
            <w:tcBorders>
              <w:top w:val="single" w:sz="4" w:space="0" w:color="000000"/>
              <w:left w:val="none" w:sz="0" w:space="0" w:color="auto"/>
              <w:bottom w:val="single" w:sz="4" w:space="0" w:color="000000"/>
              <w:right w:val="single" w:sz="4" w:space="0" w:color="000000"/>
            </w:tcBorders>
            <w:textDirection w:val="lrTb"/>
            <w:vAlign w:val="center"/>
          </w:tcPr>
          <w:p w:rsidR="00D14925" w:rsidRPr="00213255" w:rsidP="00182CC2">
            <w:pPr>
              <w:bidi w:val="0"/>
              <w:spacing w:after="0"/>
              <w:jc w:val="center"/>
              <w:rPr>
                <w:rFonts w:ascii="Times New Roman" w:hAnsi="Times New Roman"/>
                <w:color w:val="000000"/>
                <w:sz w:val="20"/>
                <w:szCs w:val="20"/>
              </w:rPr>
            </w:pPr>
            <w:r>
              <w:rPr>
                <w:rFonts w:ascii="Times New Roman" w:hAnsi="Times New Roman"/>
                <w:color w:val="000000"/>
                <w:sz w:val="20"/>
                <w:szCs w:val="20"/>
              </w:rPr>
              <w:t>0</w:t>
            </w:r>
          </w:p>
        </w:tc>
        <w:tc>
          <w:tcPr>
            <w:tcW w:w="1540" w:type="dxa"/>
            <w:tcBorders>
              <w:top w:val="single" w:sz="4" w:space="0" w:color="000000"/>
              <w:left w:val="none" w:sz="0" w:space="0" w:color="auto"/>
              <w:bottom w:val="single" w:sz="4" w:space="0" w:color="000000"/>
              <w:right w:val="single" w:sz="4" w:space="0" w:color="000000"/>
            </w:tcBorders>
            <w:textDirection w:val="lrTb"/>
            <w:vAlign w:val="center"/>
          </w:tcPr>
          <w:p w:rsidR="00D14925" w:rsidRPr="00213255" w:rsidP="00182CC2">
            <w:pPr>
              <w:bidi w:val="0"/>
              <w:spacing w:after="0"/>
              <w:jc w:val="center"/>
              <w:rPr>
                <w:rFonts w:ascii="Times New Roman" w:hAnsi="Times New Roman"/>
                <w:color w:val="000000"/>
                <w:sz w:val="20"/>
                <w:szCs w:val="20"/>
              </w:rPr>
            </w:pPr>
            <w:r>
              <w:rPr>
                <w:rFonts w:ascii="Times New Roman" w:hAnsi="Times New Roman"/>
                <w:color w:val="000000"/>
                <w:sz w:val="20"/>
                <w:szCs w:val="20"/>
              </w:rPr>
              <w:t>0</w:t>
            </w:r>
          </w:p>
        </w:tc>
        <w:tc>
          <w:tcPr>
            <w:tcW w:w="1540" w:type="dxa"/>
            <w:tcBorders>
              <w:top w:val="single" w:sz="4" w:space="0" w:color="000000"/>
              <w:left w:val="none" w:sz="0" w:space="0" w:color="auto"/>
              <w:bottom w:val="single" w:sz="4" w:space="0" w:color="000000"/>
              <w:right w:val="single" w:sz="4" w:space="0" w:color="000000"/>
            </w:tcBorders>
            <w:textDirection w:val="lrTb"/>
            <w:vAlign w:val="center"/>
          </w:tcPr>
          <w:p w:rsidR="00D14925" w:rsidRPr="00213255" w:rsidP="00182CC2">
            <w:pPr>
              <w:bidi w:val="0"/>
              <w:spacing w:after="0"/>
              <w:jc w:val="center"/>
              <w:rPr>
                <w:rFonts w:ascii="Times New Roman" w:hAnsi="Times New Roman"/>
                <w:sz w:val="20"/>
                <w:szCs w:val="20"/>
                <w:lang w:eastAsia="sk-SK"/>
              </w:rPr>
            </w:pPr>
            <w:r>
              <w:rPr>
                <w:rFonts w:ascii="Times New Roman" w:hAnsi="Times New Roman"/>
                <w:color w:val="000000"/>
                <w:sz w:val="20"/>
                <w:szCs w:val="20"/>
              </w:rPr>
              <w:t>0</w:t>
            </w:r>
          </w:p>
        </w:tc>
        <w:tc>
          <w:tcPr>
            <w:tcW w:w="2220" w:type="dxa"/>
            <w:tcBorders>
              <w:top w:val="single" w:sz="4" w:space="0" w:color="000000"/>
              <w:left w:val="none" w:sz="0" w:space="0" w:color="auto"/>
              <w:bottom w:val="single" w:sz="4" w:space="0" w:color="000000"/>
              <w:right w:val="single" w:sz="4" w:space="0" w:color="000000"/>
            </w:tcBorders>
            <w:noWrap/>
            <w:textDirection w:val="lrTb"/>
            <w:vAlign w:val="center"/>
          </w:tcPr>
          <w:p w:rsidR="00D14925" w:rsidRPr="00B66482" w:rsidP="00182CC2">
            <w:pPr>
              <w:bidi w:val="0"/>
              <w:spacing w:after="0"/>
              <w:jc w:val="center"/>
              <w:rPr>
                <w:rFonts w:ascii="Times New Roman" w:hAnsi="Times New Roman"/>
                <w:sz w:val="20"/>
                <w:szCs w:val="20"/>
                <w:lang w:eastAsia="sk-SK"/>
              </w:rPr>
            </w:pPr>
          </w:p>
        </w:tc>
      </w:tr>
      <w:tr>
        <w:tblPrEx>
          <w:tblW w:w="15450" w:type="dxa"/>
          <w:tblCellMar>
            <w:left w:w="70" w:type="dxa"/>
            <w:right w:w="7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extDirection w:val="lrTb"/>
            <w:vAlign w:val="center"/>
          </w:tcPr>
          <w:p w:rsidR="00D14925" w:rsidRPr="000E6BC7" w:rsidP="00182CC2">
            <w:pPr>
              <w:bidi w:val="0"/>
              <w:spacing w:after="0"/>
              <w:rPr>
                <w:rFonts w:ascii="Times New Roman" w:hAnsi="Times New Roman"/>
                <w:sz w:val="24"/>
                <w:szCs w:val="24"/>
                <w:lang w:eastAsia="sk-SK"/>
              </w:rPr>
            </w:pPr>
            <w:r w:rsidRPr="000E6BC7">
              <w:rPr>
                <w:rFonts w:ascii="Times New Roman" w:hAnsi="Times New Roman"/>
                <w:sz w:val="20"/>
                <w:szCs w:val="20"/>
                <w:lang w:eastAsia="sk-SK"/>
              </w:rPr>
              <w:t>  Tovary a služby (630)</w:t>
            </w:r>
            <w:r w:rsidRPr="000E6BC7">
              <w:rPr>
                <w:rFonts w:ascii="Times New Roman" w:hAnsi="Times New Roman"/>
                <w:sz w:val="13"/>
                <w:szCs w:val="13"/>
                <w:vertAlign w:val="superscript"/>
                <w:lang w:eastAsia="sk-SK"/>
              </w:rPr>
              <w:t>2</w:t>
            </w:r>
          </w:p>
        </w:tc>
        <w:tc>
          <w:tcPr>
            <w:tcW w:w="1540" w:type="dxa"/>
            <w:tcBorders>
              <w:top w:val="single" w:sz="4" w:space="0" w:color="000000"/>
              <w:left w:val="none" w:sz="0" w:space="0" w:color="auto"/>
              <w:bottom w:val="single" w:sz="4" w:space="0" w:color="000000"/>
              <w:right w:val="single" w:sz="4" w:space="0" w:color="000000"/>
            </w:tcBorders>
            <w:textDirection w:val="lrTb"/>
            <w:vAlign w:val="center"/>
          </w:tcPr>
          <w:p w:rsidR="00D14925" w:rsidRPr="00B66482" w:rsidP="00182CC2">
            <w:pPr>
              <w:bidi w:val="0"/>
              <w:spacing w:after="0"/>
              <w:jc w:val="center"/>
              <w:rPr>
                <w:rFonts w:ascii="Times New Roman" w:hAnsi="Times New Roman"/>
                <w:color w:val="000000"/>
                <w:sz w:val="20"/>
                <w:szCs w:val="20"/>
              </w:rPr>
            </w:pPr>
            <w:r>
              <w:rPr>
                <w:rFonts w:ascii="Times New Roman" w:hAnsi="Times New Roman"/>
                <w:color w:val="000000"/>
                <w:sz w:val="20"/>
                <w:szCs w:val="20"/>
              </w:rPr>
              <w:t>0</w:t>
            </w:r>
          </w:p>
        </w:tc>
        <w:tc>
          <w:tcPr>
            <w:tcW w:w="1540" w:type="dxa"/>
            <w:tcBorders>
              <w:top w:val="single" w:sz="4" w:space="0" w:color="000000"/>
              <w:left w:val="none" w:sz="0" w:space="0" w:color="auto"/>
              <w:bottom w:val="single" w:sz="4" w:space="0" w:color="000000"/>
              <w:right w:val="single" w:sz="4" w:space="0" w:color="000000"/>
            </w:tcBorders>
            <w:textDirection w:val="lrTb"/>
            <w:vAlign w:val="center"/>
          </w:tcPr>
          <w:p w:rsidR="00D14925" w:rsidRPr="004211E9" w:rsidP="00182CC2">
            <w:pPr>
              <w:bidi w:val="0"/>
              <w:spacing w:after="0"/>
              <w:jc w:val="center"/>
              <w:rPr>
                <w:rFonts w:ascii="Times New Roman" w:hAnsi="Times New Roman"/>
                <w:color w:val="000000"/>
                <w:sz w:val="20"/>
                <w:szCs w:val="20"/>
              </w:rPr>
            </w:pPr>
            <w:r w:rsidRPr="004211E9">
              <w:rPr>
                <w:rFonts w:ascii="Times New Roman" w:hAnsi="Times New Roman"/>
                <w:color w:val="000000"/>
                <w:sz w:val="20"/>
                <w:szCs w:val="20"/>
              </w:rPr>
              <w:t xml:space="preserve"> </w:t>
            </w:r>
            <w:r>
              <w:rPr>
                <w:rFonts w:ascii="Times New Roman" w:hAnsi="Times New Roman"/>
                <w:color w:val="000000"/>
                <w:sz w:val="20"/>
                <w:szCs w:val="20"/>
              </w:rPr>
              <w:t>0</w:t>
            </w:r>
          </w:p>
        </w:tc>
        <w:tc>
          <w:tcPr>
            <w:tcW w:w="1540" w:type="dxa"/>
            <w:tcBorders>
              <w:top w:val="single" w:sz="4" w:space="0" w:color="000000"/>
              <w:left w:val="none" w:sz="0" w:space="0" w:color="auto"/>
              <w:bottom w:val="single" w:sz="4" w:space="0" w:color="000000"/>
              <w:right w:val="single" w:sz="4" w:space="0" w:color="000000"/>
            </w:tcBorders>
            <w:textDirection w:val="lrTb"/>
            <w:vAlign w:val="center"/>
          </w:tcPr>
          <w:p w:rsidR="00D14925" w:rsidRPr="004211E9" w:rsidP="00182CC2">
            <w:pPr>
              <w:bidi w:val="0"/>
              <w:spacing w:after="0"/>
              <w:jc w:val="center"/>
              <w:rPr>
                <w:rFonts w:ascii="Times New Roman" w:hAnsi="Times New Roman"/>
                <w:color w:val="000000"/>
                <w:sz w:val="20"/>
                <w:szCs w:val="20"/>
              </w:rPr>
            </w:pPr>
            <w:r>
              <w:rPr>
                <w:rFonts w:ascii="Times New Roman" w:hAnsi="Times New Roman"/>
                <w:color w:val="000000"/>
                <w:sz w:val="20"/>
                <w:szCs w:val="20"/>
              </w:rPr>
              <w:t xml:space="preserve"> 0</w:t>
            </w:r>
          </w:p>
        </w:tc>
        <w:tc>
          <w:tcPr>
            <w:tcW w:w="1540" w:type="dxa"/>
            <w:tcBorders>
              <w:top w:val="single" w:sz="4" w:space="0" w:color="000000"/>
              <w:left w:val="none" w:sz="0" w:space="0" w:color="auto"/>
              <w:bottom w:val="single" w:sz="4" w:space="0" w:color="000000"/>
              <w:right w:val="single" w:sz="4" w:space="0" w:color="000000"/>
            </w:tcBorders>
            <w:textDirection w:val="lrTb"/>
            <w:vAlign w:val="center"/>
          </w:tcPr>
          <w:p w:rsidR="00D14925" w:rsidRPr="004211E9" w:rsidP="00182CC2">
            <w:pPr>
              <w:bidi w:val="0"/>
              <w:spacing w:after="0"/>
              <w:jc w:val="center"/>
              <w:rPr>
                <w:rFonts w:ascii="Times New Roman" w:hAnsi="Times New Roman"/>
                <w:sz w:val="20"/>
                <w:szCs w:val="20"/>
                <w:lang w:eastAsia="sk-SK"/>
              </w:rPr>
            </w:pPr>
            <w:r>
              <w:rPr>
                <w:rFonts w:ascii="Times New Roman" w:hAnsi="Times New Roman"/>
                <w:color w:val="000000"/>
                <w:sz w:val="20"/>
                <w:szCs w:val="20"/>
              </w:rPr>
              <w:t>0</w:t>
            </w:r>
          </w:p>
        </w:tc>
        <w:tc>
          <w:tcPr>
            <w:tcW w:w="2220" w:type="dxa"/>
            <w:tcBorders>
              <w:top w:val="single" w:sz="4" w:space="0" w:color="000000"/>
              <w:left w:val="none" w:sz="0" w:space="0" w:color="auto"/>
              <w:bottom w:val="single" w:sz="4" w:space="0" w:color="000000"/>
              <w:right w:val="single" w:sz="4" w:space="0" w:color="000000"/>
            </w:tcBorders>
            <w:noWrap/>
            <w:textDirection w:val="lrTb"/>
            <w:vAlign w:val="center"/>
          </w:tcPr>
          <w:p w:rsidR="00D14925" w:rsidRPr="00B66482" w:rsidP="00182CC2">
            <w:pPr>
              <w:bidi w:val="0"/>
              <w:spacing w:after="0"/>
              <w:jc w:val="center"/>
              <w:rPr>
                <w:rFonts w:ascii="Times New Roman" w:hAnsi="Times New Roman"/>
                <w:sz w:val="20"/>
                <w:szCs w:val="20"/>
                <w:lang w:eastAsia="sk-SK"/>
              </w:rPr>
            </w:pPr>
          </w:p>
        </w:tc>
      </w:tr>
      <w:tr>
        <w:tblPrEx>
          <w:tblW w:w="15450" w:type="dxa"/>
          <w:tblCellMar>
            <w:left w:w="70" w:type="dxa"/>
            <w:right w:w="7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extDirection w:val="lrTb"/>
            <w:vAlign w:val="center"/>
          </w:tcPr>
          <w:p w:rsidR="00D14925" w:rsidRPr="000E6BC7" w:rsidP="00182CC2">
            <w:pPr>
              <w:bidi w:val="0"/>
              <w:spacing w:after="0"/>
              <w:rPr>
                <w:rFonts w:ascii="Times New Roman" w:hAnsi="Times New Roman"/>
                <w:sz w:val="24"/>
                <w:szCs w:val="24"/>
                <w:lang w:eastAsia="sk-SK"/>
              </w:rPr>
            </w:pPr>
            <w:r w:rsidRPr="000E6BC7">
              <w:rPr>
                <w:rFonts w:ascii="Times New Roman" w:hAnsi="Times New Roman"/>
                <w:sz w:val="20"/>
                <w:szCs w:val="20"/>
                <w:lang w:eastAsia="sk-SK"/>
              </w:rPr>
              <w:t>  Bežné transfery (640)</w:t>
            </w:r>
            <w:r w:rsidRPr="000E6BC7">
              <w:rPr>
                <w:rFonts w:ascii="Times New Roman" w:hAnsi="Times New Roman"/>
                <w:sz w:val="13"/>
                <w:szCs w:val="13"/>
                <w:vertAlign w:val="superscript"/>
                <w:lang w:eastAsia="sk-SK"/>
              </w:rPr>
              <w:t>2</w:t>
            </w:r>
          </w:p>
        </w:tc>
        <w:tc>
          <w:tcPr>
            <w:tcW w:w="1540" w:type="dxa"/>
            <w:tcBorders>
              <w:top w:val="single" w:sz="4" w:space="0" w:color="000000"/>
              <w:left w:val="none" w:sz="0" w:space="0" w:color="auto"/>
              <w:bottom w:val="single" w:sz="4" w:space="0" w:color="000000"/>
              <w:right w:val="single" w:sz="4" w:space="0" w:color="000000"/>
            </w:tcBorders>
            <w:textDirection w:val="lrTb"/>
            <w:vAlign w:val="center"/>
          </w:tcPr>
          <w:p w:rsidR="00D14925" w:rsidRPr="00B66482" w:rsidP="00182CC2">
            <w:pPr>
              <w:bidi w:val="0"/>
              <w:spacing w:after="0"/>
              <w:jc w:val="center"/>
              <w:rPr>
                <w:rFonts w:ascii="Times New Roman" w:hAnsi="Times New Roman"/>
                <w:color w:val="000000"/>
                <w:sz w:val="20"/>
                <w:szCs w:val="20"/>
              </w:rPr>
            </w:pPr>
            <w:r w:rsidRPr="00B66482">
              <w:rPr>
                <w:rFonts w:ascii="Times New Roman" w:hAnsi="Times New Roman"/>
                <w:color w:val="000000"/>
                <w:sz w:val="20"/>
                <w:szCs w:val="20"/>
              </w:rPr>
              <w:t>0</w:t>
            </w:r>
          </w:p>
        </w:tc>
        <w:tc>
          <w:tcPr>
            <w:tcW w:w="1540" w:type="dxa"/>
            <w:tcBorders>
              <w:top w:val="single" w:sz="4" w:space="0" w:color="000000"/>
              <w:left w:val="none" w:sz="0" w:space="0" w:color="auto"/>
              <w:bottom w:val="single" w:sz="4" w:space="0" w:color="000000"/>
              <w:right w:val="single" w:sz="4" w:space="0" w:color="000000"/>
            </w:tcBorders>
            <w:textDirection w:val="lrTb"/>
            <w:vAlign w:val="center"/>
          </w:tcPr>
          <w:p w:rsidR="00D14925" w:rsidRPr="004211E9" w:rsidP="00182CC2">
            <w:pPr>
              <w:bidi w:val="0"/>
              <w:spacing w:after="0"/>
              <w:jc w:val="center"/>
              <w:rPr>
                <w:rFonts w:ascii="Times New Roman" w:hAnsi="Times New Roman"/>
                <w:color w:val="000000"/>
                <w:sz w:val="20"/>
                <w:szCs w:val="20"/>
              </w:rPr>
            </w:pPr>
            <w:r>
              <w:rPr>
                <w:rFonts w:ascii="Times New Roman" w:hAnsi="Times New Roman"/>
                <w:color w:val="000000"/>
                <w:sz w:val="20"/>
                <w:szCs w:val="20"/>
              </w:rPr>
              <w:t xml:space="preserve">990 </w:t>
            </w:r>
            <w:r w:rsidRPr="004211E9">
              <w:rPr>
                <w:rFonts w:ascii="Times New Roman" w:hAnsi="Times New Roman"/>
                <w:sz w:val="20"/>
                <w:szCs w:val="20"/>
                <w:lang w:eastAsia="sk-SK"/>
              </w:rPr>
              <w:t>000</w:t>
            </w:r>
            <w:r w:rsidRPr="004211E9">
              <w:rPr>
                <w:rFonts w:ascii="Times New Roman" w:hAnsi="Times New Roman"/>
                <w:color w:val="000000"/>
                <w:sz w:val="20"/>
                <w:szCs w:val="20"/>
              </w:rPr>
              <w:t>,00</w:t>
            </w:r>
          </w:p>
        </w:tc>
        <w:tc>
          <w:tcPr>
            <w:tcW w:w="1540" w:type="dxa"/>
            <w:tcBorders>
              <w:top w:val="single" w:sz="4" w:space="0" w:color="000000"/>
              <w:left w:val="none" w:sz="0" w:space="0" w:color="auto"/>
              <w:bottom w:val="single" w:sz="4" w:space="0" w:color="000000"/>
              <w:right w:val="single" w:sz="4" w:space="0" w:color="000000"/>
            </w:tcBorders>
            <w:textDirection w:val="lrTb"/>
            <w:vAlign w:val="center"/>
          </w:tcPr>
          <w:p w:rsidR="00D14925" w:rsidRPr="004211E9" w:rsidP="00182CC2">
            <w:pPr>
              <w:bidi w:val="0"/>
              <w:spacing w:after="0"/>
              <w:jc w:val="center"/>
              <w:rPr>
                <w:rFonts w:ascii="Times New Roman" w:hAnsi="Times New Roman"/>
                <w:color w:val="000000"/>
                <w:sz w:val="20"/>
                <w:szCs w:val="20"/>
              </w:rPr>
            </w:pPr>
            <w:r>
              <w:rPr>
                <w:rFonts w:ascii="Times New Roman" w:hAnsi="Times New Roman"/>
                <w:color w:val="000000"/>
                <w:sz w:val="20"/>
                <w:szCs w:val="20"/>
              </w:rPr>
              <w:t>320 000,00</w:t>
            </w:r>
          </w:p>
        </w:tc>
        <w:tc>
          <w:tcPr>
            <w:tcW w:w="1540" w:type="dxa"/>
            <w:tcBorders>
              <w:top w:val="single" w:sz="4" w:space="0" w:color="000000"/>
              <w:left w:val="none" w:sz="0" w:space="0" w:color="auto"/>
              <w:bottom w:val="single" w:sz="4" w:space="0" w:color="000000"/>
              <w:right w:val="single" w:sz="4" w:space="0" w:color="000000"/>
            </w:tcBorders>
            <w:textDirection w:val="lrTb"/>
            <w:vAlign w:val="center"/>
          </w:tcPr>
          <w:p w:rsidR="00D14925" w:rsidRPr="004211E9" w:rsidP="00182CC2">
            <w:pPr>
              <w:bidi w:val="0"/>
              <w:spacing w:after="0"/>
              <w:jc w:val="center"/>
              <w:rPr>
                <w:rFonts w:ascii="Times New Roman" w:hAnsi="Times New Roman"/>
                <w:sz w:val="20"/>
                <w:szCs w:val="20"/>
                <w:lang w:eastAsia="sk-SK"/>
              </w:rPr>
            </w:pPr>
            <w:r>
              <w:rPr>
                <w:rFonts w:ascii="Times New Roman" w:hAnsi="Times New Roman"/>
                <w:color w:val="000000"/>
                <w:sz w:val="20"/>
                <w:szCs w:val="20"/>
              </w:rPr>
              <w:t>280 000</w:t>
            </w:r>
            <w:r w:rsidRPr="004211E9">
              <w:rPr>
                <w:rFonts w:ascii="Times New Roman" w:hAnsi="Times New Roman"/>
                <w:color w:val="000000"/>
                <w:sz w:val="20"/>
                <w:szCs w:val="20"/>
              </w:rPr>
              <w:t>,00</w:t>
            </w:r>
          </w:p>
        </w:tc>
        <w:tc>
          <w:tcPr>
            <w:tcW w:w="2220" w:type="dxa"/>
            <w:tcBorders>
              <w:top w:val="single" w:sz="4" w:space="0" w:color="000000"/>
              <w:left w:val="none" w:sz="0" w:space="0" w:color="auto"/>
              <w:bottom w:val="single" w:sz="4" w:space="0" w:color="000000"/>
              <w:right w:val="single" w:sz="4" w:space="0" w:color="000000"/>
            </w:tcBorders>
            <w:noWrap/>
            <w:textDirection w:val="lrTb"/>
            <w:vAlign w:val="center"/>
          </w:tcPr>
          <w:p w:rsidR="00D14925" w:rsidRPr="00B66482" w:rsidP="00182CC2">
            <w:pPr>
              <w:bidi w:val="0"/>
              <w:spacing w:after="0"/>
              <w:jc w:val="center"/>
              <w:rPr>
                <w:rFonts w:ascii="Times New Roman" w:hAnsi="Times New Roman"/>
                <w:sz w:val="20"/>
                <w:szCs w:val="20"/>
                <w:lang w:eastAsia="sk-SK"/>
              </w:rPr>
            </w:pPr>
          </w:p>
        </w:tc>
      </w:tr>
      <w:tr>
        <w:tblPrEx>
          <w:tblW w:w="15450" w:type="dxa"/>
          <w:tblCellMar>
            <w:left w:w="70" w:type="dxa"/>
            <w:right w:w="7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extDirection w:val="lrTb"/>
            <w:vAlign w:val="center"/>
          </w:tcPr>
          <w:p w:rsidR="00D14925" w:rsidRPr="000E6BC7" w:rsidP="00182CC2">
            <w:pPr>
              <w:bidi w:val="0"/>
              <w:spacing w:after="0"/>
              <w:rPr>
                <w:rFonts w:ascii="Times New Roman" w:hAnsi="Times New Roman"/>
                <w:sz w:val="24"/>
                <w:szCs w:val="24"/>
                <w:lang w:eastAsia="sk-SK"/>
              </w:rPr>
            </w:pPr>
            <w:r w:rsidRPr="000E6BC7">
              <w:rPr>
                <w:rFonts w:ascii="Times New Roman" w:hAnsi="Times New Roman"/>
                <w:sz w:val="20"/>
                <w:szCs w:val="20"/>
                <w:lang w:eastAsia="sk-SK"/>
              </w:rPr>
              <w:t>  Splácanie úrokov a ostatné platby súvisiace s </w:t>
            </w:r>
            <w:r w:rsidRPr="000E6BC7">
              <w:rPr>
                <w:sz w:val="20"/>
                <w:szCs w:val="20"/>
                <w:lang w:eastAsia="sk-SK"/>
              </w:rPr>
              <w:t xml:space="preserve"> </w:t>
            </w:r>
            <w:r w:rsidRPr="000E6BC7">
              <w:rPr>
                <w:rFonts w:ascii="Times New Roman" w:hAnsi="Times New Roman"/>
                <w:sz w:val="20"/>
                <w:szCs w:val="20"/>
                <w:lang w:eastAsia="sk-SK"/>
              </w:rPr>
              <w:t>úverom, pôžičkou, návratnou finančnou výpomocou a finančným prenájmom (650)</w:t>
            </w:r>
            <w:r w:rsidRPr="000E6BC7">
              <w:rPr>
                <w:rFonts w:ascii="Times New Roman" w:hAnsi="Times New Roman"/>
                <w:sz w:val="13"/>
                <w:szCs w:val="13"/>
                <w:vertAlign w:val="superscript"/>
                <w:lang w:eastAsia="sk-SK"/>
              </w:rPr>
              <w:t>2</w:t>
            </w:r>
          </w:p>
        </w:tc>
        <w:tc>
          <w:tcPr>
            <w:tcW w:w="1540" w:type="dxa"/>
            <w:tcBorders>
              <w:top w:val="single" w:sz="4" w:space="0" w:color="000000"/>
              <w:left w:val="none" w:sz="0" w:space="0" w:color="auto"/>
              <w:bottom w:val="single" w:sz="4" w:space="0" w:color="000000"/>
              <w:right w:val="single" w:sz="4" w:space="0" w:color="000000"/>
            </w:tcBorders>
            <w:textDirection w:val="lrTb"/>
            <w:vAlign w:val="center"/>
          </w:tcPr>
          <w:p w:rsidR="00D14925" w:rsidRPr="00B66482" w:rsidP="00182CC2">
            <w:pPr>
              <w:bidi w:val="0"/>
              <w:spacing w:after="0"/>
              <w:jc w:val="center"/>
              <w:rPr>
                <w:rFonts w:ascii="Times New Roman" w:hAnsi="Times New Roman"/>
                <w:sz w:val="24"/>
                <w:szCs w:val="24"/>
                <w:lang w:eastAsia="sk-SK"/>
              </w:rPr>
            </w:pPr>
            <w:r w:rsidRPr="00B66482">
              <w:rPr>
                <w:rFonts w:ascii="Times New Roman" w:hAnsi="Times New Roman"/>
                <w:sz w:val="20"/>
                <w:szCs w:val="20"/>
                <w:lang w:eastAsia="sk-SK"/>
              </w:rPr>
              <w:t>0</w:t>
            </w:r>
          </w:p>
        </w:tc>
        <w:tc>
          <w:tcPr>
            <w:tcW w:w="1540" w:type="dxa"/>
            <w:tcBorders>
              <w:top w:val="single" w:sz="4" w:space="0" w:color="000000"/>
              <w:left w:val="none" w:sz="0" w:space="0" w:color="auto"/>
              <w:bottom w:val="single" w:sz="4" w:space="0" w:color="000000"/>
              <w:right w:val="single" w:sz="4" w:space="0" w:color="000000"/>
            </w:tcBorders>
            <w:textDirection w:val="lrTb"/>
            <w:vAlign w:val="center"/>
          </w:tcPr>
          <w:p w:rsidR="00D14925" w:rsidRPr="00B66482" w:rsidP="00182CC2">
            <w:pPr>
              <w:bidi w:val="0"/>
              <w:spacing w:after="0"/>
              <w:jc w:val="center"/>
              <w:rPr>
                <w:rFonts w:ascii="Times New Roman" w:hAnsi="Times New Roman"/>
                <w:sz w:val="24"/>
                <w:szCs w:val="24"/>
                <w:lang w:eastAsia="sk-SK"/>
              </w:rPr>
            </w:pPr>
            <w:r w:rsidRPr="00B66482">
              <w:rPr>
                <w:rFonts w:ascii="Times New Roman" w:hAnsi="Times New Roman"/>
                <w:sz w:val="20"/>
                <w:szCs w:val="20"/>
                <w:lang w:eastAsia="sk-SK"/>
              </w:rPr>
              <w:t>0</w:t>
            </w:r>
          </w:p>
        </w:tc>
        <w:tc>
          <w:tcPr>
            <w:tcW w:w="1540" w:type="dxa"/>
            <w:tcBorders>
              <w:top w:val="single" w:sz="4" w:space="0" w:color="000000"/>
              <w:left w:val="none" w:sz="0" w:space="0" w:color="auto"/>
              <w:bottom w:val="single" w:sz="4" w:space="0" w:color="000000"/>
              <w:right w:val="single" w:sz="4" w:space="0" w:color="000000"/>
            </w:tcBorders>
            <w:textDirection w:val="lrTb"/>
            <w:vAlign w:val="center"/>
          </w:tcPr>
          <w:p w:rsidR="00D14925" w:rsidRPr="00B66482" w:rsidP="00182CC2">
            <w:pPr>
              <w:bidi w:val="0"/>
              <w:spacing w:after="0"/>
              <w:jc w:val="center"/>
              <w:rPr>
                <w:rFonts w:ascii="Times New Roman" w:hAnsi="Times New Roman"/>
                <w:sz w:val="24"/>
                <w:szCs w:val="24"/>
                <w:lang w:eastAsia="sk-SK"/>
              </w:rPr>
            </w:pPr>
            <w:r w:rsidRPr="00B66482">
              <w:rPr>
                <w:rFonts w:ascii="Times New Roman" w:hAnsi="Times New Roman"/>
                <w:sz w:val="20"/>
                <w:szCs w:val="20"/>
                <w:lang w:eastAsia="sk-SK"/>
              </w:rPr>
              <w:t>0</w:t>
            </w:r>
          </w:p>
        </w:tc>
        <w:tc>
          <w:tcPr>
            <w:tcW w:w="1540" w:type="dxa"/>
            <w:tcBorders>
              <w:top w:val="single" w:sz="4" w:space="0" w:color="000000"/>
              <w:left w:val="none" w:sz="0" w:space="0" w:color="auto"/>
              <w:bottom w:val="single" w:sz="4" w:space="0" w:color="000000"/>
              <w:right w:val="single" w:sz="4" w:space="0" w:color="000000"/>
            </w:tcBorders>
            <w:textDirection w:val="lrTb"/>
            <w:vAlign w:val="center"/>
          </w:tcPr>
          <w:p w:rsidR="00D14925" w:rsidRPr="00B66482" w:rsidP="00182CC2">
            <w:pPr>
              <w:bidi w:val="0"/>
              <w:spacing w:after="0"/>
              <w:jc w:val="center"/>
              <w:rPr>
                <w:rFonts w:ascii="Times New Roman" w:hAnsi="Times New Roman"/>
                <w:sz w:val="24"/>
                <w:szCs w:val="24"/>
                <w:lang w:eastAsia="sk-SK"/>
              </w:rPr>
            </w:pPr>
            <w:r w:rsidRPr="00B66482">
              <w:rPr>
                <w:rFonts w:ascii="Times New Roman" w:hAnsi="Times New Roman"/>
                <w:sz w:val="20"/>
                <w:szCs w:val="20"/>
                <w:lang w:eastAsia="sk-SK"/>
              </w:rPr>
              <w:t>0</w:t>
            </w:r>
          </w:p>
        </w:tc>
        <w:tc>
          <w:tcPr>
            <w:tcW w:w="2220" w:type="dxa"/>
            <w:tcBorders>
              <w:top w:val="single" w:sz="4" w:space="0" w:color="000000"/>
              <w:left w:val="none" w:sz="0" w:space="0" w:color="auto"/>
              <w:bottom w:val="single" w:sz="4" w:space="0" w:color="000000"/>
              <w:right w:val="single" w:sz="4" w:space="0" w:color="000000"/>
            </w:tcBorders>
            <w:noWrap/>
            <w:textDirection w:val="lrTb"/>
            <w:vAlign w:val="center"/>
          </w:tcPr>
          <w:p w:rsidR="00D14925" w:rsidRPr="00B66482" w:rsidP="00182CC2">
            <w:pPr>
              <w:bidi w:val="0"/>
              <w:spacing w:after="0"/>
              <w:jc w:val="center"/>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extDirection w:val="lrTb"/>
            <w:vAlign w:val="center"/>
          </w:tcPr>
          <w:p w:rsidR="00D14925" w:rsidRPr="000E6BC7" w:rsidP="00182CC2">
            <w:pPr>
              <w:bidi w:val="0"/>
              <w:spacing w:after="0"/>
              <w:rPr>
                <w:rFonts w:ascii="Times New Roman" w:hAnsi="Times New Roman"/>
                <w:sz w:val="24"/>
                <w:szCs w:val="24"/>
                <w:lang w:eastAsia="sk-SK"/>
              </w:rPr>
            </w:pPr>
            <w:r w:rsidRPr="000E6BC7">
              <w:rPr>
                <w:rFonts w:ascii="Times New Roman" w:hAnsi="Times New Roman"/>
                <w:b/>
                <w:bCs/>
                <w:sz w:val="20"/>
                <w:szCs w:val="20"/>
                <w:lang w:eastAsia="sk-SK"/>
              </w:rPr>
              <w:t>Kapitálové výdavky (700)</w:t>
            </w:r>
          </w:p>
        </w:tc>
        <w:tc>
          <w:tcPr>
            <w:tcW w:w="1540" w:type="dxa"/>
            <w:tcBorders>
              <w:top w:val="single" w:sz="4" w:space="0" w:color="000000"/>
              <w:left w:val="none" w:sz="0" w:space="0" w:color="auto"/>
              <w:bottom w:val="single" w:sz="4" w:space="0" w:color="000000"/>
              <w:right w:val="single" w:sz="4" w:space="0" w:color="000000"/>
            </w:tcBorders>
            <w:textDirection w:val="lrTb"/>
            <w:vAlign w:val="center"/>
          </w:tcPr>
          <w:p w:rsidR="00D14925" w:rsidRPr="00B66482" w:rsidP="00182CC2">
            <w:pPr>
              <w:bidi w:val="0"/>
              <w:spacing w:after="0"/>
              <w:jc w:val="center"/>
              <w:rPr>
                <w:rFonts w:ascii="Times New Roman" w:hAnsi="Times New Roman"/>
                <w:sz w:val="24"/>
                <w:szCs w:val="24"/>
                <w:lang w:eastAsia="sk-SK"/>
              </w:rPr>
            </w:pPr>
            <w:r w:rsidRPr="00B66482">
              <w:rPr>
                <w:rFonts w:ascii="Times New Roman" w:hAnsi="Times New Roman"/>
                <w:b/>
                <w:bCs/>
                <w:sz w:val="20"/>
                <w:szCs w:val="20"/>
                <w:lang w:eastAsia="sk-SK"/>
              </w:rPr>
              <w:t>0</w:t>
            </w:r>
          </w:p>
        </w:tc>
        <w:tc>
          <w:tcPr>
            <w:tcW w:w="1540" w:type="dxa"/>
            <w:tcBorders>
              <w:top w:val="single" w:sz="4" w:space="0" w:color="000000"/>
              <w:left w:val="none" w:sz="0" w:space="0" w:color="auto"/>
              <w:bottom w:val="single" w:sz="4" w:space="0" w:color="000000"/>
              <w:right w:val="single" w:sz="4" w:space="0" w:color="000000"/>
            </w:tcBorders>
            <w:textDirection w:val="lrTb"/>
            <w:vAlign w:val="center"/>
          </w:tcPr>
          <w:p w:rsidR="00D14925" w:rsidRPr="00B66482" w:rsidP="00182CC2">
            <w:pPr>
              <w:bidi w:val="0"/>
              <w:spacing w:after="0"/>
              <w:jc w:val="center"/>
              <w:rPr>
                <w:rFonts w:ascii="Times New Roman" w:hAnsi="Times New Roman"/>
                <w:sz w:val="24"/>
                <w:szCs w:val="24"/>
                <w:lang w:eastAsia="sk-SK"/>
              </w:rPr>
            </w:pPr>
            <w:r w:rsidRPr="00B66482">
              <w:rPr>
                <w:rFonts w:ascii="Times New Roman" w:hAnsi="Times New Roman"/>
                <w:b/>
                <w:bCs/>
                <w:sz w:val="20"/>
                <w:szCs w:val="20"/>
                <w:lang w:eastAsia="sk-SK"/>
              </w:rPr>
              <w:t>0</w:t>
            </w:r>
          </w:p>
        </w:tc>
        <w:tc>
          <w:tcPr>
            <w:tcW w:w="1540" w:type="dxa"/>
            <w:tcBorders>
              <w:top w:val="single" w:sz="4" w:space="0" w:color="000000"/>
              <w:left w:val="none" w:sz="0" w:space="0" w:color="auto"/>
              <w:bottom w:val="single" w:sz="4" w:space="0" w:color="000000"/>
              <w:right w:val="single" w:sz="4" w:space="0" w:color="000000"/>
            </w:tcBorders>
            <w:textDirection w:val="lrTb"/>
            <w:vAlign w:val="center"/>
          </w:tcPr>
          <w:p w:rsidR="00D14925" w:rsidRPr="00B66482" w:rsidP="00182CC2">
            <w:pPr>
              <w:bidi w:val="0"/>
              <w:spacing w:after="0"/>
              <w:jc w:val="center"/>
              <w:rPr>
                <w:rFonts w:ascii="Times New Roman" w:hAnsi="Times New Roman"/>
                <w:sz w:val="24"/>
                <w:szCs w:val="24"/>
                <w:lang w:eastAsia="sk-SK"/>
              </w:rPr>
            </w:pPr>
            <w:r w:rsidRPr="00B66482">
              <w:rPr>
                <w:rFonts w:ascii="Times New Roman" w:hAnsi="Times New Roman"/>
                <w:b/>
                <w:bCs/>
                <w:sz w:val="20"/>
                <w:szCs w:val="20"/>
                <w:lang w:eastAsia="sk-SK"/>
              </w:rPr>
              <w:t>0</w:t>
            </w:r>
          </w:p>
        </w:tc>
        <w:tc>
          <w:tcPr>
            <w:tcW w:w="1540" w:type="dxa"/>
            <w:tcBorders>
              <w:top w:val="single" w:sz="4" w:space="0" w:color="000000"/>
              <w:left w:val="none" w:sz="0" w:space="0" w:color="auto"/>
              <w:bottom w:val="single" w:sz="4" w:space="0" w:color="000000"/>
              <w:right w:val="single" w:sz="4" w:space="0" w:color="000000"/>
            </w:tcBorders>
            <w:textDirection w:val="lrTb"/>
            <w:vAlign w:val="center"/>
          </w:tcPr>
          <w:p w:rsidR="00D14925" w:rsidRPr="00B66482" w:rsidP="00182CC2">
            <w:pPr>
              <w:bidi w:val="0"/>
              <w:spacing w:after="0"/>
              <w:jc w:val="center"/>
              <w:rPr>
                <w:rFonts w:ascii="Times New Roman" w:hAnsi="Times New Roman"/>
                <w:sz w:val="24"/>
                <w:szCs w:val="24"/>
                <w:lang w:eastAsia="sk-SK"/>
              </w:rPr>
            </w:pPr>
            <w:r w:rsidRPr="00B66482">
              <w:rPr>
                <w:rFonts w:ascii="Times New Roman" w:hAnsi="Times New Roman"/>
                <w:b/>
                <w:bCs/>
                <w:sz w:val="20"/>
                <w:szCs w:val="20"/>
                <w:lang w:eastAsia="sk-SK"/>
              </w:rPr>
              <w:t>0</w:t>
            </w:r>
          </w:p>
        </w:tc>
        <w:tc>
          <w:tcPr>
            <w:tcW w:w="2220" w:type="dxa"/>
            <w:tcBorders>
              <w:top w:val="single" w:sz="4" w:space="0" w:color="000000"/>
              <w:left w:val="none" w:sz="0" w:space="0" w:color="auto"/>
              <w:bottom w:val="single" w:sz="4" w:space="0" w:color="000000"/>
              <w:right w:val="single" w:sz="4" w:space="0" w:color="000000"/>
            </w:tcBorders>
            <w:noWrap/>
            <w:textDirection w:val="lrTb"/>
            <w:vAlign w:val="center"/>
          </w:tcPr>
          <w:p w:rsidR="00D14925" w:rsidRPr="00B66482" w:rsidP="00182CC2">
            <w:pPr>
              <w:bidi w:val="0"/>
              <w:spacing w:after="0"/>
              <w:jc w:val="center"/>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extDirection w:val="lrTb"/>
            <w:vAlign w:val="center"/>
          </w:tcPr>
          <w:p w:rsidR="00D14925" w:rsidRPr="000E6BC7" w:rsidP="00182CC2">
            <w:pPr>
              <w:bidi w:val="0"/>
              <w:spacing w:after="0"/>
              <w:rPr>
                <w:rFonts w:ascii="Times New Roman" w:hAnsi="Times New Roman"/>
                <w:sz w:val="24"/>
                <w:szCs w:val="24"/>
                <w:lang w:eastAsia="sk-SK"/>
              </w:rPr>
            </w:pPr>
            <w:r>
              <w:rPr>
                <w:rFonts w:ascii="Times New Roman" w:hAnsi="Times New Roman"/>
                <w:sz w:val="20"/>
                <w:szCs w:val="20"/>
                <w:lang w:eastAsia="sk-SK"/>
              </w:rPr>
              <w:t xml:space="preserve">  Obstaráva. </w:t>
            </w:r>
            <w:r w:rsidRPr="000E6BC7">
              <w:rPr>
                <w:rFonts w:ascii="Times New Roman" w:hAnsi="Times New Roman"/>
                <w:sz w:val="20"/>
                <w:szCs w:val="20"/>
                <w:lang w:eastAsia="sk-SK"/>
              </w:rPr>
              <w:t>kapitálových aktív (710)</w:t>
            </w:r>
          </w:p>
        </w:tc>
        <w:tc>
          <w:tcPr>
            <w:tcW w:w="1540" w:type="dxa"/>
            <w:tcBorders>
              <w:top w:val="single" w:sz="4" w:space="0" w:color="000000"/>
              <w:left w:val="none" w:sz="0" w:space="0" w:color="auto"/>
              <w:bottom w:val="single" w:sz="4" w:space="0" w:color="000000"/>
              <w:right w:val="single" w:sz="4" w:space="0" w:color="000000"/>
            </w:tcBorders>
            <w:textDirection w:val="lrTb"/>
            <w:vAlign w:val="center"/>
          </w:tcPr>
          <w:p w:rsidR="00D14925" w:rsidRPr="00B66482" w:rsidP="00182CC2">
            <w:pPr>
              <w:bidi w:val="0"/>
              <w:spacing w:after="0"/>
              <w:jc w:val="center"/>
              <w:rPr>
                <w:rFonts w:ascii="Times New Roman" w:hAnsi="Times New Roman"/>
                <w:sz w:val="24"/>
                <w:szCs w:val="24"/>
                <w:lang w:eastAsia="sk-SK"/>
              </w:rPr>
            </w:pPr>
            <w:r w:rsidRPr="00B66482">
              <w:rPr>
                <w:rFonts w:ascii="Times New Roman" w:hAnsi="Times New Roman"/>
                <w:sz w:val="20"/>
                <w:szCs w:val="20"/>
                <w:lang w:eastAsia="sk-SK"/>
              </w:rPr>
              <w:t>0</w:t>
            </w:r>
          </w:p>
        </w:tc>
        <w:tc>
          <w:tcPr>
            <w:tcW w:w="1540" w:type="dxa"/>
            <w:tcBorders>
              <w:top w:val="single" w:sz="4" w:space="0" w:color="000000"/>
              <w:left w:val="none" w:sz="0" w:space="0" w:color="auto"/>
              <w:bottom w:val="single" w:sz="4" w:space="0" w:color="000000"/>
              <w:right w:val="single" w:sz="4" w:space="0" w:color="000000"/>
            </w:tcBorders>
            <w:textDirection w:val="lrTb"/>
            <w:vAlign w:val="center"/>
          </w:tcPr>
          <w:p w:rsidR="00D14925" w:rsidRPr="00B66482" w:rsidP="00182CC2">
            <w:pPr>
              <w:bidi w:val="0"/>
              <w:spacing w:after="0"/>
              <w:jc w:val="center"/>
              <w:rPr>
                <w:rFonts w:ascii="Times New Roman" w:hAnsi="Times New Roman"/>
                <w:sz w:val="24"/>
                <w:szCs w:val="24"/>
                <w:lang w:eastAsia="sk-SK"/>
              </w:rPr>
            </w:pPr>
            <w:r w:rsidRPr="00B66482">
              <w:rPr>
                <w:rFonts w:ascii="Times New Roman" w:hAnsi="Times New Roman"/>
                <w:sz w:val="20"/>
                <w:szCs w:val="20"/>
                <w:lang w:eastAsia="sk-SK"/>
              </w:rPr>
              <w:t>0</w:t>
            </w:r>
          </w:p>
        </w:tc>
        <w:tc>
          <w:tcPr>
            <w:tcW w:w="1540" w:type="dxa"/>
            <w:tcBorders>
              <w:top w:val="single" w:sz="4" w:space="0" w:color="000000"/>
              <w:left w:val="none" w:sz="0" w:space="0" w:color="auto"/>
              <w:bottom w:val="single" w:sz="4" w:space="0" w:color="000000"/>
              <w:right w:val="single" w:sz="4" w:space="0" w:color="000000"/>
            </w:tcBorders>
            <w:textDirection w:val="lrTb"/>
            <w:vAlign w:val="center"/>
          </w:tcPr>
          <w:p w:rsidR="00D14925" w:rsidRPr="00B66482" w:rsidP="00182CC2">
            <w:pPr>
              <w:bidi w:val="0"/>
              <w:spacing w:after="0"/>
              <w:jc w:val="center"/>
              <w:rPr>
                <w:rFonts w:ascii="Times New Roman" w:hAnsi="Times New Roman"/>
                <w:sz w:val="24"/>
                <w:szCs w:val="24"/>
                <w:lang w:eastAsia="sk-SK"/>
              </w:rPr>
            </w:pPr>
            <w:r w:rsidRPr="00B66482">
              <w:rPr>
                <w:rFonts w:ascii="Times New Roman" w:hAnsi="Times New Roman"/>
                <w:sz w:val="20"/>
                <w:szCs w:val="20"/>
                <w:lang w:eastAsia="sk-SK"/>
              </w:rPr>
              <w:t>0</w:t>
            </w:r>
          </w:p>
        </w:tc>
        <w:tc>
          <w:tcPr>
            <w:tcW w:w="1540" w:type="dxa"/>
            <w:tcBorders>
              <w:top w:val="single" w:sz="4" w:space="0" w:color="000000"/>
              <w:left w:val="none" w:sz="0" w:space="0" w:color="auto"/>
              <w:bottom w:val="single" w:sz="4" w:space="0" w:color="000000"/>
              <w:right w:val="single" w:sz="4" w:space="0" w:color="000000"/>
            </w:tcBorders>
            <w:textDirection w:val="lrTb"/>
            <w:vAlign w:val="center"/>
          </w:tcPr>
          <w:p w:rsidR="00D14925" w:rsidRPr="00B66482" w:rsidP="00182CC2">
            <w:pPr>
              <w:bidi w:val="0"/>
              <w:spacing w:after="0"/>
              <w:jc w:val="center"/>
              <w:rPr>
                <w:rFonts w:ascii="Times New Roman" w:hAnsi="Times New Roman"/>
                <w:sz w:val="24"/>
                <w:szCs w:val="24"/>
                <w:lang w:eastAsia="sk-SK"/>
              </w:rPr>
            </w:pPr>
            <w:r w:rsidRPr="00B66482">
              <w:rPr>
                <w:rFonts w:ascii="Times New Roman" w:hAnsi="Times New Roman"/>
                <w:sz w:val="20"/>
                <w:szCs w:val="20"/>
                <w:lang w:eastAsia="sk-SK"/>
              </w:rPr>
              <w:t>0</w:t>
            </w:r>
          </w:p>
        </w:tc>
        <w:tc>
          <w:tcPr>
            <w:tcW w:w="2220" w:type="dxa"/>
            <w:tcBorders>
              <w:top w:val="single" w:sz="4" w:space="0" w:color="000000"/>
              <w:left w:val="none" w:sz="0" w:space="0" w:color="auto"/>
              <w:bottom w:val="single" w:sz="4" w:space="0" w:color="000000"/>
              <w:right w:val="single" w:sz="4" w:space="0" w:color="000000"/>
            </w:tcBorders>
            <w:noWrap/>
            <w:textDirection w:val="lrTb"/>
            <w:vAlign w:val="center"/>
          </w:tcPr>
          <w:p w:rsidR="00D14925" w:rsidRPr="00B66482" w:rsidP="00182CC2">
            <w:pPr>
              <w:bidi w:val="0"/>
              <w:spacing w:after="0"/>
              <w:jc w:val="center"/>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extDirection w:val="lrTb"/>
            <w:vAlign w:val="center"/>
          </w:tcPr>
          <w:p w:rsidR="00D14925" w:rsidRPr="000E6BC7" w:rsidP="00182CC2">
            <w:pPr>
              <w:bidi w:val="0"/>
              <w:spacing w:after="0"/>
              <w:rPr>
                <w:rFonts w:ascii="Times New Roman" w:hAnsi="Times New Roman"/>
                <w:sz w:val="24"/>
                <w:szCs w:val="24"/>
                <w:lang w:eastAsia="sk-SK"/>
              </w:rPr>
            </w:pPr>
            <w:r w:rsidRPr="000E6BC7">
              <w:rPr>
                <w:rFonts w:ascii="Times New Roman" w:hAnsi="Times New Roman"/>
                <w:sz w:val="20"/>
                <w:szCs w:val="20"/>
                <w:lang w:eastAsia="sk-SK"/>
              </w:rPr>
              <w:t>  Kapitálové transfery (720)</w:t>
            </w:r>
            <w:r w:rsidRPr="000E6BC7">
              <w:rPr>
                <w:rFonts w:ascii="Times New Roman" w:hAnsi="Times New Roman"/>
                <w:sz w:val="13"/>
                <w:szCs w:val="13"/>
                <w:vertAlign w:val="superscript"/>
                <w:lang w:eastAsia="sk-SK"/>
              </w:rPr>
              <w:t>2</w:t>
            </w:r>
          </w:p>
        </w:tc>
        <w:tc>
          <w:tcPr>
            <w:tcW w:w="1540" w:type="dxa"/>
            <w:tcBorders>
              <w:top w:val="single" w:sz="4" w:space="0" w:color="000000"/>
              <w:left w:val="none" w:sz="0" w:space="0" w:color="auto"/>
              <w:bottom w:val="single" w:sz="4" w:space="0" w:color="000000"/>
              <w:right w:val="single" w:sz="4" w:space="0" w:color="000000"/>
            </w:tcBorders>
            <w:textDirection w:val="lrTb"/>
            <w:vAlign w:val="center"/>
          </w:tcPr>
          <w:p w:rsidR="00D14925" w:rsidRPr="00B66482" w:rsidP="00182CC2">
            <w:pPr>
              <w:bidi w:val="0"/>
              <w:spacing w:after="0"/>
              <w:jc w:val="center"/>
              <w:rPr>
                <w:rFonts w:ascii="Times New Roman" w:hAnsi="Times New Roman"/>
                <w:sz w:val="24"/>
                <w:szCs w:val="24"/>
                <w:lang w:eastAsia="sk-SK"/>
              </w:rPr>
            </w:pPr>
            <w:r w:rsidRPr="00B66482">
              <w:rPr>
                <w:rFonts w:ascii="Times New Roman" w:hAnsi="Times New Roman"/>
                <w:sz w:val="20"/>
                <w:szCs w:val="20"/>
                <w:lang w:eastAsia="sk-SK"/>
              </w:rPr>
              <w:t>0</w:t>
            </w:r>
          </w:p>
        </w:tc>
        <w:tc>
          <w:tcPr>
            <w:tcW w:w="1540" w:type="dxa"/>
            <w:tcBorders>
              <w:top w:val="single" w:sz="4" w:space="0" w:color="000000"/>
              <w:left w:val="none" w:sz="0" w:space="0" w:color="auto"/>
              <w:bottom w:val="single" w:sz="4" w:space="0" w:color="000000"/>
              <w:right w:val="single" w:sz="4" w:space="0" w:color="000000"/>
            </w:tcBorders>
            <w:textDirection w:val="lrTb"/>
            <w:vAlign w:val="center"/>
          </w:tcPr>
          <w:p w:rsidR="00D14925" w:rsidRPr="00B66482" w:rsidP="00182CC2">
            <w:pPr>
              <w:bidi w:val="0"/>
              <w:spacing w:after="0"/>
              <w:jc w:val="center"/>
              <w:rPr>
                <w:rFonts w:ascii="Times New Roman" w:hAnsi="Times New Roman"/>
                <w:sz w:val="24"/>
                <w:szCs w:val="24"/>
                <w:lang w:eastAsia="sk-SK"/>
              </w:rPr>
            </w:pPr>
            <w:r w:rsidRPr="00B66482">
              <w:rPr>
                <w:rFonts w:ascii="Times New Roman" w:hAnsi="Times New Roman"/>
                <w:sz w:val="20"/>
                <w:szCs w:val="20"/>
                <w:lang w:eastAsia="sk-SK"/>
              </w:rPr>
              <w:t>0</w:t>
            </w:r>
          </w:p>
        </w:tc>
        <w:tc>
          <w:tcPr>
            <w:tcW w:w="1540" w:type="dxa"/>
            <w:tcBorders>
              <w:top w:val="single" w:sz="4" w:space="0" w:color="000000"/>
              <w:left w:val="none" w:sz="0" w:space="0" w:color="auto"/>
              <w:bottom w:val="single" w:sz="4" w:space="0" w:color="000000"/>
              <w:right w:val="single" w:sz="4" w:space="0" w:color="000000"/>
            </w:tcBorders>
            <w:textDirection w:val="lrTb"/>
            <w:vAlign w:val="center"/>
          </w:tcPr>
          <w:p w:rsidR="00D14925" w:rsidRPr="00B66482" w:rsidP="00182CC2">
            <w:pPr>
              <w:bidi w:val="0"/>
              <w:spacing w:after="0"/>
              <w:jc w:val="center"/>
              <w:rPr>
                <w:rFonts w:ascii="Times New Roman" w:hAnsi="Times New Roman"/>
                <w:sz w:val="24"/>
                <w:szCs w:val="24"/>
                <w:lang w:eastAsia="sk-SK"/>
              </w:rPr>
            </w:pPr>
            <w:r w:rsidRPr="00B66482">
              <w:rPr>
                <w:rFonts w:ascii="Times New Roman" w:hAnsi="Times New Roman"/>
                <w:sz w:val="20"/>
                <w:szCs w:val="20"/>
                <w:lang w:eastAsia="sk-SK"/>
              </w:rPr>
              <w:t>0</w:t>
            </w:r>
          </w:p>
        </w:tc>
        <w:tc>
          <w:tcPr>
            <w:tcW w:w="1540" w:type="dxa"/>
            <w:tcBorders>
              <w:top w:val="single" w:sz="4" w:space="0" w:color="000000"/>
              <w:left w:val="none" w:sz="0" w:space="0" w:color="auto"/>
              <w:bottom w:val="single" w:sz="4" w:space="0" w:color="000000"/>
              <w:right w:val="single" w:sz="4" w:space="0" w:color="000000"/>
            </w:tcBorders>
            <w:textDirection w:val="lrTb"/>
            <w:vAlign w:val="center"/>
          </w:tcPr>
          <w:p w:rsidR="00D14925" w:rsidRPr="00B66482" w:rsidP="00182CC2">
            <w:pPr>
              <w:bidi w:val="0"/>
              <w:spacing w:after="0"/>
              <w:jc w:val="center"/>
              <w:rPr>
                <w:rFonts w:ascii="Times New Roman" w:hAnsi="Times New Roman"/>
                <w:sz w:val="24"/>
                <w:szCs w:val="24"/>
                <w:lang w:eastAsia="sk-SK"/>
              </w:rPr>
            </w:pPr>
            <w:r w:rsidRPr="00B66482">
              <w:rPr>
                <w:rFonts w:ascii="Times New Roman" w:hAnsi="Times New Roman"/>
                <w:sz w:val="20"/>
                <w:szCs w:val="20"/>
                <w:lang w:eastAsia="sk-SK"/>
              </w:rPr>
              <w:t>0</w:t>
            </w:r>
          </w:p>
        </w:tc>
        <w:tc>
          <w:tcPr>
            <w:tcW w:w="2220" w:type="dxa"/>
            <w:tcBorders>
              <w:top w:val="single" w:sz="4" w:space="0" w:color="000000"/>
              <w:left w:val="none" w:sz="0" w:space="0" w:color="auto"/>
              <w:bottom w:val="single" w:sz="4" w:space="0" w:color="000000"/>
              <w:right w:val="single" w:sz="4" w:space="0" w:color="000000"/>
            </w:tcBorders>
            <w:noWrap/>
            <w:textDirection w:val="lrTb"/>
            <w:vAlign w:val="center"/>
          </w:tcPr>
          <w:p w:rsidR="00D14925" w:rsidRPr="00B66482" w:rsidP="00182CC2">
            <w:pPr>
              <w:bidi w:val="0"/>
              <w:spacing w:after="0"/>
              <w:jc w:val="center"/>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textDirection w:val="lrTb"/>
            <w:vAlign w:val="center"/>
          </w:tcPr>
          <w:p w:rsidR="00D14925" w:rsidRPr="000E6BC7" w:rsidP="00182CC2">
            <w:pPr>
              <w:bidi w:val="0"/>
              <w:spacing w:after="0"/>
              <w:rPr>
                <w:rFonts w:ascii="Times New Roman" w:hAnsi="Times New Roman"/>
                <w:sz w:val="24"/>
                <w:szCs w:val="24"/>
                <w:lang w:eastAsia="sk-SK"/>
              </w:rPr>
            </w:pPr>
            <w:r w:rsidRPr="000E6BC7">
              <w:rPr>
                <w:rFonts w:ascii="Times New Roman" w:hAnsi="Times New Roman"/>
                <w:b/>
                <w:bCs/>
                <w:sz w:val="20"/>
                <w:szCs w:val="20"/>
                <w:lang w:eastAsia="sk-SK"/>
              </w:rPr>
              <w:t>Výdavky z transakcií s finančnými aktívami a finančnými pasívami (800)</w:t>
            </w:r>
          </w:p>
        </w:tc>
        <w:tc>
          <w:tcPr>
            <w:tcW w:w="1540" w:type="dxa"/>
            <w:tcBorders>
              <w:top w:val="single" w:sz="4" w:space="0" w:color="000000"/>
              <w:left w:val="none" w:sz="0" w:space="0" w:color="auto"/>
              <w:bottom w:val="single" w:sz="4" w:space="0" w:color="000000"/>
              <w:right w:val="single" w:sz="4" w:space="0" w:color="000000"/>
            </w:tcBorders>
            <w:shd w:val="clear" w:color="auto" w:fill="FFFF99"/>
            <w:textDirection w:val="lrTb"/>
            <w:vAlign w:val="center"/>
          </w:tcPr>
          <w:p w:rsidR="00D14925" w:rsidRPr="00B66482" w:rsidP="00182CC2">
            <w:pPr>
              <w:bidi w:val="0"/>
              <w:spacing w:after="0"/>
              <w:jc w:val="center"/>
              <w:rPr>
                <w:rFonts w:ascii="Times New Roman" w:hAnsi="Times New Roman"/>
                <w:sz w:val="24"/>
                <w:szCs w:val="24"/>
                <w:lang w:eastAsia="sk-SK"/>
              </w:rPr>
            </w:pPr>
            <w:r w:rsidRPr="00B66482">
              <w:rPr>
                <w:rFonts w:ascii="Times New Roman" w:hAnsi="Times New Roman"/>
                <w:b/>
                <w:bCs/>
                <w:sz w:val="20"/>
                <w:szCs w:val="20"/>
                <w:lang w:eastAsia="sk-SK"/>
              </w:rPr>
              <w:t>0</w:t>
            </w:r>
          </w:p>
        </w:tc>
        <w:tc>
          <w:tcPr>
            <w:tcW w:w="1540" w:type="dxa"/>
            <w:tcBorders>
              <w:top w:val="single" w:sz="4" w:space="0" w:color="000000"/>
              <w:left w:val="none" w:sz="0" w:space="0" w:color="auto"/>
              <w:bottom w:val="single" w:sz="4" w:space="0" w:color="000000"/>
              <w:right w:val="single" w:sz="4" w:space="0" w:color="000000"/>
            </w:tcBorders>
            <w:shd w:val="clear" w:color="auto" w:fill="FFFF99"/>
            <w:textDirection w:val="lrTb"/>
            <w:vAlign w:val="center"/>
          </w:tcPr>
          <w:p w:rsidR="00D14925" w:rsidRPr="00B66482" w:rsidP="00182CC2">
            <w:pPr>
              <w:bidi w:val="0"/>
              <w:spacing w:after="0"/>
              <w:jc w:val="center"/>
              <w:rPr>
                <w:rFonts w:ascii="Times New Roman" w:hAnsi="Times New Roman"/>
                <w:sz w:val="24"/>
                <w:szCs w:val="24"/>
                <w:lang w:eastAsia="sk-SK"/>
              </w:rPr>
            </w:pPr>
            <w:r w:rsidRPr="00B66482">
              <w:rPr>
                <w:rFonts w:ascii="Times New Roman" w:hAnsi="Times New Roman"/>
                <w:b/>
                <w:bCs/>
                <w:sz w:val="20"/>
                <w:szCs w:val="20"/>
                <w:lang w:eastAsia="sk-SK"/>
              </w:rPr>
              <w:t>0</w:t>
            </w:r>
          </w:p>
        </w:tc>
        <w:tc>
          <w:tcPr>
            <w:tcW w:w="1540" w:type="dxa"/>
            <w:tcBorders>
              <w:top w:val="single" w:sz="4" w:space="0" w:color="000000"/>
              <w:left w:val="none" w:sz="0" w:space="0" w:color="auto"/>
              <w:bottom w:val="single" w:sz="4" w:space="0" w:color="000000"/>
              <w:right w:val="single" w:sz="4" w:space="0" w:color="000000"/>
            </w:tcBorders>
            <w:shd w:val="clear" w:color="auto" w:fill="FFFF99"/>
            <w:textDirection w:val="lrTb"/>
            <w:vAlign w:val="center"/>
          </w:tcPr>
          <w:p w:rsidR="00D14925" w:rsidRPr="00B66482" w:rsidP="00182CC2">
            <w:pPr>
              <w:bidi w:val="0"/>
              <w:spacing w:after="0"/>
              <w:jc w:val="center"/>
              <w:rPr>
                <w:rFonts w:ascii="Times New Roman" w:hAnsi="Times New Roman"/>
                <w:sz w:val="24"/>
                <w:szCs w:val="24"/>
                <w:lang w:eastAsia="sk-SK"/>
              </w:rPr>
            </w:pPr>
            <w:r w:rsidRPr="00B66482">
              <w:rPr>
                <w:rFonts w:ascii="Times New Roman" w:hAnsi="Times New Roman"/>
                <w:b/>
                <w:bCs/>
                <w:sz w:val="20"/>
                <w:szCs w:val="20"/>
                <w:lang w:eastAsia="sk-SK"/>
              </w:rPr>
              <w:t>0</w:t>
            </w:r>
          </w:p>
        </w:tc>
        <w:tc>
          <w:tcPr>
            <w:tcW w:w="1540" w:type="dxa"/>
            <w:tcBorders>
              <w:top w:val="single" w:sz="4" w:space="0" w:color="000000"/>
              <w:left w:val="none" w:sz="0" w:space="0" w:color="auto"/>
              <w:bottom w:val="single" w:sz="4" w:space="0" w:color="000000"/>
              <w:right w:val="single" w:sz="4" w:space="0" w:color="000000"/>
            </w:tcBorders>
            <w:shd w:val="clear" w:color="auto" w:fill="FFFF99"/>
            <w:textDirection w:val="lrTb"/>
            <w:vAlign w:val="center"/>
          </w:tcPr>
          <w:p w:rsidR="00D14925" w:rsidRPr="00B66482" w:rsidP="00182CC2">
            <w:pPr>
              <w:bidi w:val="0"/>
              <w:spacing w:after="0"/>
              <w:jc w:val="center"/>
              <w:rPr>
                <w:rFonts w:ascii="Times New Roman" w:hAnsi="Times New Roman"/>
                <w:sz w:val="24"/>
                <w:szCs w:val="24"/>
                <w:lang w:eastAsia="sk-SK"/>
              </w:rPr>
            </w:pPr>
            <w:r w:rsidRPr="00B66482">
              <w:rPr>
                <w:rFonts w:ascii="Times New Roman" w:hAnsi="Times New Roman"/>
                <w:b/>
                <w:bCs/>
                <w:sz w:val="20"/>
                <w:szCs w:val="20"/>
                <w:lang w:eastAsia="sk-SK"/>
              </w:rPr>
              <w:t>0</w:t>
            </w:r>
          </w:p>
        </w:tc>
        <w:tc>
          <w:tcPr>
            <w:tcW w:w="2220" w:type="dxa"/>
            <w:tcBorders>
              <w:top w:val="single" w:sz="4" w:space="0" w:color="000000"/>
              <w:left w:val="none" w:sz="0" w:space="0" w:color="auto"/>
              <w:bottom w:val="single" w:sz="4" w:space="0" w:color="000000"/>
              <w:right w:val="single" w:sz="4" w:space="0" w:color="000000"/>
            </w:tcBorders>
            <w:noWrap/>
            <w:textDirection w:val="lrTb"/>
            <w:vAlign w:val="center"/>
          </w:tcPr>
          <w:p w:rsidR="00D14925" w:rsidRPr="00B66482" w:rsidP="00182CC2">
            <w:pPr>
              <w:bidi w:val="0"/>
              <w:spacing w:after="0"/>
              <w:jc w:val="center"/>
              <w:rPr>
                <w:rFonts w:ascii="Times New Roman" w:hAnsi="Times New Roman"/>
                <w:sz w:val="24"/>
                <w:szCs w:val="24"/>
                <w:lang w:eastAsia="sk-SK"/>
              </w:rPr>
            </w:pPr>
          </w:p>
        </w:tc>
      </w:tr>
      <w:tr>
        <w:tblPrEx>
          <w:tblW w:w="15450" w:type="dxa"/>
          <w:tblCellMar>
            <w:left w:w="70" w:type="dxa"/>
            <w:right w:w="70" w:type="dxa"/>
          </w:tblCellMar>
        </w:tblPrEx>
        <w:trPr>
          <w:trHeight w:val="255"/>
        </w:trPr>
        <w:tc>
          <w:tcPr>
            <w:tcW w:w="7070" w:type="dxa"/>
            <w:tcBorders>
              <w:top w:val="single" w:sz="4" w:space="0" w:color="000000"/>
              <w:left w:val="single" w:sz="4" w:space="0" w:color="000000"/>
              <w:bottom w:val="single" w:sz="4" w:space="0" w:color="000000"/>
              <w:right w:val="single" w:sz="4" w:space="0" w:color="000000"/>
            </w:tcBorders>
            <w:shd w:val="clear" w:color="auto" w:fill="BFBFBF"/>
            <w:textDirection w:val="lrTb"/>
            <w:vAlign w:val="center"/>
          </w:tcPr>
          <w:p w:rsidR="00D14925" w:rsidRPr="00B66482" w:rsidP="00182CC2">
            <w:pPr>
              <w:bidi w:val="0"/>
              <w:spacing w:after="0"/>
              <w:rPr>
                <w:rFonts w:ascii="Times New Roman" w:hAnsi="Times New Roman"/>
                <w:sz w:val="20"/>
                <w:szCs w:val="20"/>
                <w:lang w:eastAsia="sk-SK"/>
              </w:rPr>
            </w:pPr>
            <w:r w:rsidRPr="00B66482">
              <w:rPr>
                <w:rFonts w:ascii="Times New Roman" w:hAnsi="Times New Roman"/>
                <w:b/>
                <w:bCs/>
                <w:sz w:val="20"/>
                <w:szCs w:val="20"/>
                <w:lang w:eastAsia="sk-SK"/>
              </w:rPr>
              <w:t>Dopad na výdavky verejnej správy celkom</w:t>
            </w:r>
          </w:p>
        </w:tc>
        <w:tc>
          <w:tcPr>
            <w:tcW w:w="1540" w:type="dxa"/>
            <w:tcBorders>
              <w:top w:val="single" w:sz="4" w:space="0" w:color="000000"/>
              <w:left w:val="none" w:sz="0" w:space="0" w:color="auto"/>
              <w:bottom w:val="single" w:sz="4" w:space="0" w:color="000000"/>
              <w:right w:val="single" w:sz="4" w:space="0" w:color="000000"/>
            </w:tcBorders>
            <w:shd w:val="clear" w:color="auto" w:fill="BFBFBF"/>
            <w:textDirection w:val="lrTb"/>
            <w:vAlign w:val="bottom"/>
          </w:tcPr>
          <w:p w:rsidR="00D14925" w:rsidRPr="00B66482" w:rsidP="00182CC2">
            <w:pPr>
              <w:bidi w:val="0"/>
              <w:spacing w:after="0"/>
              <w:jc w:val="center"/>
              <w:rPr>
                <w:rFonts w:ascii="Times New Roman" w:hAnsi="Times New Roman"/>
                <w:b/>
                <w:color w:val="000000"/>
                <w:sz w:val="20"/>
                <w:szCs w:val="20"/>
              </w:rPr>
            </w:pPr>
            <w:r w:rsidRPr="00B66482">
              <w:rPr>
                <w:rFonts w:ascii="Times New Roman" w:hAnsi="Times New Roman"/>
                <w:b/>
                <w:color w:val="000000"/>
                <w:sz w:val="20"/>
                <w:szCs w:val="20"/>
              </w:rPr>
              <w:t>0</w:t>
            </w:r>
          </w:p>
        </w:tc>
        <w:tc>
          <w:tcPr>
            <w:tcW w:w="1540" w:type="dxa"/>
            <w:tcBorders>
              <w:top w:val="single" w:sz="4" w:space="0" w:color="000000"/>
              <w:left w:val="none" w:sz="0" w:space="0" w:color="auto"/>
              <w:bottom w:val="single" w:sz="4" w:space="0" w:color="000000"/>
              <w:right w:val="single" w:sz="4" w:space="0" w:color="000000"/>
            </w:tcBorders>
            <w:shd w:val="clear" w:color="auto" w:fill="BFBFBF"/>
            <w:textDirection w:val="lrTb"/>
            <w:vAlign w:val="center"/>
          </w:tcPr>
          <w:p w:rsidR="00D14925" w:rsidRPr="006B71C4" w:rsidP="00182CC2">
            <w:pPr>
              <w:bidi w:val="0"/>
              <w:spacing w:after="0"/>
              <w:jc w:val="center"/>
              <w:rPr>
                <w:rFonts w:ascii="Times New Roman" w:hAnsi="Times New Roman"/>
                <w:b/>
                <w:color w:val="000000"/>
                <w:sz w:val="20"/>
                <w:szCs w:val="20"/>
              </w:rPr>
            </w:pPr>
            <w:r>
              <w:rPr>
                <w:rFonts w:ascii="Times New Roman" w:hAnsi="Times New Roman"/>
                <w:b/>
                <w:color w:val="000000"/>
                <w:sz w:val="20"/>
                <w:szCs w:val="20"/>
              </w:rPr>
              <w:t>99</w:t>
            </w:r>
            <w:r w:rsidRPr="006B71C4">
              <w:rPr>
                <w:rFonts w:ascii="Times New Roman" w:hAnsi="Times New Roman"/>
                <w:b/>
                <w:color w:val="000000"/>
                <w:sz w:val="20"/>
                <w:szCs w:val="20"/>
              </w:rPr>
              <w:t xml:space="preserve">0 </w:t>
            </w:r>
            <w:r w:rsidRPr="006B71C4">
              <w:rPr>
                <w:rFonts w:ascii="Times New Roman" w:hAnsi="Times New Roman"/>
                <w:b/>
                <w:sz w:val="20"/>
                <w:szCs w:val="20"/>
                <w:lang w:eastAsia="sk-SK"/>
              </w:rPr>
              <w:t>000</w:t>
            </w:r>
            <w:r w:rsidRPr="006B71C4">
              <w:rPr>
                <w:rFonts w:ascii="Times New Roman" w:hAnsi="Times New Roman"/>
                <w:b/>
                <w:color w:val="000000"/>
                <w:sz w:val="20"/>
                <w:szCs w:val="20"/>
              </w:rPr>
              <w:t>,00</w:t>
            </w:r>
          </w:p>
        </w:tc>
        <w:tc>
          <w:tcPr>
            <w:tcW w:w="1540" w:type="dxa"/>
            <w:tcBorders>
              <w:top w:val="single" w:sz="4" w:space="0" w:color="000000"/>
              <w:left w:val="none" w:sz="0" w:space="0" w:color="auto"/>
              <w:bottom w:val="single" w:sz="4" w:space="0" w:color="000000"/>
              <w:right w:val="single" w:sz="4" w:space="0" w:color="000000"/>
            </w:tcBorders>
            <w:shd w:val="clear" w:color="auto" w:fill="BFBFBF"/>
            <w:textDirection w:val="lrTb"/>
            <w:vAlign w:val="center"/>
          </w:tcPr>
          <w:p w:rsidR="00D14925" w:rsidRPr="006B71C4" w:rsidP="00182CC2">
            <w:pPr>
              <w:bidi w:val="0"/>
              <w:spacing w:after="0"/>
              <w:jc w:val="center"/>
              <w:rPr>
                <w:rFonts w:ascii="Times New Roman" w:hAnsi="Times New Roman"/>
                <w:b/>
                <w:color w:val="000000"/>
                <w:sz w:val="20"/>
                <w:szCs w:val="20"/>
              </w:rPr>
            </w:pPr>
            <w:r>
              <w:rPr>
                <w:rFonts w:ascii="Times New Roman" w:hAnsi="Times New Roman"/>
                <w:b/>
                <w:color w:val="000000"/>
                <w:sz w:val="20"/>
                <w:szCs w:val="20"/>
              </w:rPr>
              <w:t>32</w:t>
            </w:r>
            <w:r w:rsidRPr="006B71C4">
              <w:rPr>
                <w:rFonts w:ascii="Times New Roman" w:hAnsi="Times New Roman"/>
                <w:b/>
                <w:color w:val="000000"/>
                <w:sz w:val="20"/>
                <w:szCs w:val="20"/>
              </w:rPr>
              <w:t>0 000,00</w:t>
            </w:r>
          </w:p>
        </w:tc>
        <w:tc>
          <w:tcPr>
            <w:tcW w:w="1540" w:type="dxa"/>
            <w:tcBorders>
              <w:top w:val="single" w:sz="4" w:space="0" w:color="000000"/>
              <w:left w:val="none" w:sz="0" w:space="0" w:color="auto"/>
              <w:bottom w:val="single" w:sz="4" w:space="0" w:color="000000"/>
              <w:right w:val="single" w:sz="4" w:space="0" w:color="000000"/>
            </w:tcBorders>
            <w:shd w:val="clear" w:color="auto" w:fill="BFBFBF"/>
            <w:textDirection w:val="lrTb"/>
            <w:vAlign w:val="center"/>
          </w:tcPr>
          <w:p w:rsidR="00D14925" w:rsidRPr="006B71C4" w:rsidP="00182CC2">
            <w:pPr>
              <w:bidi w:val="0"/>
              <w:spacing w:after="0"/>
              <w:jc w:val="center"/>
              <w:rPr>
                <w:rFonts w:ascii="Times New Roman" w:hAnsi="Times New Roman"/>
                <w:b/>
                <w:sz w:val="20"/>
                <w:szCs w:val="20"/>
                <w:lang w:eastAsia="sk-SK"/>
              </w:rPr>
            </w:pPr>
            <w:r w:rsidRPr="006B71C4">
              <w:rPr>
                <w:rFonts w:ascii="Times New Roman" w:hAnsi="Times New Roman"/>
                <w:b/>
                <w:color w:val="000000"/>
                <w:sz w:val="20"/>
                <w:szCs w:val="20"/>
              </w:rPr>
              <w:t>280 000,00</w:t>
            </w:r>
          </w:p>
        </w:tc>
        <w:tc>
          <w:tcPr>
            <w:tcW w:w="2220" w:type="dxa"/>
            <w:tcBorders>
              <w:top w:val="single" w:sz="4" w:space="0" w:color="000000"/>
              <w:left w:val="none" w:sz="0" w:space="0" w:color="auto"/>
              <w:bottom w:val="single" w:sz="4" w:space="0" w:color="000000"/>
              <w:right w:val="single" w:sz="4" w:space="0" w:color="000000"/>
            </w:tcBorders>
            <w:shd w:val="clear" w:color="auto" w:fill="BFBFBF"/>
            <w:noWrap/>
            <w:textDirection w:val="lrTb"/>
            <w:vAlign w:val="center"/>
          </w:tcPr>
          <w:p w:rsidR="00D14925" w:rsidRPr="00B66482" w:rsidP="00182CC2">
            <w:pPr>
              <w:bidi w:val="0"/>
              <w:spacing w:after="0"/>
              <w:jc w:val="center"/>
              <w:rPr>
                <w:rFonts w:ascii="Times New Roman" w:hAnsi="Times New Roman"/>
                <w:sz w:val="20"/>
                <w:szCs w:val="20"/>
                <w:lang w:eastAsia="sk-SK"/>
              </w:rPr>
            </w:pPr>
          </w:p>
        </w:tc>
      </w:tr>
    </w:tbl>
    <w:p w:rsidR="00D14925" w:rsidRPr="007D5748" w:rsidP="00D14925">
      <w:pPr>
        <w:tabs>
          <w:tab w:val="num" w:pos="1080"/>
        </w:tabs>
        <w:bidi w:val="0"/>
        <w:spacing w:after="0" w:line="240" w:lineRule="auto"/>
        <w:ind w:left="-900"/>
        <w:jc w:val="both"/>
        <w:rPr>
          <w:rFonts w:ascii="Times New Roman" w:hAnsi="Times New Roman"/>
          <w:bCs/>
          <w:sz w:val="20"/>
          <w:szCs w:val="20"/>
          <w:lang w:eastAsia="sk-SK"/>
        </w:rPr>
      </w:pPr>
    </w:p>
    <w:p w:rsidR="00D14925" w:rsidRPr="007D5748" w:rsidP="00D14925">
      <w:pPr>
        <w:tabs>
          <w:tab w:val="num" w:pos="1080"/>
        </w:tabs>
        <w:bidi w:val="0"/>
        <w:spacing w:after="0" w:line="240" w:lineRule="auto"/>
        <w:ind w:left="-900"/>
        <w:jc w:val="both"/>
        <w:rPr>
          <w:rFonts w:ascii="Times New Roman" w:hAnsi="Times New Roman"/>
          <w:bCs/>
          <w:sz w:val="20"/>
          <w:szCs w:val="20"/>
          <w:lang w:eastAsia="sk-SK"/>
        </w:rPr>
      </w:pPr>
    </w:p>
    <w:p w:rsidR="00D14925" w:rsidRPr="007D5748" w:rsidP="00D14925">
      <w:pPr>
        <w:tabs>
          <w:tab w:val="num" w:pos="1080"/>
        </w:tabs>
        <w:bidi w:val="0"/>
        <w:spacing w:after="0" w:line="240" w:lineRule="auto"/>
        <w:jc w:val="right"/>
        <w:rPr>
          <w:rFonts w:ascii="Times New Roman" w:hAnsi="Times New Roman"/>
          <w:bCs/>
          <w:sz w:val="24"/>
          <w:szCs w:val="24"/>
          <w:lang w:eastAsia="sk-SK"/>
        </w:rPr>
      </w:pPr>
      <w:r>
        <w:rPr>
          <w:rFonts w:ascii="Times New Roman" w:hAnsi="Times New Roman"/>
          <w:bCs/>
          <w:sz w:val="24"/>
          <w:szCs w:val="24"/>
          <w:lang w:eastAsia="sk-SK"/>
        </w:rPr>
        <w:t xml:space="preserve">               Tabuľka č. 4</w:t>
      </w:r>
    </w:p>
    <w:p w:rsidR="00D14925" w:rsidRPr="007D5748" w:rsidP="00D14925">
      <w:pPr>
        <w:tabs>
          <w:tab w:val="num" w:pos="1080"/>
        </w:tabs>
        <w:bidi w:val="0"/>
        <w:spacing w:after="0" w:line="240" w:lineRule="auto"/>
        <w:jc w:val="both"/>
        <w:rPr>
          <w:rFonts w:ascii="Times New Roman" w:hAnsi="Times New Roman"/>
          <w:bCs/>
          <w:sz w:val="24"/>
          <w:szCs w:val="20"/>
          <w:lang w:eastAsia="sk-SK"/>
        </w:rPr>
      </w:pPr>
    </w:p>
    <w:tbl>
      <w:tblPr>
        <w:tblStyle w:val="TableNormal"/>
        <w:tblW w:w="15434" w:type="dxa"/>
        <w:tblInd w:w="-784" w:type="dxa"/>
        <w:tblCellMar>
          <w:left w:w="70" w:type="dxa"/>
          <w:right w:w="70" w:type="dxa"/>
        </w:tblCellMar>
      </w:tblPr>
      <w:tblGrid>
        <w:gridCol w:w="6188"/>
        <w:gridCol w:w="1698"/>
        <w:gridCol w:w="1788"/>
        <w:gridCol w:w="720"/>
        <w:gridCol w:w="1698"/>
        <w:gridCol w:w="1722"/>
        <w:gridCol w:w="630"/>
        <w:gridCol w:w="990"/>
      </w:tblGrid>
      <w:tr>
        <w:tblPrEx>
          <w:tblW w:w="15434" w:type="dxa"/>
          <w:tblInd w:w="-784" w:type="dxa"/>
          <w:tblCellMar>
            <w:left w:w="70" w:type="dxa"/>
            <w:right w:w="70" w:type="dxa"/>
          </w:tblCellMar>
        </w:tblPrEx>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14925" w:rsidRPr="007D5748" w:rsidP="00182CC2">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extDirection w:val="lrTb"/>
            <w:vAlign w:val="top"/>
          </w:tcPr>
          <w:p w:rsidR="00D14925" w:rsidRPr="007D5748" w:rsidP="00182CC2">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14925" w:rsidRPr="007D5748" w:rsidP="00182CC2">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poznámka</w:t>
            </w:r>
          </w:p>
        </w:tc>
      </w:tr>
      <w:tr>
        <w:tblPrEx>
          <w:tblW w:w="15434" w:type="dxa"/>
          <w:tblInd w:w="-784" w:type="dxa"/>
          <w:tblCellMar>
            <w:left w:w="70" w:type="dxa"/>
            <w:right w:w="70" w:type="dxa"/>
          </w:tblCellMar>
        </w:tblPrEx>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14925" w:rsidRPr="007D5748" w:rsidP="00182CC2">
            <w:pPr>
              <w:bidi w:val="0"/>
              <w:spacing w:after="0" w:line="240" w:lineRule="auto"/>
              <w:rPr>
                <w:rFonts w:ascii="Times New Roman" w:hAnsi="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extDirection w:val="lrTb"/>
            <w:vAlign w:val="top"/>
          </w:tcPr>
          <w:p w:rsidR="00D14925" w:rsidRPr="007D5748" w:rsidP="00182CC2">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w:t>
            </w:r>
          </w:p>
        </w:tc>
        <w:tc>
          <w:tcPr>
            <w:tcW w:w="1788" w:type="dxa"/>
            <w:tcBorders>
              <w:top w:val="nil"/>
              <w:left w:val="nil"/>
              <w:bottom w:val="single" w:sz="4" w:space="0" w:color="auto"/>
              <w:right w:val="single" w:sz="4" w:space="0" w:color="auto"/>
            </w:tcBorders>
            <w:shd w:val="clear" w:color="auto" w:fill="BFBFBF"/>
            <w:textDirection w:val="lrTb"/>
            <w:vAlign w:val="top"/>
          </w:tcPr>
          <w:p w:rsidR="00D14925" w:rsidRPr="007D5748" w:rsidP="00182CC2">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 + 1</w:t>
            </w:r>
          </w:p>
        </w:tc>
        <w:tc>
          <w:tcPr>
            <w:tcW w:w="2418" w:type="dxa"/>
            <w:gridSpan w:val="2"/>
            <w:tcBorders>
              <w:top w:val="nil"/>
              <w:left w:val="nil"/>
              <w:bottom w:val="single" w:sz="4" w:space="0" w:color="auto"/>
              <w:right w:val="single" w:sz="4" w:space="0" w:color="auto"/>
            </w:tcBorders>
            <w:shd w:val="clear" w:color="auto" w:fill="BFBFBF"/>
            <w:textDirection w:val="lrTb"/>
            <w:vAlign w:val="top"/>
          </w:tcPr>
          <w:p w:rsidR="00D14925" w:rsidRPr="007D5748" w:rsidP="00182CC2">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 + 2</w:t>
            </w:r>
          </w:p>
        </w:tc>
        <w:tc>
          <w:tcPr>
            <w:tcW w:w="1722" w:type="dxa"/>
            <w:tcBorders>
              <w:top w:val="nil"/>
              <w:left w:val="nil"/>
              <w:bottom w:val="single" w:sz="4" w:space="0" w:color="auto"/>
              <w:right w:val="single" w:sz="4" w:space="0" w:color="auto"/>
            </w:tcBorders>
            <w:shd w:val="clear" w:color="auto" w:fill="BFBFBF"/>
            <w:textDirection w:val="lrTb"/>
            <w:vAlign w:val="top"/>
          </w:tcPr>
          <w:p w:rsidR="00D14925" w:rsidRPr="007D5748" w:rsidP="00182CC2">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r + 3</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D14925" w:rsidRPr="007D5748" w:rsidP="00182CC2">
            <w:pPr>
              <w:bidi w:val="0"/>
              <w:spacing w:after="0" w:line="240" w:lineRule="auto"/>
              <w:rPr>
                <w:rFonts w:ascii="Times New Roman" w:hAnsi="Times New Roman"/>
                <w:b/>
                <w:bCs/>
                <w:color w:val="FFFFFF"/>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D14925" w:rsidRPr="007D5748" w:rsidP="00182CC2">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extDirection w:val="lrTb"/>
            <w:vAlign w:val="top"/>
          </w:tcPr>
          <w:p w:rsidR="00D14925" w:rsidRPr="00177957" w:rsidP="00182CC2">
            <w:pPr>
              <w:bidi w:val="0"/>
              <w:spacing w:after="0" w:line="240" w:lineRule="auto"/>
              <w:jc w:val="center"/>
              <w:rPr>
                <w:rFonts w:ascii="Times New Roman" w:hAnsi="Times New Roman"/>
                <w:bCs/>
                <w:sz w:val="24"/>
                <w:szCs w:val="24"/>
                <w:lang w:eastAsia="sk-SK"/>
              </w:rPr>
            </w:pPr>
            <w:r w:rsidRPr="00177957">
              <w:rPr>
                <w:rFonts w:ascii="Times New Roman" w:hAnsi="Times New Roman"/>
                <w:bCs/>
                <w:sz w:val="24"/>
                <w:szCs w:val="24"/>
                <w:lang w:eastAsia="sk-SK"/>
              </w:rPr>
              <w:t>0</w:t>
            </w:r>
          </w:p>
        </w:tc>
        <w:tc>
          <w:tcPr>
            <w:tcW w:w="1788" w:type="dxa"/>
            <w:tcBorders>
              <w:top w:val="nil"/>
              <w:left w:val="nil"/>
              <w:bottom w:val="single" w:sz="4" w:space="0" w:color="auto"/>
              <w:right w:val="single" w:sz="4" w:space="0" w:color="auto"/>
            </w:tcBorders>
            <w:textDirection w:val="lrTb"/>
            <w:vAlign w:val="top"/>
          </w:tcPr>
          <w:p w:rsidR="00D14925" w:rsidRPr="00177957" w:rsidP="00182CC2">
            <w:pPr>
              <w:bidi w:val="0"/>
              <w:spacing w:after="0" w:line="240" w:lineRule="auto"/>
              <w:jc w:val="center"/>
              <w:rPr>
                <w:rFonts w:ascii="Times New Roman" w:hAnsi="Times New Roman"/>
                <w:bCs/>
                <w:sz w:val="24"/>
                <w:szCs w:val="24"/>
                <w:lang w:eastAsia="sk-SK"/>
              </w:rPr>
            </w:pPr>
            <w:r>
              <w:rPr>
                <w:rFonts w:ascii="Times New Roman" w:hAnsi="Times New Roman"/>
                <w:bCs/>
                <w:sz w:val="24"/>
                <w:szCs w:val="24"/>
                <w:lang w:eastAsia="sk-SK"/>
              </w:rPr>
              <w:t>0</w:t>
            </w:r>
          </w:p>
        </w:tc>
        <w:tc>
          <w:tcPr>
            <w:tcW w:w="2418" w:type="dxa"/>
            <w:gridSpan w:val="2"/>
            <w:tcBorders>
              <w:top w:val="nil"/>
              <w:left w:val="nil"/>
              <w:bottom w:val="single" w:sz="4" w:space="0" w:color="auto"/>
              <w:right w:val="single" w:sz="4" w:space="0" w:color="auto"/>
            </w:tcBorders>
            <w:textDirection w:val="lrTb"/>
            <w:vAlign w:val="top"/>
          </w:tcPr>
          <w:p w:rsidR="00D14925" w:rsidRPr="00177957" w:rsidP="00182CC2">
            <w:pPr>
              <w:bidi w:val="0"/>
              <w:spacing w:after="0" w:line="240" w:lineRule="auto"/>
              <w:jc w:val="center"/>
              <w:rPr>
                <w:rFonts w:ascii="Times New Roman" w:hAnsi="Times New Roman"/>
                <w:bCs/>
                <w:sz w:val="24"/>
                <w:szCs w:val="24"/>
                <w:lang w:eastAsia="sk-SK"/>
              </w:rPr>
            </w:pPr>
            <w:r>
              <w:rPr>
                <w:rFonts w:ascii="Times New Roman" w:hAnsi="Times New Roman"/>
                <w:bCs/>
                <w:sz w:val="24"/>
                <w:szCs w:val="24"/>
                <w:lang w:eastAsia="sk-SK"/>
              </w:rPr>
              <w:t>0</w:t>
            </w:r>
          </w:p>
        </w:tc>
        <w:tc>
          <w:tcPr>
            <w:tcW w:w="1722" w:type="dxa"/>
            <w:tcBorders>
              <w:top w:val="nil"/>
              <w:left w:val="nil"/>
              <w:bottom w:val="single" w:sz="4" w:space="0" w:color="auto"/>
              <w:right w:val="single" w:sz="4" w:space="0" w:color="auto"/>
            </w:tcBorders>
            <w:textDirection w:val="lrTb"/>
            <w:vAlign w:val="top"/>
          </w:tcPr>
          <w:p w:rsidR="00D14925" w:rsidRPr="00177957" w:rsidP="00182CC2">
            <w:pPr>
              <w:bidi w:val="0"/>
              <w:spacing w:after="0" w:line="240" w:lineRule="auto"/>
              <w:jc w:val="center"/>
              <w:rPr>
                <w:rFonts w:ascii="Times New Roman" w:hAnsi="Times New Roman"/>
                <w:bCs/>
                <w:sz w:val="24"/>
                <w:szCs w:val="24"/>
                <w:lang w:eastAsia="sk-SK"/>
              </w:rPr>
            </w:pPr>
            <w:r>
              <w:rPr>
                <w:rFonts w:ascii="Times New Roman" w:hAnsi="Times New Roman"/>
                <w:bCs/>
                <w:sz w:val="24"/>
                <w:szCs w:val="24"/>
                <w:lang w:eastAsia="sk-SK"/>
              </w:rPr>
              <w:t>0</w:t>
            </w:r>
          </w:p>
        </w:tc>
        <w:tc>
          <w:tcPr>
            <w:tcW w:w="1620" w:type="dxa"/>
            <w:gridSpan w:val="2"/>
            <w:tcBorders>
              <w:top w:val="nil"/>
              <w:left w:val="nil"/>
              <w:bottom w:val="single" w:sz="4" w:space="0" w:color="auto"/>
              <w:right w:val="single" w:sz="4" w:space="0" w:color="auto"/>
            </w:tcBorders>
            <w:noWrap/>
            <w:textDirection w:val="lrTb"/>
            <w:vAlign w:val="bottom"/>
          </w:tcPr>
          <w:p w:rsidR="00D14925" w:rsidRPr="007D5748" w:rsidP="00182CC2">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D14925" w:rsidRPr="007D5748" w:rsidP="00182CC2">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D14925" w:rsidRPr="00177957" w:rsidP="00182CC2">
            <w:pPr>
              <w:bidi w:val="0"/>
              <w:spacing w:after="0" w:line="240" w:lineRule="auto"/>
              <w:jc w:val="center"/>
              <w:rPr>
                <w:rFonts w:ascii="Times New Roman" w:hAnsi="Times New Roman"/>
                <w:bCs/>
                <w:sz w:val="24"/>
                <w:szCs w:val="24"/>
                <w:lang w:eastAsia="sk-SK"/>
              </w:rPr>
            </w:pPr>
            <w:r w:rsidRPr="00177957">
              <w:rPr>
                <w:rFonts w:ascii="Times New Roman" w:hAnsi="Times New Roman"/>
                <w:bCs/>
                <w:sz w:val="24"/>
                <w:szCs w:val="24"/>
                <w:lang w:eastAsia="sk-SK"/>
              </w:rPr>
              <w:t>0</w:t>
            </w:r>
          </w:p>
        </w:tc>
        <w:tc>
          <w:tcPr>
            <w:tcW w:w="1788" w:type="dxa"/>
            <w:tcBorders>
              <w:top w:val="single" w:sz="4" w:space="0" w:color="auto"/>
              <w:left w:val="nil"/>
              <w:bottom w:val="single" w:sz="4" w:space="0" w:color="auto"/>
              <w:right w:val="single" w:sz="4" w:space="0" w:color="auto"/>
            </w:tcBorders>
            <w:textDirection w:val="lrTb"/>
            <w:vAlign w:val="top"/>
          </w:tcPr>
          <w:p w:rsidR="00D14925" w:rsidRPr="00177957" w:rsidP="00182CC2">
            <w:pPr>
              <w:bidi w:val="0"/>
              <w:spacing w:after="0" w:line="240" w:lineRule="auto"/>
              <w:jc w:val="center"/>
              <w:rPr>
                <w:rFonts w:ascii="Times New Roman" w:hAnsi="Times New Roman"/>
                <w:bCs/>
                <w:sz w:val="24"/>
                <w:szCs w:val="24"/>
                <w:lang w:eastAsia="sk-SK"/>
              </w:rPr>
            </w:pPr>
            <w:r>
              <w:rPr>
                <w:rFonts w:ascii="Times New Roman" w:hAnsi="Times New Roman"/>
                <w:bCs/>
                <w:sz w:val="24"/>
                <w:szCs w:val="24"/>
                <w:lang w:eastAsia="sk-SK"/>
              </w:rPr>
              <w:t>0</w:t>
            </w:r>
          </w:p>
        </w:tc>
        <w:tc>
          <w:tcPr>
            <w:tcW w:w="2418" w:type="dxa"/>
            <w:gridSpan w:val="2"/>
            <w:tcBorders>
              <w:top w:val="single" w:sz="4" w:space="0" w:color="auto"/>
              <w:left w:val="nil"/>
              <w:bottom w:val="single" w:sz="4" w:space="0" w:color="auto"/>
              <w:right w:val="single" w:sz="4" w:space="0" w:color="auto"/>
            </w:tcBorders>
            <w:textDirection w:val="lrTb"/>
            <w:vAlign w:val="top"/>
          </w:tcPr>
          <w:p w:rsidR="00D14925" w:rsidRPr="00177957" w:rsidP="00182CC2">
            <w:pPr>
              <w:bidi w:val="0"/>
              <w:spacing w:after="0" w:line="240" w:lineRule="auto"/>
              <w:jc w:val="center"/>
              <w:rPr>
                <w:rFonts w:ascii="Times New Roman" w:hAnsi="Times New Roman"/>
                <w:bCs/>
                <w:sz w:val="24"/>
                <w:szCs w:val="24"/>
                <w:lang w:eastAsia="sk-SK"/>
              </w:rPr>
            </w:pPr>
            <w:r>
              <w:rPr>
                <w:rFonts w:ascii="Times New Roman" w:hAnsi="Times New Roman"/>
                <w:bCs/>
                <w:sz w:val="24"/>
                <w:szCs w:val="24"/>
                <w:lang w:eastAsia="sk-SK"/>
              </w:rPr>
              <w:t>0</w:t>
            </w:r>
          </w:p>
        </w:tc>
        <w:tc>
          <w:tcPr>
            <w:tcW w:w="1722" w:type="dxa"/>
            <w:tcBorders>
              <w:top w:val="single" w:sz="4" w:space="0" w:color="auto"/>
              <w:left w:val="nil"/>
              <w:bottom w:val="single" w:sz="4" w:space="0" w:color="auto"/>
              <w:right w:val="single" w:sz="4" w:space="0" w:color="auto"/>
            </w:tcBorders>
            <w:textDirection w:val="lrTb"/>
            <w:vAlign w:val="top"/>
          </w:tcPr>
          <w:p w:rsidR="00D14925" w:rsidRPr="00177957" w:rsidP="00182CC2">
            <w:pPr>
              <w:bidi w:val="0"/>
              <w:spacing w:after="0" w:line="240" w:lineRule="auto"/>
              <w:jc w:val="center"/>
              <w:rPr>
                <w:rFonts w:ascii="Times New Roman" w:hAnsi="Times New Roman"/>
                <w:bCs/>
                <w:sz w:val="24"/>
                <w:szCs w:val="24"/>
                <w:lang w:eastAsia="sk-SK"/>
              </w:rPr>
            </w:pPr>
            <w:r>
              <w:rPr>
                <w:rFonts w:ascii="Times New Roman" w:hAnsi="Times New Roman"/>
                <w:bCs/>
                <w:sz w:val="24"/>
                <w:szCs w:val="24"/>
                <w:lang w:eastAsia="sk-SK"/>
              </w:rPr>
              <w:t>0</w:t>
            </w:r>
          </w:p>
        </w:tc>
        <w:tc>
          <w:tcPr>
            <w:tcW w:w="1620" w:type="dxa"/>
            <w:gridSpan w:val="2"/>
            <w:tcBorders>
              <w:top w:val="nil"/>
              <w:left w:val="nil"/>
              <w:bottom w:val="single" w:sz="4" w:space="0" w:color="auto"/>
              <w:right w:val="single" w:sz="4" w:space="0" w:color="auto"/>
            </w:tcBorders>
            <w:noWrap/>
            <w:textDirection w:val="lrTb"/>
            <w:vAlign w:val="bottom"/>
          </w:tcPr>
          <w:p w:rsidR="00D14925" w:rsidRPr="007D5748" w:rsidP="00182CC2">
            <w:pPr>
              <w:bidi w:val="0"/>
              <w:spacing w:after="0" w:line="240" w:lineRule="auto"/>
              <w:rPr>
                <w:rFonts w:ascii="Times New Roman" w:hAnsi="Times New Roman"/>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D14925" w:rsidRPr="007D5748" w:rsidP="00182CC2">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top"/>
          </w:tcPr>
          <w:p w:rsidR="00D14925" w:rsidRPr="00177957" w:rsidP="00182CC2">
            <w:pPr>
              <w:bidi w:val="0"/>
              <w:spacing w:after="0" w:line="240" w:lineRule="auto"/>
              <w:jc w:val="center"/>
              <w:rPr>
                <w:rFonts w:ascii="Times New Roman" w:hAnsi="Times New Roman"/>
                <w:bCs/>
                <w:sz w:val="24"/>
                <w:szCs w:val="24"/>
                <w:lang w:eastAsia="sk-SK"/>
              </w:rPr>
            </w:pPr>
            <w:r w:rsidRPr="00177957">
              <w:rPr>
                <w:rFonts w:ascii="Times New Roman" w:hAnsi="Times New Roman"/>
                <w:bCs/>
                <w:sz w:val="24"/>
                <w:szCs w:val="24"/>
                <w:lang w:eastAsia="sk-SK"/>
              </w:rPr>
              <w:t>0</w:t>
            </w:r>
          </w:p>
        </w:tc>
        <w:tc>
          <w:tcPr>
            <w:tcW w:w="1788" w:type="dxa"/>
            <w:tcBorders>
              <w:top w:val="single" w:sz="4" w:space="0" w:color="auto"/>
              <w:left w:val="nil"/>
              <w:bottom w:val="single" w:sz="4" w:space="0" w:color="auto"/>
              <w:right w:val="single" w:sz="4" w:space="0" w:color="auto"/>
            </w:tcBorders>
            <w:textDirection w:val="lrTb"/>
            <w:vAlign w:val="top"/>
          </w:tcPr>
          <w:p w:rsidR="00D14925" w:rsidRPr="00177957" w:rsidP="00182CC2">
            <w:pPr>
              <w:bidi w:val="0"/>
              <w:spacing w:after="0" w:line="240" w:lineRule="auto"/>
              <w:jc w:val="center"/>
              <w:rPr>
                <w:rFonts w:ascii="Times New Roman" w:hAnsi="Times New Roman"/>
                <w:bCs/>
                <w:sz w:val="24"/>
                <w:szCs w:val="24"/>
                <w:lang w:eastAsia="sk-SK"/>
              </w:rPr>
            </w:pPr>
            <w:r>
              <w:rPr>
                <w:rFonts w:ascii="Times New Roman" w:hAnsi="Times New Roman"/>
                <w:bCs/>
                <w:sz w:val="24"/>
                <w:szCs w:val="24"/>
                <w:lang w:eastAsia="sk-SK"/>
              </w:rPr>
              <w:t>0</w:t>
            </w:r>
          </w:p>
        </w:tc>
        <w:tc>
          <w:tcPr>
            <w:tcW w:w="2418" w:type="dxa"/>
            <w:gridSpan w:val="2"/>
            <w:tcBorders>
              <w:top w:val="single" w:sz="4" w:space="0" w:color="auto"/>
              <w:left w:val="nil"/>
              <w:bottom w:val="single" w:sz="4" w:space="0" w:color="auto"/>
              <w:right w:val="single" w:sz="4" w:space="0" w:color="auto"/>
            </w:tcBorders>
            <w:textDirection w:val="lrTb"/>
            <w:vAlign w:val="top"/>
          </w:tcPr>
          <w:p w:rsidR="00D14925" w:rsidRPr="00177957" w:rsidP="00182CC2">
            <w:pPr>
              <w:bidi w:val="0"/>
              <w:spacing w:after="0" w:line="240" w:lineRule="auto"/>
              <w:jc w:val="center"/>
              <w:rPr>
                <w:rFonts w:ascii="Times New Roman" w:hAnsi="Times New Roman"/>
                <w:bCs/>
                <w:sz w:val="24"/>
                <w:szCs w:val="24"/>
                <w:lang w:eastAsia="sk-SK"/>
              </w:rPr>
            </w:pPr>
            <w:r>
              <w:rPr>
                <w:rFonts w:ascii="Times New Roman" w:hAnsi="Times New Roman"/>
                <w:bCs/>
                <w:sz w:val="24"/>
                <w:szCs w:val="24"/>
                <w:lang w:eastAsia="sk-SK"/>
              </w:rPr>
              <w:t>0</w:t>
            </w:r>
          </w:p>
        </w:tc>
        <w:tc>
          <w:tcPr>
            <w:tcW w:w="1722" w:type="dxa"/>
            <w:tcBorders>
              <w:top w:val="single" w:sz="4" w:space="0" w:color="auto"/>
              <w:left w:val="nil"/>
              <w:bottom w:val="single" w:sz="4" w:space="0" w:color="auto"/>
              <w:right w:val="single" w:sz="4" w:space="0" w:color="auto"/>
            </w:tcBorders>
            <w:textDirection w:val="lrTb"/>
            <w:vAlign w:val="top"/>
          </w:tcPr>
          <w:p w:rsidR="00D14925" w:rsidRPr="00177957" w:rsidP="00182CC2">
            <w:pPr>
              <w:bidi w:val="0"/>
              <w:spacing w:after="0" w:line="240" w:lineRule="auto"/>
              <w:jc w:val="center"/>
              <w:rPr>
                <w:rFonts w:ascii="Times New Roman" w:hAnsi="Times New Roman"/>
                <w:bCs/>
                <w:sz w:val="24"/>
                <w:szCs w:val="24"/>
                <w:lang w:eastAsia="sk-SK"/>
              </w:rPr>
            </w:pPr>
            <w:r>
              <w:rPr>
                <w:rFonts w:ascii="Times New Roman" w:hAnsi="Times New Roman"/>
                <w:bCs/>
                <w:sz w:val="24"/>
                <w:szCs w:val="24"/>
                <w:lang w:eastAsia="sk-SK"/>
              </w:rPr>
              <w:t>0</w:t>
            </w:r>
          </w:p>
        </w:tc>
        <w:tc>
          <w:tcPr>
            <w:tcW w:w="1620" w:type="dxa"/>
            <w:gridSpan w:val="2"/>
            <w:tcBorders>
              <w:top w:val="nil"/>
              <w:left w:val="nil"/>
              <w:bottom w:val="single" w:sz="4" w:space="0" w:color="auto"/>
              <w:right w:val="single" w:sz="4" w:space="0" w:color="auto"/>
            </w:tcBorders>
            <w:noWrap/>
            <w:textDirection w:val="lrTb"/>
            <w:vAlign w:val="bottom"/>
          </w:tcPr>
          <w:p w:rsidR="00D14925" w:rsidRPr="007D5748" w:rsidP="00182CC2">
            <w:pPr>
              <w:bidi w:val="0"/>
              <w:spacing w:after="0" w:line="240" w:lineRule="auto"/>
              <w:rPr>
                <w:rFonts w:ascii="Times New Roman" w:hAnsi="Times New Roman"/>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D14925" w:rsidRPr="007D5748" w:rsidP="00182CC2">
            <w:pPr>
              <w:bidi w:val="0"/>
              <w:spacing w:after="0" w:line="240" w:lineRule="auto"/>
              <w:rPr>
                <w:rFonts w:ascii="Times New Roman" w:hAnsi="Times New Roman"/>
                <w:sz w:val="24"/>
                <w:szCs w:val="24"/>
                <w:lang w:eastAsia="sk-SK"/>
              </w:rPr>
            </w:pPr>
            <w:r>
              <w:rPr>
                <w:rFonts w:ascii="Times New Roman" w:hAnsi="Times New Roman"/>
                <w:b/>
                <w:bCs/>
                <w:sz w:val="24"/>
                <w:szCs w:val="24"/>
                <w:lang w:eastAsia="sk-SK"/>
              </w:rPr>
              <w:t xml:space="preserve">   z toho </w:t>
            </w:r>
            <w:r w:rsidRPr="007D5748">
              <w:rPr>
                <w:rFonts w:ascii="Times New Roman" w:hAnsi="Times New Roman"/>
                <w:b/>
                <w:bCs/>
                <w:sz w:val="24"/>
                <w:szCs w:val="24"/>
                <w:lang w:eastAsia="sk-SK"/>
              </w:rPr>
              <w:t>vplyv na ŠR</w:t>
            </w:r>
          </w:p>
        </w:tc>
        <w:tc>
          <w:tcPr>
            <w:tcW w:w="1698" w:type="dxa"/>
            <w:tcBorders>
              <w:top w:val="single" w:sz="4" w:space="0" w:color="auto"/>
              <w:left w:val="nil"/>
              <w:bottom w:val="single" w:sz="4" w:space="0" w:color="auto"/>
              <w:right w:val="single" w:sz="4" w:space="0" w:color="auto"/>
            </w:tcBorders>
            <w:textDirection w:val="lrTb"/>
            <w:vAlign w:val="top"/>
          </w:tcPr>
          <w:p w:rsidR="00D14925" w:rsidRPr="00177957" w:rsidP="00182CC2">
            <w:pPr>
              <w:bidi w:val="0"/>
              <w:spacing w:after="0" w:line="240" w:lineRule="auto"/>
              <w:jc w:val="center"/>
              <w:rPr>
                <w:rFonts w:ascii="Times New Roman" w:hAnsi="Times New Roman"/>
                <w:bCs/>
                <w:sz w:val="24"/>
                <w:szCs w:val="24"/>
                <w:lang w:eastAsia="sk-SK"/>
              </w:rPr>
            </w:pPr>
            <w:r w:rsidRPr="00177957">
              <w:rPr>
                <w:rFonts w:ascii="Times New Roman" w:hAnsi="Times New Roman"/>
                <w:bCs/>
                <w:sz w:val="24"/>
                <w:szCs w:val="24"/>
                <w:lang w:eastAsia="sk-SK"/>
              </w:rPr>
              <w:t>0</w:t>
            </w:r>
          </w:p>
        </w:tc>
        <w:tc>
          <w:tcPr>
            <w:tcW w:w="1788" w:type="dxa"/>
            <w:tcBorders>
              <w:top w:val="single" w:sz="4" w:space="0" w:color="auto"/>
              <w:left w:val="nil"/>
              <w:bottom w:val="single" w:sz="4" w:space="0" w:color="auto"/>
              <w:right w:val="single" w:sz="4" w:space="0" w:color="auto"/>
            </w:tcBorders>
            <w:textDirection w:val="lrTb"/>
            <w:vAlign w:val="top"/>
          </w:tcPr>
          <w:p w:rsidR="00D14925" w:rsidRPr="00177957" w:rsidP="00182CC2">
            <w:pPr>
              <w:bidi w:val="0"/>
              <w:spacing w:after="0" w:line="240" w:lineRule="auto"/>
              <w:jc w:val="center"/>
              <w:rPr>
                <w:rFonts w:ascii="Times New Roman" w:hAnsi="Times New Roman"/>
                <w:bCs/>
                <w:sz w:val="24"/>
                <w:szCs w:val="24"/>
                <w:lang w:eastAsia="sk-SK"/>
              </w:rPr>
            </w:pPr>
            <w:r>
              <w:rPr>
                <w:rFonts w:ascii="Times New Roman" w:hAnsi="Times New Roman"/>
                <w:bCs/>
                <w:sz w:val="24"/>
                <w:szCs w:val="24"/>
                <w:lang w:eastAsia="sk-SK"/>
              </w:rPr>
              <w:t>0</w:t>
            </w:r>
          </w:p>
        </w:tc>
        <w:tc>
          <w:tcPr>
            <w:tcW w:w="2418" w:type="dxa"/>
            <w:gridSpan w:val="2"/>
            <w:tcBorders>
              <w:top w:val="single" w:sz="4" w:space="0" w:color="auto"/>
              <w:left w:val="nil"/>
              <w:bottom w:val="single" w:sz="4" w:space="0" w:color="auto"/>
              <w:right w:val="single" w:sz="4" w:space="0" w:color="auto"/>
            </w:tcBorders>
            <w:textDirection w:val="lrTb"/>
            <w:vAlign w:val="top"/>
          </w:tcPr>
          <w:p w:rsidR="00D14925" w:rsidRPr="00177957" w:rsidP="00182CC2">
            <w:pPr>
              <w:bidi w:val="0"/>
              <w:spacing w:after="0" w:line="240" w:lineRule="auto"/>
              <w:jc w:val="center"/>
              <w:rPr>
                <w:rFonts w:ascii="Times New Roman" w:hAnsi="Times New Roman"/>
                <w:bCs/>
                <w:sz w:val="24"/>
                <w:szCs w:val="24"/>
                <w:lang w:eastAsia="sk-SK"/>
              </w:rPr>
            </w:pPr>
            <w:r>
              <w:rPr>
                <w:rFonts w:ascii="Times New Roman" w:hAnsi="Times New Roman"/>
                <w:bCs/>
                <w:sz w:val="24"/>
                <w:szCs w:val="24"/>
                <w:lang w:eastAsia="sk-SK"/>
              </w:rPr>
              <w:t>0</w:t>
            </w:r>
          </w:p>
        </w:tc>
        <w:tc>
          <w:tcPr>
            <w:tcW w:w="1722" w:type="dxa"/>
            <w:tcBorders>
              <w:top w:val="single" w:sz="4" w:space="0" w:color="auto"/>
              <w:left w:val="nil"/>
              <w:bottom w:val="single" w:sz="4" w:space="0" w:color="auto"/>
              <w:right w:val="single" w:sz="4" w:space="0" w:color="auto"/>
            </w:tcBorders>
            <w:textDirection w:val="lrTb"/>
            <w:vAlign w:val="top"/>
          </w:tcPr>
          <w:p w:rsidR="00D14925" w:rsidRPr="00177957" w:rsidP="00182CC2">
            <w:pPr>
              <w:bidi w:val="0"/>
              <w:spacing w:after="0" w:line="240" w:lineRule="auto"/>
              <w:jc w:val="center"/>
              <w:rPr>
                <w:rFonts w:ascii="Times New Roman" w:hAnsi="Times New Roman"/>
                <w:bCs/>
                <w:sz w:val="24"/>
                <w:szCs w:val="24"/>
                <w:lang w:eastAsia="sk-SK"/>
              </w:rPr>
            </w:pPr>
            <w:r>
              <w:rPr>
                <w:rFonts w:ascii="Times New Roman" w:hAnsi="Times New Roman"/>
                <w:bCs/>
                <w:sz w:val="24"/>
                <w:szCs w:val="24"/>
                <w:lang w:eastAsia="sk-SK"/>
              </w:rPr>
              <w:t>0</w:t>
            </w:r>
          </w:p>
        </w:tc>
        <w:tc>
          <w:tcPr>
            <w:tcW w:w="1620" w:type="dxa"/>
            <w:gridSpan w:val="2"/>
            <w:tcBorders>
              <w:top w:val="nil"/>
              <w:left w:val="nil"/>
              <w:bottom w:val="single" w:sz="4" w:space="0" w:color="auto"/>
              <w:right w:val="single" w:sz="4" w:space="0" w:color="auto"/>
            </w:tcBorders>
            <w:noWrap/>
            <w:textDirection w:val="lrTb"/>
            <w:vAlign w:val="bottom"/>
          </w:tcPr>
          <w:p w:rsidR="00D14925" w:rsidRPr="007D5748" w:rsidP="00182CC2">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shd w:val="clear" w:color="auto" w:fill="BFBFBF"/>
            <w:textDirection w:val="lrTb"/>
            <w:vAlign w:val="top"/>
          </w:tcPr>
          <w:p w:rsidR="00D14925" w:rsidRPr="007D5748" w:rsidP="00182CC2">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extDirection w:val="lrTb"/>
            <w:vAlign w:val="top"/>
          </w:tcPr>
          <w:p w:rsidR="00D14925" w:rsidRPr="007D5748" w:rsidP="00182CC2">
            <w:pPr>
              <w:bidi w:val="0"/>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extDirection w:val="lrTb"/>
            <w:vAlign w:val="top"/>
          </w:tcPr>
          <w:p w:rsidR="00D14925" w:rsidRPr="006B71C4" w:rsidP="00182CC2">
            <w:pPr>
              <w:bidi w:val="0"/>
              <w:spacing w:after="0" w:line="240" w:lineRule="auto"/>
              <w:jc w:val="center"/>
              <w:rPr>
                <w:rFonts w:ascii="Times New Roman" w:hAnsi="Times New Roman"/>
                <w:b/>
                <w:bCs/>
                <w:sz w:val="24"/>
                <w:szCs w:val="24"/>
                <w:lang w:eastAsia="sk-SK"/>
              </w:rPr>
            </w:pPr>
            <w:r w:rsidRPr="006B71C4">
              <w:rPr>
                <w:rFonts w:ascii="Times New Roman" w:hAnsi="Times New Roman"/>
                <w:b/>
                <w:bCs/>
                <w:sz w:val="24"/>
                <w:szCs w:val="24"/>
                <w:lang w:eastAsia="sk-SK"/>
              </w:rPr>
              <w:t>0</w:t>
            </w:r>
          </w:p>
        </w:tc>
        <w:tc>
          <w:tcPr>
            <w:tcW w:w="2418" w:type="dxa"/>
            <w:gridSpan w:val="2"/>
            <w:tcBorders>
              <w:top w:val="nil"/>
              <w:left w:val="nil"/>
              <w:bottom w:val="single" w:sz="4" w:space="0" w:color="auto"/>
              <w:right w:val="single" w:sz="4" w:space="0" w:color="auto"/>
            </w:tcBorders>
            <w:shd w:val="clear" w:color="auto" w:fill="BFBFBF"/>
            <w:textDirection w:val="lrTb"/>
            <w:vAlign w:val="top"/>
          </w:tcPr>
          <w:p w:rsidR="00D14925" w:rsidRPr="006B71C4" w:rsidP="00182CC2">
            <w:pPr>
              <w:bidi w:val="0"/>
              <w:spacing w:after="0" w:line="240" w:lineRule="auto"/>
              <w:jc w:val="center"/>
              <w:rPr>
                <w:rFonts w:ascii="Times New Roman" w:hAnsi="Times New Roman"/>
                <w:b/>
                <w:bCs/>
                <w:sz w:val="24"/>
                <w:szCs w:val="24"/>
                <w:lang w:eastAsia="sk-SK"/>
              </w:rPr>
            </w:pPr>
            <w:r w:rsidRPr="006B71C4">
              <w:rPr>
                <w:rFonts w:ascii="Times New Roman" w:hAnsi="Times New Roman"/>
                <w:b/>
                <w:bCs/>
                <w:sz w:val="24"/>
                <w:szCs w:val="24"/>
                <w:lang w:eastAsia="sk-SK"/>
              </w:rPr>
              <w:t>0</w:t>
            </w:r>
          </w:p>
        </w:tc>
        <w:tc>
          <w:tcPr>
            <w:tcW w:w="1722" w:type="dxa"/>
            <w:tcBorders>
              <w:top w:val="nil"/>
              <w:left w:val="nil"/>
              <w:bottom w:val="single" w:sz="4" w:space="0" w:color="auto"/>
              <w:right w:val="single" w:sz="4" w:space="0" w:color="auto"/>
            </w:tcBorders>
            <w:shd w:val="clear" w:color="auto" w:fill="BFBFBF"/>
            <w:textDirection w:val="lrTb"/>
            <w:vAlign w:val="top"/>
          </w:tcPr>
          <w:p w:rsidR="00D14925" w:rsidRPr="006B71C4" w:rsidP="00182CC2">
            <w:pPr>
              <w:bidi w:val="0"/>
              <w:spacing w:after="0" w:line="240" w:lineRule="auto"/>
              <w:jc w:val="center"/>
              <w:rPr>
                <w:rFonts w:ascii="Times New Roman" w:hAnsi="Times New Roman"/>
                <w:b/>
                <w:bCs/>
                <w:sz w:val="24"/>
                <w:szCs w:val="24"/>
                <w:lang w:eastAsia="sk-SK"/>
              </w:rPr>
            </w:pPr>
            <w:r w:rsidRPr="006B71C4">
              <w:rPr>
                <w:rFonts w:ascii="Times New Roman" w:hAnsi="Times New Roman"/>
                <w:b/>
                <w:bCs/>
                <w:sz w:val="24"/>
                <w:szCs w:val="24"/>
                <w:lang w:eastAsia="sk-SK"/>
              </w:rPr>
              <w:t>0</w:t>
            </w:r>
          </w:p>
        </w:tc>
        <w:tc>
          <w:tcPr>
            <w:tcW w:w="1620" w:type="dxa"/>
            <w:gridSpan w:val="2"/>
            <w:tcBorders>
              <w:top w:val="nil"/>
              <w:left w:val="nil"/>
              <w:bottom w:val="single" w:sz="4" w:space="0" w:color="auto"/>
              <w:right w:val="single" w:sz="4" w:space="0" w:color="auto"/>
            </w:tcBorders>
            <w:shd w:val="clear" w:color="auto" w:fill="BFBFBF"/>
            <w:noWrap/>
            <w:textDirection w:val="lrTb"/>
            <w:vAlign w:val="bottom"/>
          </w:tcPr>
          <w:p w:rsidR="00D14925" w:rsidRPr="007D5748" w:rsidP="00182CC2">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D14925" w:rsidRPr="007D5748" w:rsidP="00182CC2">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extDirection w:val="lrTb"/>
            <w:vAlign w:val="top"/>
          </w:tcPr>
          <w:p w:rsidR="00D14925" w:rsidRPr="00177957" w:rsidP="00182CC2">
            <w:pPr>
              <w:bidi w:val="0"/>
              <w:spacing w:after="0" w:line="240" w:lineRule="auto"/>
              <w:jc w:val="center"/>
              <w:rPr>
                <w:rFonts w:ascii="Times New Roman" w:hAnsi="Times New Roman"/>
                <w:bCs/>
                <w:sz w:val="24"/>
                <w:szCs w:val="24"/>
                <w:lang w:eastAsia="sk-SK"/>
              </w:rPr>
            </w:pPr>
            <w:r w:rsidRPr="00177957">
              <w:rPr>
                <w:rFonts w:ascii="Times New Roman" w:hAnsi="Times New Roman"/>
                <w:bCs/>
                <w:sz w:val="24"/>
                <w:szCs w:val="24"/>
                <w:lang w:eastAsia="sk-SK"/>
              </w:rPr>
              <w:t>0</w:t>
            </w:r>
          </w:p>
        </w:tc>
        <w:tc>
          <w:tcPr>
            <w:tcW w:w="1788" w:type="dxa"/>
            <w:tcBorders>
              <w:top w:val="nil"/>
              <w:left w:val="nil"/>
              <w:bottom w:val="single" w:sz="4" w:space="0" w:color="auto"/>
              <w:right w:val="single" w:sz="4" w:space="0" w:color="auto"/>
            </w:tcBorders>
            <w:textDirection w:val="lrTb"/>
            <w:vAlign w:val="top"/>
          </w:tcPr>
          <w:p w:rsidR="00D14925" w:rsidRPr="006B71C4" w:rsidP="00182CC2">
            <w:pPr>
              <w:bidi w:val="0"/>
              <w:spacing w:after="0" w:line="240" w:lineRule="auto"/>
              <w:jc w:val="center"/>
              <w:rPr>
                <w:rFonts w:ascii="Times New Roman" w:hAnsi="Times New Roman"/>
                <w:bCs/>
                <w:sz w:val="24"/>
                <w:szCs w:val="24"/>
                <w:lang w:eastAsia="sk-SK"/>
              </w:rPr>
            </w:pPr>
            <w:r w:rsidRPr="006B71C4">
              <w:rPr>
                <w:rFonts w:ascii="Times New Roman" w:hAnsi="Times New Roman"/>
                <w:bCs/>
                <w:sz w:val="24"/>
                <w:szCs w:val="24"/>
                <w:lang w:eastAsia="sk-SK"/>
              </w:rPr>
              <w:t>0</w:t>
            </w:r>
          </w:p>
        </w:tc>
        <w:tc>
          <w:tcPr>
            <w:tcW w:w="2418" w:type="dxa"/>
            <w:gridSpan w:val="2"/>
            <w:tcBorders>
              <w:top w:val="nil"/>
              <w:left w:val="nil"/>
              <w:bottom w:val="single" w:sz="4" w:space="0" w:color="auto"/>
              <w:right w:val="single" w:sz="4" w:space="0" w:color="auto"/>
            </w:tcBorders>
            <w:textDirection w:val="lrTb"/>
            <w:vAlign w:val="top"/>
          </w:tcPr>
          <w:p w:rsidR="00D14925" w:rsidRPr="006B71C4" w:rsidP="00182CC2">
            <w:pPr>
              <w:bidi w:val="0"/>
              <w:spacing w:after="0" w:line="240" w:lineRule="auto"/>
              <w:jc w:val="center"/>
              <w:rPr>
                <w:rFonts w:ascii="Times New Roman" w:hAnsi="Times New Roman"/>
                <w:bCs/>
                <w:sz w:val="24"/>
                <w:szCs w:val="24"/>
                <w:lang w:eastAsia="sk-SK"/>
              </w:rPr>
            </w:pPr>
            <w:r w:rsidRPr="006B71C4">
              <w:rPr>
                <w:rFonts w:ascii="Times New Roman" w:hAnsi="Times New Roman"/>
                <w:bCs/>
                <w:sz w:val="24"/>
                <w:szCs w:val="24"/>
                <w:lang w:eastAsia="sk-SK"/>
              </w:rPr>
              <w:t>0</w:t>
            </w:r>
          </w:p>
        </w:tc>
        <w:tc>
          <w:tcPr>
            <w:tcW w:w="1722" w:type="dxa"/>
            <w:tcBorders>
              <w:top w:val="nil"/>
              <w:left w:val="nil"/>
              <w:bottom w:val="single" w:sz="4" w:space="0" w:color="auto"/>
              <w:right w:val="single" w:sz="4" w:space="0" w:color="auto"/>
            </w:tcBorders>
            <w:textDirection w:val="lrTb"/>
            <w:vAlign w:val="top"/>
          </w:tcPr>
          <w:p w:rsidR="00D14925" w:rsidRPr="006B71C4" w:rsidP="00182CC2">
            <w:pPr>
              <w:bidi w:val="0"/>
              <w:spacing w:after="0" w:line="240" w:lineRule="auto"/>
              <w:jc w:val="center"/>
              <w:rPr>
                <w:rFonts w:ascii="Times New Roman" w:hAnsi="Times New Roman"/>
                <w:bCs/>
                <w:sz w:val="24"/>
                <w:szCs w:val="24"/>
                <w:lang w:eastAsia="sk-SK"/>
              </w:rPr>
            </w:pPr>
            <w:r w:rsidRPr="006B71C4">
              <w:rPr>
                <w:rFonts w:ascii="Times New Roman" w:hAnsi="Times New Roman"/>
                <w:bCs/>
                <w:sz w:val="24"/>
                <w:szCs w:val="24"/>
                <w:lang w:eastAsia="sk-SK"/>
              </w:rPr>
              <w:t>0</w:t>
            </w:r>
          </w:p>
        </w:tc>
        <w:tc>
          <w:tcPr>
            <w:tcW w:w="1620" w:type="dxa"/>
            <w:gridSpan w:val="2"/>
            <w:tcBorders>
              <w:top w:val="nil"/>
              <w:left w:val="nil"/>
              <w:bottom w:val="single" w:sz="4" w:space="0" w:color="auto"/>
              <w:right w:val="single" w:sz="4" w:space="0" w:color="auto"/>
            </w:tcBorders>
            <w:noWrap/>
            <w:textDirection w:val="lrTb"/>
            <w:vAlign w:val="bottom"/>
          </w:tcPr>
          <w:p w:rsidR="00D14925" w:rsidRPr="007D5748" w:rsidP="00182CC2">
            <w:pPr>
              <w:bidi w:val="0"/>
              <w:spacing w:after="0" w:line="240" w:lineRule="auto"/>
              <w:rPr>
                <w:rFonts w:ascii="Times New Roman" w:hAnsi="Times New Roman"/>
                <w:b/>
                <w:bCs/>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D14925" w:rsidRPr="007D5748" w:rsidP="00182CC2">
            <w:pPr>
              <w:bidi w:val="0"/>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D14925" w:rsidRPr="00177957" w:rsidP="00182CC2">
            <w:pPr>
              <w:bidi w:val="0"/>
              <w:spacing w:after="0" w:line="240" w:lineRule="auto"/>
              <w:jc w:val="center"/>
              <w:rPr>
                <w:rFonts w:ascii="Times New Roman" w:hAnsi="Times New Roman"/>
                <w:sz w:val="24"/>
                <w:szCs w:val="24"/>
                <w:lang w:eastAsia="sk-SK"/>
              </w:rPr>
            </w:pPr>
            <w:r w:rsidRPr="00177957">
              <w:rPr>
                <w:rFonts w:ascii="Times New Roman" w:hAnsi="Times New Roman"/>
                <w:sz w:val="24"/>
                <w:szCs w:val="24"/>
                <w:lang w:eastAsia="sk-SK"/>
              </w:rPr>
              <w:t>0</w:t>
            </w:r>
          </w:p>
        </w:tc>
        <w:tc>
          <w:tcPr>
            <w:tcW w:w="1788" w:type="dxa"/>
            <w:tcBorders>
              <w:top w:val="nil"/>
              <w:left w:val="nil"/>
              <w:bottom w:val="single" w:sz="4" w:space="0" w:color="auto"/>
              <w:right w:val="single" w:sz="4" w:space="0" w:color="auto"/>
            </w:tcBorders>
            <w:textDirection w:val="lrTb"/>
            <w:vAlign w:val="top"/>
          </w:tcPr>
          <w:p w:rsidR="00D14925" w:rsidRPr="00177957" w:rsidP="00182CC2">
            <w:pPr>
              <w:bidi w:val="0"/>
              <w:spacing w:after="0" w:line="240" w:lineRule="auto"/>
              <w:jc w:val="center"/>
              <w:rPr>
                <w:rFonts w:ascii="Times New Roman" w:hAnsi="Times New Roman"/>
                <w:bCs/>
                <w:sz w:val="24"/>
                <w:szCs w:val="24"/>
                <w:lang w:eastAsia="sk-SK"/>
              </w:rPr>
            </w:pPr>
            <w:r>
              <w:rPr>
                <w:rFonts w:ascii="Times New Roman" w:hAnsi="Times New Roman"/>
                <w:bCs/>
                <w:sz w:val="24"/>
                <w:szCs w:val="24"/>
                <w:lang w:eastAsia="sk-SK"/>
              </w:rPr>
              <w:t>0</w:t>
            </w:r>
          </w:p>
        </w:tc>
        <w:tc>
          <w:tcPr>
            <w:tcW w:w="2418" w:type="dxa"/>
            <w:gridSpan w:val="2"/>
            <w:tcBorders>
              <w:top w:val="nil"/>
              <w:left w:val="nil"/>
              <w:bottom w:val="single" w:sz="4" w:space="0" w:color="auto"/>
              <w:right w:val="single" w:sz="4" w:space="0" w:color="auto"/>
            </w:tcBorders>
            <w:textDirection w:val="lrTb"/>
            <w:vAlign w:val="top"/>
          </w:tcPr>
          <w:p w:rsidR="00D14925" w:rsidRPr="00177957" w:rsidP="00182CC2">
            <w:pPr>
              <w:bidi w:val="0"/>
              <w:spacing w:after="0" w:line="240" w:lineRule="auto"/>
              <w:jc w:val="center"/>
              <w:rPr>
                <w:rFonts w:ascii="Times New Roman" w:hAnsi="Times New Roman"/>
                <w:bCs/>
                <w:sz w:val="24"/>
                <w:szCs w:val="24"/>
                <w:lang w:eastAsia="sk-SK"/>
              </w:rPr>
            </w:pPr>
            <w:r>
              <w:rPr>
                <w:rFonts w:ascii="Times New Roman" w:hAnsi="Times New Roman"/>
                <w:bCs/>
                <w:sz w:val="24"/>
                <w:szCs w:val="24"/>
                <w:lang w:eastAsia="sk-SK"/>
              </w:rPr>
              <w:t>0</w:t>
            </w:r>
          </w:p>
        </w:tc>
        <w:tc>
          <w:tcPr>
            <w:tcW w:w="1722" w:type="dxa"/>
            <w:tcBorders>
              <w:top w:val="nil"/>
              <w:left w:val="nil"/>
              <w:bottom w:val="single" w:sz="4" w:space="0" w:color="auto"/>
              <w:right w:val="single" w:sz="4" w:space="0" w:color="auto"/>
            </w:tcBorders>
            <w:textDirection w:val="lrTb"/>
            <w:vAlign w:val="top"/>
          </w:tcPr>
          <w:p w:rsidR="00D14925" w:rsidRPr="00177957" w:rsidP="00182CC2">
            <w:pPr>
              <w:bidi w:val="0"/>
              <w:spacing w:after="0" w:line="240" w:lineRule="auto"/>
              <w:jc w:val="center"/>
              <w:rPr>
                <w:rFonts w:ascii="Times New Roman" w:hAnsi="Times New Roman"/>
                <w:bCs/>
                <w:sz w:val="24"/>
                <w:szCs w:val="24"/>
                <w:lang w:eastAsia="sk-SK"/>
              </w:rPr>
            </w:pPr>
            <w:r>
              <w:rPr>
                <w:rFonts w:ascii="Times New Roman" w:hAnsi="Times New Roman"/>
                <w:bCs/>
                <w:sz w:val="24"/>
                <w:szCs w:val="24"/>
                <w:lang w:eastAsia="sk-SK"/>
              </w:rPr>
              <w:t>0</w:t>
            </w:r>
          </w:p>
        </w:tc>
        <w:tc>
          <w:tcPr>
            <w:tcW w:w="1620" w:type="dxa"/>
            <w:gridSpan w:val="2"/>
            <w:tcBorders>
              <w:top w:val="nil"/>
              <w:left w:val="nil"/>
              <w:bottom w:val="single" w:sz="4" w:space="0" w:color="auto"/>
              <w:right w:val="single" w:sz="4" w:space="0" w:color="auto"/>
            </w:tcBorders>
            <w:noWrap/>
            <w:textDirection w:val="lrTb"/>
            <w:vAlign w:val="bottom"/>
          </w:tcPr>
          <w:p w:rsidR="00D14925" w:rsidRPr="007D5748" w:rsidP="00182CC2">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D14925" w:rsidRPr="007D5748" w:rsidP="00182CC2">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extDirection w:val="lrTb"/>
            <w:vAlign w:val="top"/>
          </w:tcPr>
          <w:p w:rsidR="00D14925" w:rsidRPr="00177957" w:rsidP="00182CC2">
            <w:pPr>
              <w:bidi w:val="0"/>
              <w:spacing w:after="0" w:line="240" w:lineRule="auto"/>
              <w:jc w:val="center"/>
              <w:rPr>
                <w:rFonts w:ascii="Times New Roman" w:hAnsi="Times New Roman"/>
                <w:bCs/>
                <w:sz w:val="24"/>
                <w:szCs w:val="24"/>
                <w:lang w:eastAsia="sk-SK"/>
              </w:rPr>
            </w:pPr>
            <w:r w:rsidRPr="00177957">
              <w:rPr>
                <w:rFonts w:ascii="Times New Roman" w:hAnsi="Times New Roman"/>
                <w:bCs/>
                <w:sz w:val="24"/>
                <w:szCs w:val="24"/>
                <w:lang w:eastAsia="sk-SK"/>
              </w:rPr>
              <w:t>0</w:t>
            </w:r>
          </w:p>
        </w:tc>
        <w:tc>
          <w:tcPr>
            <w:tcW w:w="1788" w:type="dxa"/>
            <w:tcBorders>
              <w:top w:val="nil"/>
              <w:left w:val="nil"/>
              <w:bottom w:val="single" w:sz="4" w:space="0" w:color="auto"/>
              <w:right w:val="single" w:sz="4" w:space="0" w:color="auto"/>
            </w:tcBorders>
            <w:textDirection w:val="lrTb"/>
            <w:vAlign w:val="top"/>
          </w:tcPr>
          <w:p w:rsidR="00D14925" w:rsidRPr="00177957" w:rsidP="00182CC2">
            <w:pPr>
              <w:bidi w:val="0"/>
              <w:spacing w:after="0" w:line="240" w:lineRule="auto"/>
              <w:jc w:val="center"/>
              <w:rPr>
                <w:rFonts w:ascii="Times New Roman" w:hAnsi="Times New Roman"/>
                <w:bCs/>
                <w:sz w:val="24"/>
                <w:szCs w:val="24"/>
                <w:lang w:eastAsia="sk-SK"/>
              </w:rPr>
            </w:pPr>
            <w:r>
              <w:rPr>
                <w:rFonts w:ascii="Times New Roman" w:hAnsi="Times New Roman"/>
                <w:bCs/>
                <w:sz w:val="24"/>
                <w:szCs w:val="24"/>
                <w:lang w:eastAsia="sk-SK"/>
              </w:rPr>
              <w:t>0</w:t>
            </w:r>
          </w:p>
        </w:tc>
        <w:tc>
          <w:tcPr>
            <w:tcW w:w="2418" w:type="dxa"/>
            <w:gridSpan w:val="2"/>
            <w:tcBorders>
              <w:top w:val="nil"/>
              <w:left w:val="nil"/>
              <w:bottom w:val="single" w:sz="4" w:space="0" w:color="auto"/>
              <w:right w:val="single" w:sz="4" w:space="0" w:color="auto"/>
            </w:tcBorders>
            <w:textDirection w:val="lrTb"/>
            <w:vAlign w:val="top"/>
          </w:tcPr>
          <w:p w:rsidR="00D14925" w:rsidRPr="00177957" w:rsidP="00182CC2">
            <w:pPr>
              <w:bidi w:val="0"/>
              <w:spacing w:after="0" w:line="240" w:lineRule="auto"/>
              <w:jc w:val="center"/>
              <w:rPr>
                <w:rFonts w:ascii="Times New Roman" w:hAnsi="Times New Roman"/>
                <w:bCs/>
                <w:sz w:val="24"/>
                <w:szCs w:val="24"/>
                <w:lang w:eastAsia="sk-SK"/>
              </w:rPr>
            </w:pPr>
            <w:r>
              <w:rPr>
                <w:rFonts w:ascii="Times New Roman" w:hAnsi="Times New Roman"/>
                <w:bCs/>
                <w:sz w:val="24"/>
                <w:szCs w:val="24"/>
                <w:lang w:eastAsia="sk-SK"/>
              </w:rPr>
              <w:t>0</w:t>
            </w:r>
          </w:p>
        </w:tc>
        <w:tc>
          <w:tcPr>
            <w:tcW w:w="1722" w:type="dxa"/>
            <w:tcBorders>
              <w:top w:val="nil"/>
              <w:left w:val="nil"/>
              <w:bottom w:val="single" w:sz="4" w:space="0" w:color="auto"/>
              <w:right w:val="single" w:sz="4" w:space="0" w:color="auto"/>
            </w:tcBorders>
            <w:textDirection w:val="lrTb"/>
            <w:vAlign w:val="top"/>
          </w:tcPr>
          <w:p w:rsidR="00D14925" w:rsidRPr="00177957" w:rsidP="00182CC2">
            <w:pPr>
              <w:bidi w:val="0"/>
              <w:spacing w:after="0" w:line="240" w:lineRule="auto"/>
              <w:jc w:val="center"/>
              <w:rPr>
                <w:rFonts w:ascii="Times New Roman" w:hAnsi="Times New Roman"/>
                <w:bCs/>
                <w:sz w:val="24"/>
                <w:szCs w:val="24"/>
                <w:lang w:eastAsia="sk-SK"/>
              </w:rPr>
            </w:pPr>
            <w:r>
              <w:rPr>
                <w:rFonts w:ascii="Times New Roman" w:hAnsi="Times New Roman"/>
                <w:bCs/>
                <w:sz w:val="24"/>
                <w:szCs w:val="24"/>
                <w:lang w:eastAsia="sk-SK"/>
              </w:rPr>
              <w:t>0</w:t>
            </w:r>
          </w:p>
        </w:tc>
        <w:tc>
          <w:tcPr>
            <w:tcW w:w="1620" w:type="dxa"/>
            <w:gridSpan w:val="2"/>
            <w:tcBorders>
              <w:top w:val="nil"/>
              <w:left w:val="nil"/>
              <w:bottom w:val="single" w:sz="4" w:space="0" w:color="auto"/>
              <w:right w:val="single" w:sz="4" w:space="0" w:color="auto"/>
            </w:tcBorders>
            <w:noWrap/>
            <w:textDirection w:val="lrTb"/>
            <w:vAlign w:val="bottom"/>
          </w:tcPr>
          <w:p w:rsidR="00D14925" w:rsidRPr="007D5748" w:rsidP="00182CC2">
            <w:pPr>
              <w:bidi w:val="0"/>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D14925" w:rsidRPr="007D5748" w:rsidP="00182CC2">
            <w:pPr>
              <w:bidi w:val="0"/>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D14925" w:rsidRPr="00177957" w:rsidP="00182CC2">
            <w:pPr>
              <w:bidi w:val="0"/>
              <w:spacing w:after="0" w:line="240" w:lineRule="auto"/>
              <w:jc w:val="center"/>
              <w:rPr>
                <w:rFonts w:ascii="Times New Roman" w:hAnsi="Times New Roman"/>
                <w:sz w:val="24"/>
                <w:szCs w:val="24"/>
                <w:lang w:eastAsia="sk-SK"/>
              </w:rPr>
            </w:pPr>
            <w:r w:rsidRPr="00177957">
              <w:rPr>
                <w:rFonts w:ascii="Times New Roman" w:hAnsi="Times New Roman"/>
                <w:sz w:val="24"/>
                <w:szCs w:val="24"/>
                <w:lang w:eastAsia="sk-SK"/>
              </w:rPr>
              <w:t>0</w:t>
            </w:r>
          </w:p>
        </w:tc>
        <w:tc>
          <w:tcPr>
            <w:tcW w:w="1788" w:type="dxa"/>
            <w:tcBorders>
              <w:top w:val="nil"/>
              <w:left w:val="nil"/>
              <w:bottom w:val="single" w:sz="4" w:space="0" w:color="auto"/>
              <w:right w:val="single" w:sz="4" w:space="0" w:color="auto"/>
            </w:tcBorders>
            <w:textDirection w:val="lrTb"/>
            <w:vAlign w:val="top"/>
          </w:tcPr>
          <w:p w:rsidR="00D14925" w:rsidRPr="00177957" w:rsidP="00182CC2">
            <w:pPr>
              <w:bidi w:val="0"/>
              <w:spacing w:after="0" w:line="240" w:lineRule="auto"/>
              <w:jc w:val="center"/>
              <w:rPr>
                <w:rFonts w:ascii="Times New Roman" w:hAnsi="Times New Roman"/>
                <w:bCs/>
                <w:sz w:val="24"/>
                <w:szCs w:val="24"/>
                <w:lang w:eastAsia="sk-SK"/>
              </w:rPr>
            </w:pPr>
            <w:r>
              <w:rPr>
                <w:rFonts w:ascii="Times New Roman" w:hAnsi="Times New Roman"/>
                <w:bCs/>
                <w:sz w:val="24"/>
                <w:szCs w:val="24"/>
                <w:lang w:eastAsia="sk-SK"/>
              </w:rPr>
              <w:t>0</w:t>
            </w:r>
          </w:p>
        </w:tc>
        <w:tc>
          <w:tcPr>
            <w:tcW w:w="2418" w:type="dxa"/>
            <w:gridSpan w:val="2"/>
            <w:tcBorders>
              <w:top w:val="nil"/>
              <w:left w:val="nil"/>
              <w:bottom w:val="single" w:sz="4" w:space="0" w:color="auto"/>
              <w:right w:val="single" w:sz="4" w:space="0" w:color="auto"/>
            </w:tcBorders>
            <w:textDirection w:val="lrTb"/>
            <w:vAlign w:val="top"/>
          </w:tcPr>
          <w:p w:rsidR="00D14925" w:rsidRPr="00177957" w:rsidP="00182CC2">
            <w:pPr>
              <w:bidi w:val="0"/>
              <w:spacing w:after="0" w:line="240" w:lineRule="auto"/>
              <w:jc w:val="center"/>
              <w:rPr>
                <w:rFonts w:ascii="Times New Roman" w:hAnsi="Times New Roman"/>
                <w:bCs/>
                <w:sz w:val="24"/>
                <w:szCs w:val="24"/>
                <w:lang w:eastAsia="sk-SK"/>
              </w:rPr>
            </w:pPr>
            <w:r>
              <w:rPr>
                <w:rFonts w:ascii="Times New Roman" w:hAnsi="Times New Roman"/>
                <w:bCs/>
                <w:sz w:val="24"/>
                <w:szCs w:val="24"/>
                <w:lang w:eastAsia="sk-SK"/>
              </w:rPr>
              <w:t>0</w:t>
            </w:r>
          </w:p>
        </w:tc>
        <w:tc>
          <w:tcPr>
            <w:tcW w:w="1722" w:type="dxa"/>
            <w:tcBorders>
              <w:top w:val="nil"/>
              <w:left w:val="nil"/>
              <w:bottom w:val="single" w:sz="4" w:space="0" w:color="auto"/>
              <w:right w:val="single" w:sz="4" w:space="0" w:color="auto"/>
            </w:tcBorders>
            <w:textDirection w:val="lrTb"/>
            <w:vAlign w:val="top"/>
          </w:tcPr>
          <w:p w:rsidR="00D14925" w:rsidRPr="00177957" w:rsidP="00182CC2">
            <w:pPr>
              <w:bidi w:val="0"/>
              <w:spacing w:after="0" w:line="240" w:lineRule="auto"/>
              <w:jc w:val="center"/>
              <w:rPr>
                <w:rFonts w:ascii="Times New Roman" w:hAnsi="Times New Roman"/>
                <w:bCs/>
                <w:sz w:val="24"/>
                <w:szCs w:val="24"/>
                <w:lang w:eastAsia="sk-SK"/>
              </w:rPr>
            </w:pPr>
            <w:r>
              <w:rPr>
                <w:rFonts w:ascii="Times New Roman" w:hAnsi="Times New Roman"/>
                <w:bCs/>
                <w:sz w:val="24"/>
                <w:szCs w:val="24"/>
                <w:lang w:eastAsia="sk-SK"/>
              </w:rPr>
              <w:t>0</w:t>
            </w:r>
          </w:p>
        </w:tc>
        <w:tc>
          <w:tcPr>
            <w:tcW w:w="1620" w:type="dxa"/>
            <w:gridSpan w:val="2"/>
            <w:tcBorders>
              <w:top w:val="nil"/>
              <w:left w:val="nil"/>
              <w:bottom w:val="single" w:sz="4" w:space="0" w:color="auto"/>
              <w:right w:val="single" w:sz="4" w:space="0" w:color="auto"/>
            </w:tcBorders>
            <w:noWrap/>
            <w:textDirection w:val="lrTb"/>
            <w:vAlign w:val="bottom"/>
          </w:tcPr>
          <w:p w:rsidR="00D14925" w:rsidRPr="007D5748" w:rsidP="00182CC2">
            <w:pPr>
              <w:bidi w:val="0"/>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noWrap/>
            <w:textDirection w:val="lrTb"/>
            <w:vAlign w:val="bottom"/>
          </w:tcPr>
          <w:p w:rsidR="00D14925" w:rsidRPr="007D5748" w:rsidP="00182CC2">
            <w:pPr>
              <w:bidi w:val="0"/>
              <w:spacing w:after="0" w:line="240" w:lineRule="auto"/>
              <w:rPr>
                <w:rFonts w:ascii="Times New Roman" w:hAnsi="Times New Roman"/>
                <w:sz w:val="24"/>
                <w:szCs w:val="24"/>
                <w:lang w:eastAsia="sk-SK"/>
              </w:rPr>
            </w:pPr>
          </w:p>
        </w:tc>
        <w:tc>
          <w:tcPr>
            <w:tcW w:w="1698" w:type="dxa"/>
            <w:tcBorders>
              <w:top w:val="nil"/>
              <w:left w:val="nil"/>
              <w:bottom w:val="nil"/>
              <w:right w:val="nil"/>
            </w:tcBorders>
            <w:noWrap/>
            <w:textDirection w:val="lrTb"/>
            <w:vAlign w:val="bottom"/>
          </w:tcPr>
          <w:p w:rsidR="00D14925" w:rsidRPr="007D5748" w:rsidP="00182CC2">
            <w:pPr>
              <w:bidi w:val="0"/>
              <w:spacing w:after="0" w:line="240" w:lineRule="auto"/>
              <w:rPr>
                <w:rFonts w:ascii="Times New Roman" w:hAnsi="Times New Roman"/>
                <w:sz w:val="24"/>
                <w:szCs w:val="24"/>
                <w:lang w:eastAsia="sk-SK"/>
              </w:rPr>
            </w:pPr>
          </w:p>
        </w:tc>
        <w:tc>
          <w:tcPr>
            <w:tcW w:w="1788" w:type="dxa"/>
            <w:tcBorders>
              <w:top w:val="nil"/>
              <w:left w:val="nil"/>
              <w:bottom w:val="nil"/>
              <w:right w:val="nil"/>
            </w:tcBorders>
            <w:noWrap/>
            <w:textDirection w:val="lrTb"/>
            <w:vAlign w:val="bottom"/>
          </w:tcPr>
          <w:p w:rsidR="00D14925" w:rsidRPr="007D5748" w:rsidP="00182CC2">
            <w:pPr>
              <w:bidi w:val="0"/>
              <w:spacing w:after="0" w:line="240" w:lineRule="auto"/>
              <w:rPr>
                <w:rFonts w:ascii="Times New Roman" w:hAnsi="Times New Roman"/>
                <w:sz w:val="24"/>
                <w:szCs w:val="24"/>
                <w:lang w:eastAsia="sk-SK"/>
              </w:rPr>
            </w:pPr>
          </w:p>
        </w:tc>
        <w:tc>
          <w:tcPr>
            <w:tcW w:w="2418" w:type="dxa"/>
            <w:gridSpan w:val="2"/>
            <w:tcBorders>
              <w:top w:val="nil"/>
              <w:left w:val="nil"/>
              <w:bottom w:val="nil"/>
              <w:right w:val="nil"/>
            </w:tcBorders>
            <w:noWrap/>
            <w:textDirection w:val="lrTb"/>
            <w:vAlign w:val="bottom"/>
          </w:tcPr>
          <w:p w:rsidR="00D14925" w:rsidRPr="007D5748" w:rsidP="00182CC2">
            <w:pPr>
              <w:bidi w:val="0"/>
              <w:spacing w:after="0" w:line="240" w:lineRule="auto"/>
              <w:rPr>
                <w:rFonts w:ascii="Times New Roman" w:hAnsi="Times New Roman"/>
                <w:sz w:val="24"/>
                <w:szCs w:val="24"/>
                <w:lang w:eastAsia="sk-SK"/>
              </w:rPr>
            </w:pPr>
          </w:p>
        </w:tc>
        <w:tc>
          <w:tcPr>
            <w:tcW w:w="1722" w:type="dxa"/>
            <w:tcBorders>
              <w:top w:val="nil"/>
              <w:left w:val="nil"/>
              <w:bottom w:val="nil"/>
              <w:right w:val="nil"/>
            </w:tcBorders>
            <w:noWrap/>
            <w:textDirection w:val="lrTb"/>
            <w:vAlign w:val="bottom"/>
          </w:tcPr>
          <w:p w:rsidR="00D14925" w:rsidRPr="007D5748" w:rsidP="00182CC2">
            <w:pPr>
              <w:bidi w:val="0"/>
              <w:spacing w:after="0" w:line="240" w:lineRule="auto"/>
              <w:rPr>
                <w:rFonts w:ascii="Times New Roman" w:hAnsi="Times New Roman"/>
                <w:sz w:val="24"/>
                <w:szCs w:val="24"/>
                <w:lang w:eastAsia="sk-SK"/>
              </w:rPr>
            </w:pPr>
          </w:p>
        </w:tc>
        <w:tc>
          <w:tcPr>
            <w:tcW w:w="1620" w:type="dxa"/>
            <w:gridSpan w:val="2"/>
            <w:tcBorders>
              <w:top w:val="nil"/>
              <w:left w:val="nil"/>
              <w:bottom w:val="nil"/>
              <w:right w:val="nil"/>
            </w:tcBorders>
            <w:noWrap/>
            <w:textDirection w:val="lrTb"/>
            <w:vAlign w:val="bottom"/>
          </w:tcPr>
          <w:p w:rsidR="00D14925" w:rsidRPr="007D5748" w:rsidP="00182CC2">
            <w:pPr>
              <w:bidi w:val="0"/>
              <w:spacing w:after="0" w:line="240" w:lineRule="auto"/>
              <w:rPr>
                <w:rFonts w:ascii="Times New Roman" w:hAnsi="Times New Roman"/>
                <w:sz w:val="24"/>
                <w:szCs w:val="24"/>
                <w:lang w:eastAsia="sk-SK"/>
              </w:rPr>
            </w:pP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textDirection w:val="lrTb"/>
            <w:vAlign w:val="top"/>
          </w:tcPr>
          <w:p w:rsidR="00D14925" w:rsidRPr="007D5748" w:rsidP="00182CC2">
            <w:pPr>
              <w:bidi w:val="0"/>
              <w:spacing w:after="0" w:line="240" w:lineRule="auto"/>
              <w:rPr>
                <w:rFonts w:ascii="Times New Roman" w:hAnsi="Times New Roman"/>
                <w:b/>
                <w:bCs/>
                <w:sz w:val="24"/>
                <w:szCs w:val="24"/>
                <w:lang w:eastAsia="sk-SK"/>
              </w:rPr>
            </w:pPr>
          </w:p>
        </w:tc>
        <w:tc>
          <w:tcPr>
            <w:tcW w:w="1698" w:type="dxa"/>
            <w:tcBorders>
              <w:top w:val="nil"/>
              <w:left w:val="nil"/>
              <w:bottom w:val="nil"/>
              <w:right w:val="nil"/>
            </w:tcBorders>
            <w:noWrap/>
            <w:textDirection w:val="lrTb"/>
            <w:vAlign w:val="bottom"/>
          </w:tcPr>
          <w:p w:rsidR="00D14925" w:rsidRPr="007D5748" w:rsidP="00182CC2">
            <w:pPr>
              <w:bidi w:val="0"/>
              <w:spacing w:after="0" w:line="240" w:lineRule="auto"/>
              <w:rPr>
                <w:rFonts w:ascii="Times New Roman" w:hAnsi="Times New Roman"/>
                <w:sz w:val="24"/>
                <w:szCs w:val="24"/>
                <w:lang w:eastAsia="sk-SK"/>
              </w:rPr>
            </w:pPr>
          </w:p>
        </w:tc>
        <w:tc>
          <w:tcPr>
            <w:tcW w:w="1788" w:type="dxa"/>
            <w:tcBorders>
              <w:top w:val="nil"/>
              <w:left w:val="nil"/>
              <w:bottom w:val="nil"/>
              <w:right w:val="nil"/>
            </w:tcBorders>
            <w:noWrap/>
            <w:textDirection w:val="lrTb"/>
            <w:vAlign w:val="bottom"/>
          </w:tcPr>
          <w:p w:rsidR="00D14925" w:rsidRPr="007D5748" w:rsidP="00182CC2">
            <w:pPr>
              <w:bidi w:val="0"/>
              <w:spacing w:after="0" w:line="240" w:lineRule="auto"/>
              <w:rPr>
                <w:rFonts w:ascii="Times New Roman" w:hAnsi="Times New Roman"/>
                <w:sz w:val="24"/>
                <w:szCs w:val="24"/>
                <w:lang w:eastAsia="sk-SK"/>
              </w:rPr>
            </w:pPr>
          </w:p>
        </w:tc>
        <w:tc>
          <w:tcPr>
            <w:tcW w:w="2418" w:type="dxa"/>
            <w:gridSpan w:val="2"/>
            <w:tcBorders>
              <w:top w:val="nil"/>
              <w:left w:val="nil"/>
              <w:bottom w:val="nil"/>
              <w:right w:val="nil"/>
            </w:tcBorders>
            <w:noWrap/>
            <w:textDirection w:val="lrTb"/>
            <w:vAlign w:val="bottom"/>
          </w:tcPr>
          <w:p w:rsidR="00D14925" w:rsidRPr="007D5748" w:rsidP="00182CC2">
            <w:pPr>
              <w:bidi w:val="0"/>
              <w:spacing w:after="0" w:line="240" w:lineRule="auto"/>
              <w:rPr>
                <w:rFonts w:ascii="Times New Roman" w:hAnsi="Times New Roman"/>
                <w:sz w:val="24"/>
                <w:szCs w:val="24"/>
                <w:lang w:eastAsia="sk-SK"/>
              </w:rPr>
            </w:pPr>
          </w:p>
        </w:tc>
        <w:tc>
          <w:tcPr>
            <w:tcW w:w="1722" w:type="dxa"/>
            <w:tcBorders>
              <w:top w:val="nil"/>
              <w:left w:val="nil"/>
              <w:bottom w:val="nil"/>
              <w:right w:val="nil"/>
            </w:tcBorders>
            <w:noWrap/>
            <w:textDirection w:val="lrTb"/>
            <w:vAlign w:val="bottom"/>
          </w:tcPr>
          <w:p w:rsidR="00D14925" w:rsidRPr="007D5748" w:rsidP="00182CC2">
            <w:pPr>
              <w:bidi w:val="0"/>
              <w:spacing w:after="0" w:line="240" w:lineRule="auto"/>
              <w:rPr>
                <w:rFonts w:ascii="Times New Roman" w:hAnsi="Times New Roman"/>
                <w:sz w:val="24"/>
                <w:szCs w:val="24"/>
                <w:lang w:eastAsia="sk-SK"/>
              </w:rPr>
            </w:pPr>
          </w:p>
        </w:tc>
        <w:tc>
          <w:tcPr>
            <w:tcW w:w="1620" w:type="dxa"/>
            <w:gridSpan w:val="2"/>
            <w:tcBorders>
              <w:top w:val="nil"/>
              <w:left w:val="nil"/>
              <w:bottom w:val="nil"/>
              <w:right w:val="nil"/>
            </w:tcBorders>
            <w:noWrap/>
            <w:textDirection w:val="lrTb"/>
            <w:vAlign w:val="bottom"/>
          </w:tcPr>
          <w:p w:rsidR="00D14925" w:rsidRPr="007D5748" w:rsidP="00182CC2">
            <w:pPr>
              <w:bidi w:val="0"/>
              <w:spacing w:after="0" w:line="240" w:lineRule="auto"/>
              <w:rPr>
                <w:rFonts w:ascii="Times New Roman" w:hAnsi="Times New Roman"/>
                <w:sz w:val="24"/>
                <w:szCs w:val="24"/>
                <w:lang w:eastAsia="sk-SK"/>
              </w:rPr>
            </w:pPr>
          </w:p>
        </w:tc>
      </w:tr>
      <w:tr>
        <w:tblPrEx>
          <w:tblW w:w="15434" w:type="dxa"/>
          <w:tblInd w:w="-784" w:type="dxa"/>
          <w:tblCellMar>
            <w:left w:w="70" w:type="dxa"/>
            <w:right w:w="70" w:type="dxa"/>
          </w:tblCellMar>
        </w:tblPrEx>
        <w:trPr>
          <w:trHeight w:val="255"/>
        </w:trPr>
        <w:tc>
          <w:tcPr>
            <w:tcW w:w="13814" w:type="dxa"/>
            <w:gridSpan w:val="6"/>
            <w:tcBorders>
              <w:top w:val="nil"/>
              <w:left w:val="nil"/>
              <w:bottom w:val="nil"/>
              <w:right w:val="nil"/>
            </w:tcBorders>
            <w:noWrap/>
            <w:textDirection w:val="lrTb"/>
            <w:vAlign w:val="top"/>
          </w:tcPr>
          <w:p w:rsidR="00D14925" w:rsidRPr="007D5748" w:rsidP="00182CC2">
            <w:pPr>
              <w:bidi w:val="0"/>
              <w:spacing w:after="0" w:line="240" w:lineRule="auto"/>
              <w:rPr>
                <w:rFonts w:ascii="Times New Roman" w:hAnsi="Times New Roman"/>
                <w:sz w:val="24"/>
                <w:szCs w:val="24"/>
                <w:lang w:eastAsia="sk-SK"/>
              </w:rPr>
            </w:pPr>
          </w:p>
        </w:tc>
        <w:tc>
          <w:tcPr>
            <w:tcW w:w="1620" w:type="dxa"/>
            <w:gridSpan w:val="2"/>
            <w:tcBorders>
              <w:top w:val="nil"/>
              <w:left w:val="nil"/>
              <w:bottom w:val="nil"/>
              <w:right w:val="nil"/>
            </w:tcBorders>
            <w:noWrap/>
            <w:textDirection w:val="lrTb"/>
            <w:vAlign w:val="bottom"/>
          </w:tcPr>
          <w:p w:rsidR="00D14925" w:rsidRPr="007D5748" w:rsidP="00182CC2">
            <w:pPr>
              <w:bidi w:val="0"/>
              <w:spacing w:after="0" w:line="240" w:lineRule="auto"/>
              <w:rPr>
                <w:rFonts w:ascii="Times New Roman" w:hAnsi="Times New Roman"/>
                <w:sz w:val="24"/>
                <w:szCs w:val="24"/>
                <w:lang w:eastAsia="sk-SK"/>
              </w:rPr>
            </w:pPr>
          </w:p>
        </w:tc>
      </w:tr>
      <w:tr>
        <w:tblPrEx>
          <w:tblW w:w="15434" w:type="dxa"/>
          <w:tblInd w:w="-784" w:type="dxa"/>
          <w:tblCellMar>
            <w:left w:w="70" w:type="dxa"/>
            <w:right w:w="70" w:type="dxa"/>
          </w:tblCellMar>
        </w:tblPrEx>
        <w:trPr>
          <w:trHeight w:val="255"/>
        </w:trPr>
        <w:tc>
          <w:tcPr>
            <w:tcW w:w="10394" w:type="dxa"/>
            <w:gridSpan w:val="4"/>
            <w:tcBorders>
              <w:top w:val="nil"/>
              <w:left w:val="nil"/>
              <w:bottom w:val="nil"/>
              <w:right w:val="nil"/>
            </w:tcBorders>
            <w:noWrap/>
            <w:textDirection w:val="lrTb"/>
            <w:vAlign w:val="bottom"/>
          </w:tcPr>
          <w:p w:rsidR="00D14925" w:rsidRPr="007D5748" w:rsidP="00182CC2">
            <w:pPr>
              <w:bidi w:val="0"/>
              <w:spacing w:after="0" w:line="240" w:lineRule="auto"/>
              <w:rPr>
                <w:rFonts w:ascii="Times New Roman" w:hAnsi="Times New Roman"/>
                <w:sz w:val="24"/>
                <w:szCs w:val="24"/>
                <w:lang w:eastAsia="sk-SK"/>
              </w:rPr>
            </w:pPr>
          </w:p>
        </w:tc>
        <w:tc>
          <w:tcPr>
            <w:tcW w:w="1698" w:type="dxa"/>
            <w:tcBorders>
              <w:top w:val="nil"/>
              <w:left w:val="nil"/>
              <w:bottom w:val="nil"/>
              <w:right w:val="nil"/>
            </w:tcBorders>
            <w:noWrap/>
            <w:textDirection w:val="lrTb"/>
            <w:vAlign w:val="bottom"/>
          </w:tcPr>
          <w:p w:rsidR="00D14925" w:rsidRPr="007D5748" w:rsidP="00182CC2">
            <w:pPr>
              <w:bidi w:val="0"/>
              <w:spacing w:after="0" w:line="240" w:lineRule="auto"/>
              <w:rPr>
                <w:rFonts w:ascii="Times New Roman" w:hAnsi="Times New Roman"/>
                <w:sz w:val="24"/>
                <w:szCs w:val="24"/>
                <w:lang w:eastAsia="sk-SK"/>
              </w:rPr>
            </w:pPr>
          </w:p>
        </w:tc>
        <w:tc>
          <w:tcPr>
            <w:tcW w:w="2352" w:type="dxa"/>
            <w:gridSpan w:val="2"/>
            <w:tcBorders>
              <w:top w:val="nil"/>
              <w:left w:val="nil"/>
              <w:bottom w:val="nil"/>
              <w:right w:val="nil"/>
            </w:tcBorders>
            <w:noWrap/>
            <w:textDirection w:val="lrTb"/>
            <w:vAlign w:val="bottom"/>
          </w:tcPr>
          <w:p w:rsidR="00D14925" w:rsidRPr="007D5748" w:rsidP="00182CC2">
            <w:pPr>
              <w:bidi w:val="0"/>
              <w:spacing w:after="0" w:line="240" w:lineRule="auto"/>
              <w:rPr>
                <w:rFonts w:ascii="Times New Roman" w:hAnsi="Times New Roman"/>
                <w:sz w:val="24"/>
                <w:szCs w:val="24"/>
                <w:lang w:eastAsia="sk-SK"/>
              </w:rPr>
            </w:pPr>
          </w:p>
        </w:tc>
        <w:tc>
          <w:tcPr>
            <w:tcW w:w="990" w:type="dxa"/>
            <w:tcBorders>
              <w:top w:val="nil"/>
              <w:left w:val="nil"/>
              <w:bottom w:val="nil"/>
              <w:right w:val="nil"/>
            </w:tcBorders>
            <w:noWrap/>
            <w:textDirection w:val="lrTb"/>
            <w:vAlign w:val="bottom"/>
          </w:tcPr>
          <w:p w:rsidR="00D14925" w:rsidRPr="007D5748" w:rsidP="00182CC2">
            <w:pPr>
              <w:bidi w:val="0"/>
              <w:spacing w:after="0" w:line="240" w:lineRule="auto"/>
              <w:rPr>
                <w:rFonts w:ascii="Times New Roman" w:hAnsi="Times New Roman"/>
                <w:sz w:val="24"/>
                <w:szCs w:val="24"/>
                <w:lang w:eastAsia="sk-SK"/>
              </w:rPr>
            </w:pPr>
          </w:p>
        </w:tc>
      </w:tr>
    </w:tbl>
    <w:p w:rsidR="00D14925" w:rsidRPr="007D5748" w:rsidP="00D14925">
      <w:pPr>
        <w:bidi w:val="0"/>
        <w:spacing w:after="0" w:line="240" w:lineRule="auto"/>
        <w:rPr>
          <w:rFonts w:ascii="Times New Roman" w:hAnsi="Times New Roman"/>
          <w:b/>
          <w:bCs/>
          <w:sz w:val="24"/>
          <w:szCs w:val="24"/>
          <w:lang w:eastAsia="sk-SK"/>
        </w:rPr>
        <w:sectPr>
          <w:pgSz w:w="16838" w:h="11906" w:orient="landscape"/>
          <w:pgMar w:top="1418" w:right="1418" w:bottom="1418" w:left="1418" w:header="709" w:footer="709" w:gutter="0"/>
          <w:lnNumType w:distance="0"/>
          <w:cols w:space="708"/>
          <w:noEndnote w:val="0"/>
          <w:bidi w:val="0"/>
          <w:docGrid w:linePitch="360"/>
        </w:sectPr>
      </w:pPr>
    </w:p>
    <w:p w:rsidR="00D14925" w:rsidRPr="00D14925" w:rsidP="00D14925">
      <w:pPr>
        <w:bidi w:val="0"/>
        <w:jc w:val="center"/>
        <w:rPr>
          <w:rFonts w:ascii="Times New Roman" w:hAnsi="Times New Roman"/>
          <w:b/>
          <w:caps/>
          <w:spacing w:val="30"/>
          <w:sz w:val="24"/>
          <w:szCs w:val="24"/>
        </w:rPr>
      </w:pPr>
      <w:r w:rsidRPr="00D14925">
        <w:rPr>
          <w:rFonts w:ascii="Times New Roman" w:hAnsi="Times New Roman"/>
          <w:b/>
          <w:caps/>
          <w:spacing w:val="30"/>
          <w:sz w:val="24"/>
          <w:szCs w:val="24"/>
        </w:rPr>
        <w:t>Doložka zlučiteľnosti</w:t>
      </w:r>
    </w:p>
    <w:p w:rsidR="00D14925" w:rsidRPr="00D14925" w:rsidP="00D14925">
      <w:pPr>
        <w:bidi w:val="0"/>
        <w:jc w:val="center"/>
        <w:rPr>
          <w:rFonts w:ascii="Times New Roman" w:hAnsi="Times New Roman"/>
          <w:b/>
          <w:sz w:val="24"/>
          <w:szCs w:val="24"/>
        </w:rPr>
      </w:pPr>
      <w:r w:rsidRPr="00D14925">
        <w:rPr>
          <w:rFonts w:ascii="Times New Roman" w:hAnsi="Times New Roman"/>
          <w:b/>
          <w:sz w:val="24"/>
          <w:szCs w:val="24"/>
        </w:rPr>
        <w:t>návrhu právneho predpisu s právom Európskej únie</w:t>
      </w:r>
    </w:p>
    <w:p w:rsidR="00D14925" w:rsidRPr="00D14925" w:rsidP="00D14925">
      <w:pPr>
        <w:bidi w:val="0"/>
        <w:jc w:val="center"/>
        <w:rPr>
          <w:rFonts w:ascii="Times New Roman" w:hAnsi="Times New Roman"/>
          <w:b/>
          <w:sz w:val="24"/>
          <w:szCs w:val="24"/>
        </w:rPr>
      </w:pPr>
    </w:p>
    <w:p w:rsidR="00D14925" w:rsidRPr="00D14925" w:rsidP="00D14925">
      <w:pPr>
        <w:bidi w:val="0"/>
        <w:jc w:val="center"/>
        <w:rPr>
          <w:rFonts w:ascii="Times New Roman" w:hAnsi="Times New Roman"/>
          <w:b/>
          <w:sz w:val="24"/>
          <w:szCs w:val="24"/>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4"/>
        <w:gridCol w:w="9627"/>
      </w:tblGrid>
      <w:tr>
        <w:tblPrEx>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D14925" w:rsidRPr="00D14925" w:rsidP="00182CC2">
            <w:pPr>
              <w:tabs>
                <w:tab w:val="left" w:pos="360"/>
              </w:tabs>
              <w:bidi w:val="0"/>
              <w:rPr>
                <w:rFonts w:ascii="Times New Roman" w:hAnsi="Times New Roman"/>
                <w:b/>
                <w:sz w:val="24"/>
                <w:szCs w:val="24"/>
              </w:rPr>
            </w:pPr>
            <w:r w:rsidRPr="00D14925">
              <w:rPr>
                <w:rFonts w:ascii="Times New Roman" w:hAnsi="Times New Roman"/>
                <w:b/>
                <w:sz w:val="24"/>
                <w:szCs w:val="24"/>
              </w:rPr>
              <w:t>1.</w:t>
            </w:r>
          </w:p>
        </w:tc>
        <w:tc>
          <w:tcPr>
            <w:tcW w:w="9627" w:type="dxa"/>
            <w:tcBorders>
              <w:top w:val="none" w:sz="0" w:space="0" w:color="auto"/>
              <w:left w:val="none" w:sz="0" w:space="0" w:color="auto"/>
              <w:bottom w:val="none" w:sz="0" w:space="0" w:color="auto"/>
              <w:right w:val="none" w:sz="0" w:space="0" w:color="auto"/>
            </w:tcBorders>
            <w:textDirection w:val="lrTb"/>
            <w:vAlign w:val="top"/>
          </w:tcPr>
          <w:p w:rsidR="00D14925" w:rsidRPr="00D14925" w:rsidP="00182CC2">
            <w:pPr>
              <w:tabs>
                <w:tab w:val="left" w:pos="360"/>
              </w:tabs>
              <w:bidi w:val="0"/>
              <w:rPr>
                <w:rFonts w:ascii="Times New Roman" w:hAnsi="Times New Roman"/>
                <w:sz w:val="24"/>
                <w:szCs w:val="24"/>
              </w:rPr>
            </w:pPr>
            <w:r w:rsidRPr="00D14925">
              <w:rPr>
                <w:rFonts w:ascii="Times New Roman" w:hAnsi="Times New Roman"/>
                <w:b/>
                <w:sz w:val="24"/>
                <w:szCs w:val="24"/>
              </w:rPr>
              <w:t>Predkladateľ návrhu právneho predpisu:</w:t>
            </w:r>
            <w:r w:rsidRPr="00D14925">
              <w:rPr>
                <w:rFonts w:ascii="Times New Roman" w:hAnsi="Times New Roman"/>
                <w:sz w:val="24"/>
                <w:szCs w:val="24"/>
              </w:rPr>
              <w:t xml:space="preserve"> </w:t>
            </w:r>
            <w:r w:rsidRPr="00D14925">
              <w:rPr>
                <w:rFonts w:ascii="Times New Roman" w:hAnsi="Times New Roman"/>
                <w:sz w:val="24"/>
                <w:szCs w:val="24"/>
              </w:rPr>
              <w:fldChar w:fldCharType="begin"/>
            </w:r>
            <w:r w:rsidRPr="00D14925">
              <w:rPr>
                <w:rFonts w:ascii="Times New Roman" w:hAnsi="Times New Roman"/>
                <w:sz w:val="24"/>
                <w:szCs w:val="24"/>
              </w:rPr>
              <w:instrText xml:space="preserve"> DOCPROPERTY  FSC#SKEDITIONSLOVLEX@103.510:zodpinstitucia  \* MERGEFORMAT </w:instrText>
            </w:r>
            <w:r w:rsidRPr="00D14925">
              <w:rPr>
                <w:rFonts w:ascii="Times New Roman" w:hAnsi="Times New Roman"/>
                <w:sz w:val="24"/>
                <w:szCs w:val="24"/>
              </w:rPr>
              <w:fldChar w:fldCharType="separate"/>
            </w:r>
            <w:r w:rsidRPr="00D14925">
              <w:rPr>
                <w:rFonts w:ascii="Times New Roman" w:hAnsi="Times New Roman"/>
                <w:sz w:val="24"/>
                <w:szCs w:val="24"/>
              </w:rPr>
              <w:t>Úrad podpredsedu vlády Slovenskej republiky pre investície a informatizáciu</w:t>
            </w:r>
            <w:r w:rsidRPr="00D14925">
              <w:rPr>
                <w:rFonts w:ascii="Times New Roman" w:hAnsi="Times New Roman"/>
                <w:sz w:val="24"/>
                <w:szCs w:val="24"/>
              </w:rPr>
              <w:fldChar w:fldCharType="end"/>
            </w: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D14925" w:rsidRPr="00D14925" w:rsidP="00182CC2">
            <w:pPr>
              <w:tabs>
                <w:tab w:val="left" w:pos="360"/>
              </w:tabs>
              <w:bidi w:val="0"/>
              <w:rPr>
                <w:rFonts w:ascii="Times New Roman" w:hAnsi="Times New Roman"/>
                <w:sz w:val="24"/>
                <w:szCs w:val="24"/>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D14925" w:rsidRPr="00D14925" w:rsidP="00182CC2">
            <w:pPr>
              <w:tabs>
                <w:tab w:val="left" w:pos="360"/>
              </w:tabs>
              <w:bidi w:val="0"/>
              <w:rPr>
                <w:rFonts w:ascii="Times New Roman" w:hAnsi="Times New Roman"/>
                <w:sz w:val="24"/>
                <w:szCs w:val="24"/>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D14925" w:rsidRPr="00D14925" w:rsidP="00182CC2">
            <w:pPr>
              <w:tabs>
                <w:tab w:val="left" w:pos="360"/>
              </w:tabs>
              <w:bidi w:val="0"/>
              <w:rPr>
                <w:rFonts w:ascii="Times New Roman" w:hAnsi="Times New Roman"/>
                <w:b/>
                <w:sz w:val="24"/>
                <w:szCs w:val="24"/>
              </w:rPr>
            </w:pPr>
            <w:r w:rsidRPr="00D14925">
              <w:rPr>
                <w:rFonts w:ascii="Times New Roman" w:hAnsi="Times New Roman"/>
                <w:b/>
                <w:sz w:val="24"/>
                <w:szCs w:val="24"/>
              </w:rPr>
              <w:t>2.</w:t>
            </w:r>
          </w:p>
        </w:tc>
        <w:tc>
          <w:tcPr>
            <w:tcW w:w="9627" w:type="dxa"/>
            <w:tcBorders>
              <w:top w:val="none" w:sz="0" w:space="0" w:color="auto"/>
              <w:left w:val="none" w:sz="0" w:space="0" w:color="auto"/>
              <w:bottom w:val="none" w:sz="0" w:space="0" w:color="auto"/>
              <w:right w:val="none" w:sz="0" w:space="0" w:color="auto"/>
            </w:tcBorders>
            <w:textDirection w:val="lrTb"/>
            <w:vAlign w:val="top"/>
          </w:tcPr>
          <w:p w:rsidR="00D14925" w:rsidRPr="00D14925" w:rsidP="00182CC2">
            <w:pPr>
              <w:tabs>
                <w:tab w:val="left" w:pos="360"/>
              </w:tabs>
              <w:bidi w:val="0"/>
              <w:rPr>
                <w:rFonts w:ascii="Times New Roman" w:hAnsi="Times New Roman"/>
                <w:sz w:val="24"/>
                <w:szCs w:val="24"/>
              </w:rPr>
            </w:pPr>
            <w:r w:rsidRPr="00D14925">
              <w:rPr>
                <w:rFonts w:ascii="Times New Roman" w:hAnsi="Times New Roman"/>
                <w:b/>
                <w:sz w:val="24"/>
                <w:szCs w:val="24"/>
              </w:rPr>
              <w:t>Názov návrhu právneho predpisu:</w:t>
            </w:r>
            <w:r w:rsidRPr="00D14925">
              <w:rPr>
                <w:rFonts w:ascii="Times New Roman" w:hAnsi="Times New Roman"/>
                <w:sz w:val="24"/>
                <w:szCs w:val="24"/>
              </w:rPr>
              <w:t xml:space="preserve"> </w:t>
            </w:r>
            <w:r w:rsidRPr="00D14925">
              <w:rPr>
                <w:rFonts w:ascii="Times New Roman" w:hAnsi="Times New Roman"/>
                <w:sz w:val="24"/>
                <w:szCs w:val="24"/>
              </w:rPr>
              <w:fldChar w:fldCharType="begin"/>
            </w:r>
            <w:r w:rsidRPr="00D14925">
              <w:rPr>
                <w:rFonts w:ascii="Times New Roman" w:hAnsi="Times New Roman"/>
                <w:sz w:val="24"/>
                <w:szCs w:val="24"/>
              </w:rPr>
              <w:instrText xml:space="preserve"> DOCPROPERTY  FSC#SKEDITIONSLOVLEX@103.510:plnynazovpredpis  \* MERGEFORMAT </w:instrText>
            </w:r>
            <w:r w:rsidRPr="00D14925">
              <w:rPr>
                <w:rFonts w:ascii="Times New Roman" w:hAnsi="Times New Roman"/>
                <w:sz w:val="24"/>
                <w:szCs w:val="24"/>
              </w:rPr>
              <w:fldChar w:fldCharType="separate"/>
            </w:r>
            <w:r w:rsidRPr="00D14925">
              <w:rPr>
                <w:rFonts w:ascii="Times New Roman" w:hAnsi="Times New Roman"/>
                <w:sz w:val="24"/>
                <w:szCs w:val="24"/>
              </w:rPr>
              <w:t xml:space="preserve"> Zákon o poskytovaní dotácií v pôsobnosti Úradu podpredsedu vlády Slovenskej republiky pre investície a informatizáciu</w:t>
            </w:r>
            <w:r w:rsidRPr="00D14925">
              <w:rPr>
                <w:rFonts w:ascii="Times New Roman" w:hAnsi="Times New Roman"/>
                <w:sz w:val="24"/>
                <w:szCs w:val="24"/>
              </w:rPr>
              <w:fldChar w:fldCharType="end"/>
            </w:r>
            <w:r w:rsidRPr="00D14925">
              <w:rPr>
                <w:rFonts w:ascii="Times New Roman" w:hAnsi="Times New Roman"/>
                <w:sz w:val="24"/>
                <w:szCs w:val="24"/>
              </w:rPr>
              <w:fldChar w:fldCharType="begin"/>
            </w:r>
            <w:r w:rsidRPr="00D14925">
              <w:rPr>
                <w:rFonts w:ascii="Times New Roman" w:hAnsi="Times New Roman"/>
                <w:sz w:val="24"/>
                <w:szCs w:val="24"/>
              </w:rPr>
              <w:instrText xml:space="preserve"> DOCPROPERTY  FSC#SKEDITIONSLOVLEX@103.510:plnynazovpredpis1  \* MERGEFORMAT </w:instrText>
            </w:r>
            <w:r w:rsidRPr="00D14925">
              <w:rPr>
                <w:rFonts w:ascii="Times New Roman" w:hAnsi="Times New Roman"/>
                <w:sz w:val="24"/>
                <w:szCs w:val="24"/>
              </w:rPr>
              <w:fldChar w:fldCharType="separate"/>
            </w:r>
            <w:r w:rsidRPr="00D14925">
              <w:rPr>
                <w:rFonts w:ascii="Times New Roman" w:hAnsi="Times New Roman"/>
                <w:sz w:val="24"/>
                <w:szCs w:val="24"/>
              </w:rPr>
              <w:fldChar w:fldCharType="end"/>
            </w:r>
            <w:r w:rsidRPr="00D14925">
              <w:rPr>
                <w:rFonts w:ascii="Times New Roman" w:hAnsi="Times New Roman"/>
                <w:sz w:val="24"/>
                <w:szCs w:val="24"/>
              </w:rPr>
              <w:fldChar w:fldCharType="begin"/>
            </w:r>
            <w:r w:rsidRPr="00D14925">
              <w:rPr>
                <w:rFonts w:ascii="Times New Roman" w:hAnsi="Times New Roman"/>
                <w:sz w:val="24"/>
                <w:szCs w:val="24"/>
              </w:rPr>
              <w:instrText xml:space="preserve"> DOCPROPERTY  FSC#SKEDITIONSLOVLEX@103.510:plnynazovpredpis2  \* MERGEFORMAT </w:instrText>
            </w:r>
            <w:r w:rsidRPr="00D14925">
              <w:rPr>
                <w:rFonts w:ascii="Times New Roman" w:hAnsi="Times New Roman"/>
                <w:sz w:val="24"/>
                <w:szCs w:val="24"/>
              </w:rPr>
              <w:fldChar w:fldCharType="separate"/>
            </w:r>
            <w:r w:rsidRPr="00D14925">
              <w:rPr>
                <w:rFonts w:ascii="Times New Roman" w:hAnsi="Times New Roman"/>
                <w:sz w:val="24"/>
                <w:szCs w:val="24"/>
              </w:rPr>
              <w:fldChar w:fldCharType="end"/>
            </w:r>
            <w:r w:rsidRPr="00D14925">
              <w:rPr>
                <w:rFonts w:ascii="Times New Roman" w:hAnsi="Times New Roman"/>
                <w:sz w:val="24"/>
                <w:szCs w:val="24"/>
              </w:rPr>
              <w:fldChar w:fldCharType="begin"/>
            </w:r>
            <w:r w:rsidRPr="00D14925">
              <w:rPr>
                <w:rFonts w:ascii="Times New Roman" w:hAnsi="Times New Roman"/>
                <w:sz w:val="24"/>
                <w:szCs w:val="24"/>
              </w:rPr>
              <w:instrText xml:space="preserve"> DOCPROPERTY  FSC#SKEDITIONSLOVLEX@103.510:plnynazovpredpis3  \* MERGEFORMAT </w:instrText>
            </w:r>
            <w:r w:rsidRPr="00D14925">
              <w:rPr>
                <w:rFonts w:ascii="Times New Roman" w:hAnsi="Times New Roman"/>
                <w:sz w:val="24"/>
                <w:szCs w:val="24"/>
              </w:rPr>
              <w:fldChar w:fldCharType="separate"/>
            </w:r>
            <w:r w:rsidRPr="00D14925">
              <w:rPr>
                <w:rFonts w:ascii="Times New Roman" w:hAnsi="Times New Roman"/>
                <w:sz w:val="24"/>
                <w:szCs w:val="24"/>
              </w:rPr>
              <w:fldChar w:fldCharType="end"/>
            </w: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D14925" w:rsidRPr="00D14925" w:rsidP="00182CC2">
            <w:pPr>
              <w:tabs>
                <w:tab w:val="left" w:pos="360"/>
              </w:tabs>
              <w:bidi w:val="0"/>
              <w:rPr>
                <w:rFonts w:ascii="Times New Roman" w:hAnsi="Times New Roman"/>
                <w:sz w:val="24"/>
                <w:szCs w:val="24"/>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D14925" w:rsidRPr="00D14925" w:rsidP="00182CC2">
            <w:pPr>
              <w:tabs>
                <w:tab w:val="left" w:pos="360"/>
              </w:tabs>
              <w:bidi w:val="0"/>
              <w:rPr>
                <w:rFonts w:ascii="Times New Roman" w:hAnsi="Times New Roman"/>
                <w:sz w:val="24"/>
                <w:szCs w:val="24"/>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D14925" w:rsidRPr="00D14925" w:rsidP="00182CC2">
            <w:pPr>
              <w:tabs>
                <w:tab w:val="left" w:pos="360"/>
              </w:tabs>
              <w:bidi w:val="0"/>
              <w:rPr>
                <w:rFonts w:ascii="Times New Roman" w:hAnsi="Times New Roman"/>
                <w:b/>
                <w:sz w:val="24"/>
                <w:szCs w:val="24"/>
              </w:rPr>
            </w:pPr>
            <w:r w:rsidRPr="00D14925">
              <w:rPr>
                <w:rFonts w:ascii="Times New Roman" w:hAnsi="Times New Roman"/>
                <w:b/>
                <w:sz w:val="24"/>
                <w:szCs w:val="24"/>
              </w:rPr>
              <w:t>3.</w:t>
            </w:r>
          </w:p>
        </w:tc>
        <w:tc>
          <w:tcPr>
            <w:tcW w:w="9627" w:type="dxa"/>
            <w:tcBorders>
              <w:top w:val="none" w:sz="0" w:space="0" w:color="auto"/>
              <w:left w:val="none" w:sz="0" w:space="0" w:color="auto"/>
              <w:bottom w:val="none" w:sz="0" w:space="0" w:color="auto"/>
              <w:right w:val="none" w:sz="0" w:space="0" w:color="auto"/>
            </w:tcBorders>
            <w:textDirection w:val="lrTb"/>
            <w:vAlign w:val="top"/>
          </w:tcPr>
          <w:p w:rsidR="00D14925" w:rsidRPr="00D14925" w:rsidP="00182CC2">
            <w:pPr>
              <w:tabs>
                <w:tab w:val="left" w:pos="360"/>
              </w:tabs>
              <w:bidi w:val="0"/>
              <w:rPr>
                <w:rFonts w:ascii="Times New Roman" w:hAnsi="Times New Roman"/>
                <w:b/>
                <w:sz w:val="24"/>
                <w:szCs w:val="24"/>
              </w:rPr>
            </w:pPr>
            <w:r w:rsidRPr="00D14925">
              <w:rPr>
                <w:rFonts w:ascii="Times New Roman" w:hAnsi="Times New Roman"/>
                <w:b/>
                <w:sz w:val="24"/>
                <w:szCs w:val="24"/>
              </w:rPr>
              <w:t>Problematika návrhu právneho predpisu:</w:t>
            </w:r>
          </w:p>
          <w:p w:rsidR="00D14925" w:rsidRPr="00D14925" w:rsidP="00182CC2">
            <w:pPr>
              <w:tabs>
                <w:tab w:val="left" w:pos="360"/>
              </w:tabs>
              <w:bidi w:val="0"/>
              <w:rPr>
                <w:rFonts w:ascii="Times New Roman" w:hAnsi="Times New Roman"/>
                <w:sz w:val="24"/>
                <w:szCs w:val="24"/>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D14925" w:rsidRPr="00D14925" w:rsidP="00182CC2">
            <w:pPr>
              <w:tabs>
                <w:tab w:val="left" w:pos="360"/>
              </w:tabs>
              <w:bidi w:val="0"/>
              <w:rPr>
                <w:rFonts w:ascii="Times New Roman" w:hAnsi="Times New Roman"/>
                <w:sz w:val="24"/>
                <w:szCs w:val="24"/>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D14925" w:rsidRPr="00D14925" w:rsidP="00D14925">
            <w:pPr>
              <w:pStyle w:val="ListParagraph"/>
              <w:widowControl w:val="0"/>
              <w:numPr>
                <w:numId w:val="19"/>
              </w:numPr>
              <w:tabs>
                <w:tab w:val="left" w:pos="360"/>
              </w:tabs>
              <w:autoSpaceDE w:val="0"/>
              <w:autoSpaceDN w:val="0"/>
              <w:bidi w:val="0"/>
              <w:adjustRightInd w:val="0"/>
              <w:spacing w:after="0" w:line="240" w:lineRule="auto"/>
              <w:rPr>
                <w:rFonts w:ascii="Times New Roman" w:hAnsi="Times New Roman"/>
                <w:sz w:val="24"/>
                <w:szCs w:val="24"/>
              </w:rPr>
            </w:pPr>
            <w:r w:rsidRPr="00D14925">
              <w:rPr>
                <w:rFonts w:ascii="Times New Roman" w:hAnsi="Times New Roman"/>
                <w:sz w:val="24"/>
                <w:szCs w:val="24"/>
              </w:rPr>
              <w:t>je upravená v práve Európskej únie</w:t>
            </w:r>
          </w:p>
          <w:p w:rsidR="00D14925" w:rsidRPr="00D14925" w:rsidP="00182CC2">
            <w:pPr>
              <w:bidi w:val="0"/>
              <w:rPr>
                <w:rFonts w:ascii="Times New Roman" w:hAnsi="Times New Roman"/>
                <w:sz w:val="24"/>
                <w:szCs w:val="24"/>
              </w:rPr>
            </w:pPr>
            <w:r w:rsidRPr="00D14925">
              <w:rPr>
                <w:rFonts w:ascii="Times New Roman" w:hAnsi="Times New Roman"/>
                <w:sz w:val="24"/>
                <w:szCs w:val="24"/>
              </w:rPr>
              <w:br/>
            </w:r>
            <w:r w:rsidRPr="00D14925">
              <w:rPr>
                <w:rFonts w:ascii="Times New Roman" w:hAnsi="Times New Roman"/>
                <w:i/>
                <w:iCs/>
                <w:sz w:val="24"/>
                <w:szCs w:val="24"/>
              </w:rPr>
              <w:t xml:space="preserve">- primárnom </w:t>
            </w:r>
            <w:r w:rsidRPr="00D14925">
              <w:rPr>
                <w:rFonts w:ascii="Times New Roman" w:hAnsi="Times New Roman"/>
                <w:sz w:val="24"/>
                <w:szCs w:val="24"/>
              </w:rPr>
              <w:br/>
              <w:br/>
              <w:t>čl. 107 až 109 Zmluvy o fungovaní Európskej únie, ktoré sa tykajú pomoci poskytovanej štátmi</w:t>
            </w:r>
          </w:p>
          <w:p w:rsidR="00D14925" w:rsidRPr="00D14925" w:rsidP="00182CC2">
            <w:pPr>
              <w:pStyle w:val="ListParagraph"/>
              <w:tabs>
                <w:tab w:val="left" w:pos="360"/>
              </w:tabs>
              <w:bidi w:val="0"/>
              <w:ind w:left="360"/>
              <w:rPr>
                <w:rFonts w:ascii="Times New Roman" w:hAnsi="Times New Roman"/>
                <w:sz w:val="24"/>
                <w:szCs w:val="24"/>
              </w:rPr>
            </w:pPr>
          </w:p>
          <w:p w:rsidR="00D14925" w:rsidRPr="00D14925" w:rsidP="00182CC2">
            <w:pPr>
              <w:bidi w:val="0"/>
              <w:rPr>
                <w:rFonts w:ascii="Times New Roman" w:hAnsi="Times New Roman"/>
                <w:sz w:val="24"/>
                <w:szCs w:val="24"/>
              </w:rPr>
            </w:pPr>
            <w:r w:rsidRPr="00D14925">
              <w:rPr>
                <w:rFonts w:ascii="Times New Roman" w:hAnsi="Times New Roman"/>
                <w:i/>
                <w:iCs/>
                <w:sz w:val="24"/>
                <w:szCs w:val="24"/>
              </w:rPr>
              <w:t>- sekundárnom (prijatom po nadobudnutím platnosti Lisabonskej zmluvy, ktorou sa mení a dopĺňa Zmluva o Európskom spoločenstve a Zmluva o Európskej únii – po 30. novembri 2009)</w:t>
            </w:r>
            <w:r w:rsidRPr="00D14925">
              <w:rPr>
                <w:rFonts w:ascii="Times New Roman" w:hAnsi="Times New Roman"/>
                <w:sz w:val="24"/>
                <w:szCs w:val="24"/>
              </w:rPr>
              <w:br/>
              <w:br/>
              <w:t xml:space="preserve">1. legislatívne akty: </w:t>
              <w:br/>
              <w:br/>
              <w:t>- Nariadenie Európskeho parlamentu a Rady (EÚ) č. 910/2014 z 23. júla 2014 o elektronickej identifikácii a dôveryhodných službách pre elektronické transakcie na vnútornom trhu a o zrušení smernice 1999/93/ES (Ú. v. EÚ L 257, 28.8.2014)</w:t>
            </w:r>
          </w:p>
          <w:p w:rsidR="00D14925" w:rsidRPr="00D14925" w:rsidP="00182CC2">
            <w:pPr>
              <w:pStyle w:val="ListParagraph"/>
              <w:tabs>
                <w:tab w:val="left" w:pos="360"/>
              </w:tabs>
              <w:bidi w:val="0"/>
              <w:ind w:left="360"/>
              <w:rPr>
                <w:rFonts w:ascii="Times New Roman" w:hAnsi="Times New Roman"/>
                <w:sz w:val="24"/>
                <w:szCs w:val="24"/>
              </w:rPr>
            </w:pPr>
          </w:p>
          <w:p w:rsidR="00D14925" w:rsidRPr="00D14925" w:rsidP="00182CC2">
            <w:pPr>
              <w:bidi w:val="0"/>
              <w:rPr>
                <w:rFonts w:ascii="Times New Roman" w:hAnsi="Times New Roman"/>
                <w:sz w:val="24"/>
                <w:szCs w:val="24"/>
              </w:rPr>
            </w:pPr>
            <w:r w:rsidRPr="00D14925">
              <w:rPr>
                <w:rFonts w:ascii="Times New Roman" w:hAnsi="Times New Roman"/>
                <w:sz w:val="24"/>
                <w:szCs w:val="24"/>
              </w:rPr>
              <w:t xml:space="preserve">2. nelegislatívne akty: </w:t>
              <w:br/>
              <w:br/>
              <w:t>-Nariadenie Komisie (EÚ) č. 1407/2013 z 18. decembra 2013 o uplatňovaní článkov 107 a 108 Zmluvy o fungovaní Európskej únie na pomoc de minimis (Ú. v. EÚ L 352, 24.12.2013)Nariadenie Komisie (EÚ) č. 651/2014 zo 17. júna 2014 o vyhlásení určitých kategórií pomoci za zlučiteľné s vnútorným trhom podľa článkov 107 a 108 zmluvy (Ú. v. EÚ L 187, 26.6.2014) v platnom znení</w:t>
            </w:r>
          </w:p>
          <w:p w:rsidR="00D14925" w:rsidRPr="00D14925" w:rsidP="00182CC2">
            <w:pPr>
              <w:pStyle w:val="ListParagraph"/>
              <w:tabs>
                <w:tab w:val="left" w:pos="360"/>
              </w:tabs>
              <w:bidi w:val="0"/>
              <w:ind w:left="360"/>
              <w:rPr>
                <w:rFonts w:ascii="Times New Roman" w:hAnsi="Times New Roman"/>
                <w:sz w:val="24"/>
                <w:szCs w:val="24"/>
              </w:rPr>
            </w:pPr>
          </w:p>
          <w:p w:rsidR="00D14925" w:rsidRPr="00D14925" w:rsidP="00182CC2">
            <w:pPr>
              <w:bidi w:val="0"/>
              <w:rPr>
                <w:rFonts w:ascii="Times New Roman" w:hAnsi="Times New Roman"/>
                <w:sz w:val="24"/>
                <w:szCs w:val="24"/>
              </w:rPr>
            </w:pPr>
            <w:r w:rsidRPr="00D14925">
              <w:rPr>
                <w:rFonts w:ascii="Times New Roman" w:hAnsi="Times New Roman"/>
                <w:i/>
                <w:iCs/>
                <w:sz w:val="24"/>
                <w:szCs w:val="24"/>
              </w:rPr>
              <w:t>- sekundárnom (prijatom pred nadobudnutím platnosti Lisabonskej zmluvy)</w:t>
              <w:br/>
              <w:br/>
              <w:t>-</w:t>
            </w:r>
          </w:p>
          <w:p w:rsidR="00D14925" w:rsidRPr="00D14925" w:rsidP="00182CC2">
            <w:pPr>
              <w:pStyle w:val="ListParagraph"/>
              <w:tabs>
                <w:tab w:val="left" w:pos="360"/>
              </w:tabs>
              <w:bidi w:val="0"/>
              <w:ind w:left="360"/>
              <w:rPr>
                <w:rFonts w:ascii="Times New Roman" w:hAnsi="Times New Roman"/>
                <w:sz w:val="24"/>
                <w:szCs w:val="24"/>
              </w:rPr>
            </w:pPr>
          </w:p>
          <w:p w:rsidR="00D14925" w:rsidRPr="00D14925" w:rsidP="00182CC2">
            <w:pPr>
              <w:pStyle w:val="ListParagraph"/>
              <w:tabs>
                <w:tab w:val="left" w:pos="360"/>
              </w:tabs>
              <w:bidi w:val="0"/>
              <w:ind w:left="360"/>
              <w:rPr>
                <w:rFonts w:ascii="Times New Roman" w:hAnsi="Times New Roman"/>
                <w:sz w:val="24"/>
                <w:szCs w:val="24"/>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D14925" w:rsidRPr="00D14925" w:rsidP="00182CC2">
            <w:pPr>
              <w:tabs>
                <w:tab w:val="left" w:pos="360"/>
              </w:tabs>
              <w:bidi w:val="0"/>
              <w:rPr>
                <w:rFonts w:ascii="Times New Roman" w:hAnsi="Times New Roman"/>
                <w:sz w:val="24"/>
                <w:szCs w:val="24"/>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D14925" w:rsidRPr="00D14925" w:rsidP="00D14925">
            <w:pPr>
              <w:pStyle w:val="ListParagraph"/>
              <w:widowControl w:val="0"/>
              <w:numPr>
                <w:numId w:val="19"/>
              </w:numPr>
              <w:tabs>
                <w:tab w:val="left" w:pos="360"/>
              </w:tabs>
              <w:autoSpaceDE w:val="0"/>
              <w:autoSpaceDN w:val="0"/>
              <w:bidi w:val="0"/>
              <w:adjustRightInd w:val="0"/>
              <w:spacing w:after="0" w:line="240" w:lineRule="auto"/>
              <w:rPr>
                <w:rFonts w:ascii="Times New Roman" w:hAnsi="Times New Roman"/>
                <w:sz w:val="24"/>
                <w:szCs w:val="24"/>
              </w:rPr>
            </w:pPr>
            <w:r w:rsidRPr="00D14925">
              <w:rPr>
                <w:rFonts w:ascii="Times New Roman" w:hAnsi="Times New Roman"/>
                <w:sz w:val="24"/>
                <w:szCs w:val="24"/>
              </w:rPr>
              <w:t>nie je obsiahnutá v judikatúre Súdneho dvora Európskej únie</w:t>
            </w:r>
          </w:p>
          <w:p w:rsidR="00D14925" w:rsidRPr="00D14925" w:rsidP="00182CC2">
            <w:pPr>
              <w:bidi w:val="0"/>
              <w:spacing w:after="250"/>
              <w:rPr>
                <w:rFonts w:ascii="Times New Roman" w:hAnsi="Times New Roman"/>
                <w:sz w:val="24"/>
                <w:szCs w:val="24"/>
              </w:rPr>
            </w:pPr>
          </w:p>
          <w:p w:rsidR="00D14925" w:rsidRPr="00D14925" w:rsidP="00182CC2">
            <w:pPr>
              <w:pStyle w:val="ListParagraph"/>
              <w:tabs>
                <w:tab w:val="left" w:pos="360"/>
              </w:tabs>
              <w:bidi w:val="0"/>
              <w:ind w:left="360"/>
              <w:rPr>
                <w:rFonts w:ascii="Times New Roman" w:hAnsi="Times New Roman"/>
                <w:sz w:val="24"/>
                <w:szCs w:val="24"/>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D14925" w:rsidRPr="00D14925" w:rsidP="00182CC2">
            <w:pPr>
              <w:tabs>
                <w:tab w:val="left" w:pos="360"/>
              </w:tabs>
              <w:bidi w:val="0"/>
              <w:rPr>
                <w:rFonts w:ascii="Times New Roman" w:hAnsi="Times New Roman"/>
                <w:b/>
                <w:sz w:val="24"/>
                <w:szCs w:val="24"/>
              </w:rPr>
            </w:pPr>
          </w:p>
        </w:tc>
        <w:tc>
          <w:tcPr>
            <w:tcW w:w="9627" w:type="dxa"/>
            <w:tcBorders>
              <w:top w:val="none" w:sz="0" w:space="0" w:color="auto"/>
              <w:left w:val="none" w:sz="0" w:space="0" w:color="auto"/>
              <w:bottom w:val="none" w:sz="0" w:space="0" w:color="auto"/>
              <w:right w:val="none" w:sz="0" w:space="0" w:color="auto"/>
            </w:tcBorders>
            <w:textDirection w:val="lrTb"/>
            <w:vAlign w:val="top"/>
          </w:tcPr>
          <w:p w:rsidR="00D14925" w:rsidRPr="00D14925" w:rsidP="00182CC2">
            <w:pPr>
              <w:tabs>
                <w:tab w:val="left" w:pos="360"/>
              </w:tabs>
              <w:bidi w:val="0"/>
              <w:rPr>
                <w:rFonts w:ascii="Times New Roman" w:hAnsi="Times New Roman"/>
                <w:sz w:val="24"/>
                <w:szCs w:val="24"/>
              </w:rPr>
            </w:pPr>
          </w:p>
        </w:tc>
      </w:tr>
    </w:tbl>
    <w:p w:rsidR="00D14925" w:rsidRPr="00D14925" w:rsidP="00D14925">
      <w:pPr>
        <w:tabs>
          <w:tab w:val="left" w:pos="360"/>
        </w:tabs>
        <w:bidi w:val="0"/>
        <w:rPr>
          <w:rFonts w:ascii="Times New Roman" w:hAnsi="Times New Roman"/>
          <w:sz w:val="24"/>
          <w:szCs w:val="24"/>
        </w:rPr>
      </w:pPr>
    </w:p>
    <w:p w:rsidR="00D14925" w:rsidRPr="00D14925" w:rsidP="00D14925">
      <w:pPr>
        <w:tabs>
          <w:tab w:val="left" w:pos="360"/>
        </w:tabs>
        <w:bidi w:val="0"/>
        <w:jc w:val="both"/>
        <w:rPr>
          <w:rFonts w:ascii="Times New Roman" w:hAnsi="Times New Roman"/>
          <w:sz w:val="24"/>
          <w:szCs w:val="24"/>
        </w:rPr>
      </w:pPr>
    </w:p>
    <w:tbl>
      <w:tblPr>
        <w:tblStyle w:val="TableNormal"/>
        <w:tblW w:w="5000" w:type="pct"/>
        <w:jc w:val="center"/>
        <w:tblCellMar>
          <w:left w:w="0" w:type="dxa"/>
          <w:right w:w="0" w:type="dxa"/>
        </w:tblCellMar>
        <w:tblLook w:val="04A0"/>
      </w:tblPr>
      <w:tblGrid>
        <w:gridCol w:w="470"/>
        <w:gridCol w:w="282"/>
        <w:gridCol w:w="8654"/>
      </w:tblGrid>
      <w:tr>
        <w:tblPrEx>
          <w:tblW w:w="5000" w:type="pct"/>
          <w:jc w:val="center"/>
          <w:tblCellMar>
            <w:left w:w="0" w:type="dxa"/>
            <w:right w:w="0" w:type="dxa"/>
          </w:tblCellMar>
          <w:tblLook w:val="04A0"/>
        </w:tblPrEx>
        <w:trPr>
          <w:jc w:val="center"/>
        </w:trPr>
        <w:tc>
          <w:tcPr>
            <w:tcW w:w="250" w:type="pct"/>
            <w:tcBorders>
              <w:top w:val="nil"/>
              <w:left w:val="nil"/>
              <w:bottom w:val="nil"/>
              <w:right w:val="nil"/>
            </w:tcBorders>
            <w:textDirection w:val="lrTb"/>
            <w:vAlign w:val="top"/>
            <w:hideMark/>
          </w:tcPr>
          <w:p w:rsidR="00D14925" w:rsidRPr="00D14925" w:rsidP="00182CC2">
            <w:pPr>
              <w:bidi w:val="0"/>
              <w:rPr>
                <w:rFonts w:ascii="Times New Roman" w:hAnsi="Times New Roman"/>
                <w:b/>
                <w:bCs/>
                <w:sz w:val="24"/>
                <w:szCs w:val="24"/>
              </w:rPr>
            </w:pPr>
            <w:r w:rsidRPr="00D14925">
              <w:rPr>
                <w:rFonts w:ascii="Times New Roman" w:hAnsi="Times New Roman"/>
                <w:b/>
                <w:bCs/>
                <w:sz w:val="24"/>
                <w:szCs w:val="24"/>
              </w:rPr>
              <w:t>4.</w:t>
            </w:r>
          </w:p>
        </w:tc>
        <w:tc>
          <w:tcPr>
            <w:tcW w:w="4750" w:type="pct"/>
            <w:gridSpan w:val="2"/>
            <w:tcBorders>
              <w:top w:val="nil"/>
              <w:left w:val="nil"/>
              <w:bottom w:val="nil"/>
              <w:right w:val="nil"/>
            </w:tcBorders>
            <w:textDirection w:val="lrTb"/>
            <w:vAlign w:val="center"/>
            <w:hideMark/>
          </w:tcPr>
          <w:p w:rsidR="00D14925" w:rsidRPr="00D14925" w:rsidP="00182CC2">
            <w:pPr>
              <w:bidi w:val="0"/>
              <w:spacing w:after="250"/>
              <w:rPr>
                <w:rFonts w:ascii="Times New Roman" w:hAnsi="Times New Roman"/>
                <w:b/>
                <w:bCs/>
                <w:sz w:val="24"/>
                <w:szCs w:val="24"/>
              </w:rPr>
            </w:pPr>
            <w:r w:rsidRPr="00D14925">
              <w:rPr>
                <w:rFonts w:ascii="Times New Roman" w:hAnsi="Times New Roman"/>
                <w:b/>
                <w:bCs/>
                <w:sz w:val="24"/>
                <w:szCs w:val="24"/>
              </w:rPr>
              <w:t>Záväzky Slovenskej republiky vo vzťahu k Európskej únii:</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D14925" w:rsidRPr="00D14925" w:rsidP="00182CC2">
            <w:pPr>
              <w:bidi w:val="0"/>
              <w:spacing w:after="250"/>
              <w:rPr>
                <w:rFonts w:ascii="Times New Roman" w:hAnsi="Times New Roman"/>
                <w:b/>
                <w:bCs/>
                <w:sz w:val="24"/>
                <w:szCs w:val="24"/>
              </w:rPr>
            </w:pPr>
          </w:p>
        </w:tc>
        <w:tc>
          <w:tcPr>
            <w:tcW w:w="150" w:type="pct"/>
            <w:tcBorders>
              <w:top w:val="nil"/>
              <w:left w:val="nil"/>
              <w:bottom w:val="nil"/>
              <w:right w:val="nil"/>
            </w:tcBorders>
            <w:textDirection w:val="lrTb"/>
            <w:vAlign w:val="top"/>
            <w:hideMark/>
          </w:tcPr>
          <w:p w:rsidR="00D14925" w:rsidRPr="00D14925" w:rsidP="00182CC2">
            <w:pPr>
              <w:bidi w:val="0"/>
              <w:rPr>
                <w:rFonts w:ascii="Times New Roman" w:hAnsi="Times New Roman"/>
                <w:sz w:val="24"/>
                <w:szCs w:val="24"/>
              </w:rPr>
            </w:pPr>
            <w:r w:rsidRPr="00D14925">
              <w:rPr>
                <w:rFonts w:ascii="Times New Roman" w:hAnsi="Times New Roman"/>
                <w:sz w:val="24"/>
                <w:szCs w:val="24"/>
              </w:rPr>
              <w:t>a)</w:t>
            </w:r>
          </w:p>
        </w:tc>
        <w:tc>
          <w:tcPr>
            <w:tcW w:w="0" w:type="auto"/>
            <w:tcBorders>
              <w:top w:val="nil"/>
              <w:left w:val="nil"/>
              <w:bottom w:val="nil"/>
              <w:right w:val="nil"/>
            </w:tcBorders>
            <w:textDirection w:val="lrTb"/>
            <w:vAlign w:val="center"/>
            <w:hideMark/>
          </w:tcPr>
          <w:p w:rsidR="00D14925" w:rsidRPr="00D14925" w:rsidP="00182CC2">
            <w:pPr>
              <w:bidi w:val="0"/>
              <w:spacing w:after="250"/>
              <w:rPr>
                <w:rFonts w:ascii="Times New Roman" w:hAnsi="Times New Roman"/>
                <w:sz w:val="24"/>
                <w:szCs w:val="24"/>
              </w:rPr>
            </w:pPr>
            <w:r w:rsidRPr="00D14925">
              <w:rPr>
                <w:rFonts w:ascii="Times New Roman" w:hAnsi="Times New Roman"/>
                <w:sz w:val="24"/>
                <w:szCs w:val="24"/>
              </w:rPr>
              <w:t>lehota na prebratie smernice alebo lehota na implementáciu nariadenia alebo rozhodnutia</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D14925" w:rsidRPr="00D14925" w:rsidP="00182CC2">
            <w:pPr>
              <w:bidi w:val="0"/>
              <w:spacing w:after="250"/>
              <w:rPr>
                <w:rFonts w:ascii="Times New Roman" w:hAnsi="Times New Roman"/>
                <w:sz w:val="24"/>
                <w:szCs w:val="24"/>
              </w:rPr>
            </w:pPr>
          </w:p>
        </w:tc>
        <w:tc>
          <w:tcPr>
            <w:tcW w:w="0" w:type="auto"/>
            <w:tcBorders>
              <w:top w:val="nil"/>
              <w:left w:val="nil"/>
              <w:bottom w:val="nil"/>
              <w:right w:val="nil"/>
            </w:tcBorders>
            <w:textDirection w:val="lrTb"/>
            <w:vAlign w:val="top"/>
            <w:hideMark/>
          </w:tcPr>
          <w:p w:rsidR="00D14925" w:rsidRPr="00D14925" w:rsidP="00182CC2">
            <w:pPr>
              <w:bidi w:val="0"/>
              <w:rPr>
                <w:rFonts w:ascii="Times New Roman" w:hAnsi="Times New Roman"/>
                <w:sz w:val="24"/>
                <w:szCs w:val="24"/>
              </w:rPr>
            </w:pPr>
          </w:p>
        </w:tc>
        <w:tc>
          <w:tcPr>
            <w:tcW w:w="0" w:type="auto"/>
            <w:tcBorders>
              <w:top w:val="nil"/>
              <w:left w:val="nil"/>
              <w:bottom w:val="nil"/>
              <w:right w:val="nil"/>
            </w:tcBorders>
            <w:textDirection w:val="lrTb"/>
            <w:vAlign w:val="center"/>
            <w:hideMark/>
          </w:tcPr>
          <w:p w:rsidR="00D14925" w:rsidRPr="00D14925" w:rsidP="00182CC2">
            <w:pPr>
              <w:bidi w:val="0"/>
              <w:spacing w:after="250"/>
              <w:rPr>
                <w:rFonts w:ascii="Times New Roman" w:hAnsi="Times New Roman"/>
                <w:sz w:val="24"/>
                <w:szCs w:val="24"/>
              </w:rPr>
            </w:pPr>
            <w:r w:rsidRPr="00D14925">
              <w:rPr>
                <w:rFonts w:ascii="Times New Roman" w:hAnsi="Times New Roman"/>
                <w:sz w:val="24"/>
                <w:szCs w:val="24"/>
              </w:rPr>
              <w:t>bezpredmetné</w:t>
              <w:br/>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D14925" w:rsidRPr="00D14925" w:rsidP="00182CC2">
            <w:pPr>
              <w:bidi w:val="0"/>
              <w:spacing w:after="250"/>
              <w:rPr>
                <w:rFonts w:ascii="Times New Roman" w:hAnsi="Times New Roman"/>
                <w:sz w:val="24"/>
                <w:szCs w:val="24"/>
              </w:rPr>
            </w:pPr>
          </w:p>
        </w:tc>
        <w:tc>
          <w:tcPr>
            <w:tcW w:w="0" w:type="auto"/>
            <w:tcBorders>
              <w:top w:val="nil"/>
              <w:left w:val="nil"/>
              <w:bottom w:val="nil"/>
              <w:right w:val="nil"/>
            </w:tcBorders>
            <w:textDirection w:val="lrTb"/>
            <w:vAlign w:val="top"/>
            <w:hideMark/>
          </w:tcPr>
          <w:p w:rsidR="00D14925" w:rsidRPr="00D14925" w:rsidP="00182CC2">
            <w:pPr>
              <w:bidi w:val="0"/>
              <w:rPr>
                <w:rFonts w:ascii="Times New Roman" w:hAnsi="Times New Roman"/>
                <w:sz w:val="24"/>
                <w:szCs w:val="24"/>
              </w:rPr>
            </w:pPr>
            <w:r w:rsidRPr="00D14925">
              <w:rPr>
                <w:rFonts w:ascii="Times New Roman" w:hAnsi="Times New Roman"/>
                <w:sz w:val="24"/>
                <w:szCs w:val="24"/>
              </w:rPr>
              <w:t>b)</w:t>
            </w:r>
          </w:p>
        </w:tc>
        <w:tc>
          <w:tcPr>
            <w:tcW w:w="0" w:type="auto"/>
            <w:tcBorders>
              <w:top w:val="nil"/>
              <w:left w:val="nil"/>
              <w:bottom w:val="nil"/>
              <w:right w:val="nil"/>
            </w:tcBorders>
            <w:textDirection w:val="lrTb"/>
            <w:vAlign w:val="center"/>
            <w:hideMark/>
          </w:tcPr>
          <w:p w:rsidR="00D14925" w:rsidRPr="00D14925" w:rsidP="00182CC2">
            <w:pPr>
              <w:bidi w:val="0"/>
              <w:spacing w:after="250"/>
              <w:rPr>
                <w:rFonts w:ascii="Times New Roman" w:hAnsi="Times New Roman"/>
                <w:sz w:val="24"/>
                <w:szCs w:val="24"/>
              </w:rPr>
            </w:pPr>
            <w:r w:rsidRPr="00D14925">
              <w:rPr>
                <w:rFonts w:ascii="Times New Roman" w:hAnsi="Times New Roman"/>
                <w:sz w:val="24"/>
                <w:szCs w:val="24"/>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D14925" w:rsidRPr="00D14925" w:rsidP="00182CC2">
            <w:pPr>
              <w:bidi w:val="0"/>
              <w:spacing w:after="250"/>
              <w:rPr>
                <w:rFonts w:ascii="Times New Roman" w:hAnsi="Times New Roman"/>
                <w:sz w:val="24"/>
                <w:szCs w:val="24"/>
              </w:rPr>
            </w:pPr>
          </w:p>
        </w:tc>
        <w:tc>
          <w:tcPr>
            <w:tcW w:w="0" w:type="auto"/>
            <w:tcBorders>
              <w:top w:val="nil"/>
              <w:left w:val="nil"/>
              <w:bottom w:val="nil"/>
              <w:right w:val="nil"/>
            </w:tcBorders>
            <w:textDirection w:val="lrTb"/>
            <w:vAlign w:val="top"/>
            <w:hideMark/>
          </w:tcPr>
          <w:p w:rsidR="00D14925" w:rsidRPr="00D14925" w:rsidP="00182CC2">
            <w:pPr>
              <w:bidi w:val="0"/>
              <w:rPr>
                <w:rFonts w:ascii="Times New Roman" w:hAnsi="Times New Roman"/>
                <w:sz w:val="24"/>
                <w:szCs w:val="24"/>
              </w:rPr>
            </w:pPr>
          </w:p>
        </w:tc>
        <w:tc>
          <w:tcPr>
            <w:tcW w:w="0" w:type="auto"/>
            <w:tcBorders>
              <w:top w:val="nil"/>
              <w:left w:val="nil"/>
              <w:bottom w:val="nil"/>
              <w:right w:val="nil"/>
            </w:tcBorders>
            <w:textDirection w:val="lrTb"/>
            <w:vAlign w:val="center"/>
            <w:hideMark/>
          </w:tcPr>
          <w:p w:rsidR="00D14925" w:rsidRPr="00D14925" w:rsidP="00182CC2">
            <w:pPr>
              <w:bidi w:val="0"/>
              <w:spacing w:after="250"/>
              <w:rPr>
                <w:rFonts w:ascii="Times New Roman" w:hAnsi="Times New Roman"/>
                <w:sz w:val="24"/>
                <w:szCs w:val="24"/>
              </w:rPr>
            </w:pPr>
            <w:r w:rsidRPr="00D14925">
              <w:rPr>
                <w:rFonts w:ascii="Times New Roman" w:hAnsi="Times New Roman"/>
                <w:sz w:val="24"/>
                <w:szCs w:val="24"/>
              </w:rPr>
              <w:t>bezpredmetné</w:t>
              <w:br/>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D14925" w:rsidRPr="00D14925" w:rsidP="00182CC2">
            <w:pPr>
              <w:bidi w:val="0"/>
              <w:spacing w:after="250"/>
              <w:rPr>
                <w:rFonts w:ascii="Times New Roman" w:hAnsi="Times New Roman"/>
                <w:sz w:val="24"/>
                <w:szCs w:val="24"/>
              </w:rPr>
            </w:pPr>
          </w:p>
        </w:tc>
        <w:tc>
          <w:tcPr>
            <w:tcW w:w="0" w:type="auto"/>
            <w:tcBorders>
              <w:top w:val="nil"/>
              <w:left w:val="nil"/>
              <w:bottom w:val="nil"/>
              <w:right w:val="nil"/>
            </w:tcBorders>
            <w:textDirection w:val="lrTb"/>
            <w:vAlign w:val="top"/>
            <w:hideMark/>
          </w:tcPr>
          <w:p w:rsidR="00D14925" w:rsidRPr="00D14925" w:rsidP="00182CC2">
            <w:pPr>
              <w:bidi w:val="0"/>
              <w:rPr>
                <w:rFonts w:ascii="Times New Roman" w:hAnsi="Times New Roman"/>
                <w:sz w:val="24"/>
                <w:szCs w:val="24"/>
              </w:rPr>
            </w:pPr>
            <w:r w:rsidRPr="00D14925">
              <w:rPr>
                <w:rFonts w:ascii="Times New Roman" w:hAnsi="Times New Roman"/>
                <w:sz w:val="24"/>
                <w:szCs w:val="24"/>
              </w:rPr>
              <w:t>c)</w:t>
            </w:r>
          </w:p>
        </w:tc>
        <w:tc>
          <w:tcPr>
            <w:tcW w:w="0" w:type="auto"/>
            <w:tcBorders>
              <w:top w:val="nil"/>
              <w:left w:val="nil"/>
              <w:bottom w:val="nil"/>
              <w:right w:val="nil"/>
            </w:tcBorders>
            <w:textDirection w:val="lrTb"/>
            <w:vAlign w:val="center"/>
            <w:hideMark/>
          </w:tcPr>
          <w:p w:rsidR="00D14925" w:rsidRPr="00D14925" w:rsidP="00182CC2">
            <w:pPr>
              <w:bidi w:val="0"/>
              <w:spacing w:after="250"/>
              <w:rPr>
                <w:rFonts w:ascii="Times New Roman" w:hAnsi="Times New Roman"/>
                <w:sz w:val="24"/>
                <w:szCs w:val="24"/>
              </w:rPr>
            </w:pPr>
            <w:r w:rsidRPr="00D14925">
              <w:rPr>
                <w:rFonts w:ascii="Times New Roman" w:hAnsi="Times New Roman"/>
                <w:sz w:val="24"/>
                <w:szCs w:val="24"/>
              </w:rPr>
              <w:t>informácia o konaní začatom proti Slovenskej republike o porušení podľa čl. 258 až 260 Zmluvy o fungovaní Európskej únie</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D14925" w:rsidRPr="00D14925" w:rsidP="00182CC2">
            <w:pPr>
              <w:bidi w:val="0"/>
              <w:spacing w:after="250"/>
              <w:rPr>
                <w:rFonts w:ascii="Times New Roman" w:hAnsi="Times New Roman"/>
                <w:sz w:val="24"/>
                <w:szCs w:val="24"/>
              </w:rPr>
            </w:pPr>
          </w:p>
        </w:tc>
        <w:tc>
          <w:tcPr>
            <w:tcW w:w="0" w:type="auto"/>
            <w:tcBorders>
              <w:top w:val="nil"/>
              <w:left w:val="nil"/>
              <w:bottom w:val="nil"/>
              <w:right w:val="nil"/>
            </w:tcBorders>
            <w:textDirection w:val="lrTb"/>
            <w:vAlign w:val="top"/>
            <w:hideMark/>
          </w:tcPr>
          <w:p w:rsidR="00D14925" w:rsidRPr="00D14925" w:rsidP="00182CC2">
            <w:pPr>
              <w:bidi w:val="0"/>
              <w:rPr>
                <w:rFonts w:ascii="Times New Roman" w:hAnsi="Times New Roman"/>
                <w:sz w:val="24"/>
                <w:szCs w:val="24"/>
              </w:rPr>
            </w:pPr>
          </w:p>
        </w:tc>
        <w:tc>
          <w:tcPr>
            <w:tcW w:w="0" w:type="auto"/>
            <w:tcBorders>
              <w:top w:val="nil"/>
              <w:left w:val="nil"/>
              <w:bottom w:val="nil"/>
              <w:right w:val="nil"/>
            </w:tcBorders>
            <w:textDirection w:val="lrTb"/>
            <w:vAlign w:val="center"/>
            <w:hideMark/>
          </w:tcPr>
          <w:p w:rsidR="00D14925" w:rsidRPr="00D14925" w:rsidP="00182CC2">
            <w:pPr>
              <w:bidi w:val="0"/>
              <w:spacing w:after="250"/>
              <w:rPr>
                <w:rFonts w:ascii="Times New Roman" w:hAnsi="Times New Roman"/>
                <w:sz w:val="24"/>
                <w:szCs w:val="24"/>
              </w:rPr>
            </w:pPr>
            <w:r w:rsidRPr="00D14925">
              <w:rPr>
                <w:rFonts w:ascii="Times New Roman" w:hAnsi="Times New Roman"/>
                <w:sz w:val="24"/>
                <w:szCs w:val="24"/>
              </w:rPr>
              <w:t>bezpredmetné</w:t>
              <w:br/>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D14925" w:rsidRPr="00D14925" w:rsidP="00182CC2">
            <w:pPr>
              <w:bidi w:val="0"/>
              <w:spacing w:after="250"/>
              <w:rPr>
                <w:rFonts w:ascii="Times New Roman" w:hAnsi="Times New Roman"/>
                <w:sz w:val="24"/>
                <w:szCs w:val="24"/>
              </w:rPr>
            </w:pPr>
          </w:p>
        </w:tc>
        <w:tc>
          <w:tcPr>
            <w:tcW w:w="0" w:type="auto"/>
            <w:tcBorders>
              <w:top w:val="nil"/>
              <w:left w:val="nil"/>
              <w:bottom w:val="nil"/>
              <w:right w:val="nil"/>
            </w:tcBorders>
            <w:textDirection w:val="lrTb"/>
            <w:vAlign w:val="top"/>
            <w:hideMark/>
          </w:tcPr>
          <w:p w:rsidR="00D14925" w:rsidRPr="00D14925" w:rsidP="00182CC2">
            <w:pPr>
              <w:bidi w:val="0"/>
              <w:rPr>
                <w:rFonts w:ascii="Times New Roman" w:hAnsi="Times New Roman"/>
                <w:sz w:val="24"/>
                <w:szCs w:val="24"/>
              </w:rPr>
            </w:pPr>
            <w:r w:rsidRPr="00D14925">
              <w:rPr>
                <w:rFonts w:ascii="Times New Roman" w:hAnsi="Times New Roman"/>
                <w:sz w:val="24"/>
                <w:szCs w:val="24"/>
              </w:rPr>
              <w:t>d)</w:t>
            </w:r>
          </w:p>
        </w:tc>
        <w:tc>
          <w:tcPr>
            <w:tcW w:w="0" w:type="auto"/>
            <w:tcBorders>
              <w:top w:val="nil"/>
              <w:left w:val="nil"/>
              <w:bottom w:val="nil"/>
              <w:right w:val="nil"/>
            </w:tcBorders>
            <w:textDirection w:val="lrTb"/>
            <w:vAlign w:val="center"/>
            <w:hideMark/>
          </w:tcPr>
          <w:p w:rsidR="00D14925" w:rsidRPr="00D14925" w:rsidP="00182CC2">
            <w:pPr>
              <w:bidi w:val="0"/>
              <w:spacing w:after="250"/>
              <w:rPr>
                <w:rFonts w:ascii="Times New Roman" w:hAnsi="Times New Roman"/>
                <w:sz w:val="24"/>
                <w:szCs w:val="24"/>
              </w:rPr>
            </w:pPr>
            <w:r w:rsidRPr="00D14925">
              <w:rPr>
                <w:rFonts w:ascii="Times New Roman" w:hAnsi="Times New Roman"/>
                <w:sz w:val="24"/>
                <w:szCs w:val="24"/>
              </w:rPr>
              <w:t>informácia o právnych predpisoch, v ktorých sú preberané smernice už prebraté spolu s uvedením rozsahu tohto prebratia</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D14925" w:rsidRPr="00D14925" w:rsidP="00182CC2">
            <w:pPr>
              <w:bidi w:val="0"/>
              <w:spacing w:after="250"/>
              <w:rPr>
                <w:rFonts w:ascii="Times New Roman" w:hAnsi="Times New Roman"/>
                <w:sz w:val="24"/>
                <w:szCs w:val="24"/>
              </w:rPr>
            </w:pPr>
          </w:p>
        </w:tc>
        <w:tc>
          <w:tcPr>
            <w:tcW w:w="0" w:type="auto"/>
            <w:tcBorders>
              <w:top w:val="nil"/>
              <w:left w:val="nil"/>
              <w:bottom w:val="nil"/>
              <w:right w:val="nil"/>
            </w:tcBorders>
            <w:textDirection w:val="lrTb"/>
            <w:vAlign w:val="top"/>
            <w:hideMark/>
          </w:tcPr>
          <w:p w:rsidR="00D14925" w:rsidRPr="00D14925" w:rsidP="00182CC2">
            <w:pPr>
              <w:bidi w:val="0"/>
              <w:rPr>
                <w:rFonts w:ascii="Times New Roman" w:hAnsi="Times New Roman"/>
                <w:sz w:val="24"/>
                <w:szCs w:val="24"/>
              </w:rPr>
            </w:pPr>
          </w:p>
        </w:tc>
        <w:tc>
          <w:tcPr>
            <w:tcW w:w="0" w:type="auto"/>
            <w:tcBorders>
              <w:top w:val="nil"/>
              <w:left w:val="nil"/>
              <w:bottom w:val="nil"/>
              <w:right w:val="nil"/>
            </w:tcBorders>
            <w:textDirection w:val="lrTb"/>
            <w:vAlign w:val="center"/>
            <w:hideMark/>
          </w:tcPr>
          <w:p w:rsidR="00D14925" w:rsidRPr="00D14925" w:rsidP="00182CC2">
            <w:pPr>
              <w:bidi w:val="0"/>
              <w:spacing w:after="250"/>
              <w:rPr>
                <w:rFonts w:ascii="Times New Roman" w:hAnsi="Times New Roman"/>
                <w:sz w:val="24"/>
                <w:szCs w:val="24"/>
              </w:rPr>
            </w:pPr>
            <w:r w:rsidRPr="00D14925">
              <w:rPr>
                <w:rFonts w:ascii="Times New Roman" w:hAnsi="Times New Roman"/>
                <w:sz w:val="24"/>
                <w:szCs w:val="24"/>
              </w:rPr>
              <w:t>bezpredmetné</w:t>
              <w:br/>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D14925" w:rsidRPr="00D14925" w:rsidP="00182CC2">
            <w:pPr>
              <w:bidi w:val="0"/>
              <w:rPr>
                <w:rFonts w:ascii="Times New Roman" w:hAnsi="Times New Roman"/>
                <w:b/>
                <w:bCs/>
                <w:sz w:val="24"/>
                <w:szCs w:val="24"/>
              </w:rPr>
            </w:pPr>
            <w:r w:rsidRPr="00D14925">
              <w:rPr>
                <w:rFonts w:ascii="Times New Roman" w:hAnsi="Times New Roman"/>
                <w:b/>
                <w:bCs/>
                <w:sz w:val="24"/>
                <w:szCs w:val="24"/>
              </w:rPr>
              <w:t>5.</w:t>
            </w:r>
          </w:p>
        </w:tc>
        <w:tc>
          <w:tcPr>
            <w:tcW w:w="0" w:type="auto"/>
            <w:gridSpan w:val="2"/>
            <w:tcBorders>
              <w:top w:val="nil"/>
              <w:left w:val="nil"/>
              <w:bottom w:val="nil"/>
              <w:right w:val="nil"/>
            </w:tcBorders>
            <w:textDirection w:val="lrTb"/>
            <w:vAlign w:val="top"/>
            <w:hideMark/>
          </w:tcPr>
          <w:p w:rsidR="00D14925" w:rsidRPr="00D14925" w:rsidP="00182CC2">
            <w:pPr>
              <w:bidi w:val="0"/>
              <w:spacing w:after="250"/>
              <w:rPr>
                <w:rFonts w:ascii="Times New Roman" w:hAnsi="Times New Roman"/>
                <w:b/>
                <w:bCs/>
                <w:sz w:val="24"/>
                <w:szCs w:val="24"/>
              </w:rPr>
            </w:pPr>
            <w:r w:rsidRPr="00D14925">
              <w:rPr>
                <w:rFonts w:ascii="Times New Roman" w:hAnsi="Times New Roman"/>
                <w:b/>
                <w:bCs/>
                <w:sz w:val="24"/>
                <w:szCs w:val="24"/>
              </w:rPr>
              <w:t>Stupeň zlučiteľnosti návrhu právneho predpisu s právom Európskej únie:</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D14925" w:rsidRPr="00D14925" w:rsidP="00182CC2">
            <w:pPr>
              <w:bidi w:val="0"/>
              <w:spacing w:after="250"/>
              <w:rPr>
                <w:rFonts w:ascii="Times New Roman" w:hAnsi="Times New Roman"/>
                <w:b/>
                <w:bCs/>
                <w:sz w:val="24"/>
                <w:szCs w:val="24"/>
              </w:rPr>
            </w:pPr>
          </w:p>
        </w:tc>
        <w:tc>
          <w:tcPr>
            <w:tcW w:w="0" w:type="auto"/>
            <w:tcBorders>
              <w:top w:val="nil"/>
              <w:left w:val="nil"/>
              <w:bottom w:val="nil"/>
              <w:right w:val="nil"/>
            </w:tcBorders>
            <w:textDirection w:val="lrTb"/>
            <w:vAlign w:val="top"/>
            <w:hideMark/>
          </w:tcPr>
          <w:p w:rsidR="00D14925" w:rsidRPr="00D14925" w:rsidP="00182CC2">
            <w:pPr>
              <w:bidi w:val="0"/>
              <w:rPr>
                <w:rFonts w:ascii="Times New Roman" w:hAnsi="Times New Roman"/>
                <w:sz w:val="24"/>
                <w:szCs w:val="24"/>
              </w:rPr>
            </w:pPr>
          </w:p>
        </w:tc>
        <w:tc>
          <w:tcPr>
            <w:tcW w:w="0" w:type="auto"/>
            <w:tcBorders>
              <w:top w:val="nil"/>
              <w:left w:val="nil"/>
              <w:bottom w:val="nil"/>
              <w:right w:val="nil"/>
            </w:tcBorders>
            <w:textDirection w:val="lrTb"/>
            <w:vAlign w:val="center"/>
            <w:hideMark/>
          </w:tcPr>
          <w:p w:rsidR="00D14925" w:rsidRPr="00D14925" w:rsidP="00182CC2">
            <w:pPr>
              <w:bidi w:val="0"/>
              <w:spacing w:after="250"/>
              <w:rPr>
                <w:rFonts w:ascii="Times New Roman" w:hAnsi="Times New Roman"/>
                <w:sz w:val="24"/>
                <w:szCs w:val="24"/>
              </w:rPr>
            </w:pPr>
            <w:r w:rsidRPr="00D14925">
              <w:rPr>
                <w:rFonts w:ascii="Times New Roman" w:hAnsi="Times New Roman"/>
                <w:sz w:val="24"/>
                <w:szCs w:val="24"/>
              </w:rPr>
              <w:t>úplný</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D14925" w:rsidRPr="00D14925" w:rsidP="00182CC2">
            <w:pPr>
              <w:bidi w:val="0"/>
              <w:rPr>
                <w:rFonts w:ascii="Times New Roman" w:hAnsi="Times New Roman"/>
                <w:b/>
                <w:bCs/>
                <w:sz w:val="24"/>
                <w:szCs w:val="24"/>
              </w:rPr>
            </w:pPr>
            <w:r w:rsidRPr="00D14925">
              <w:rPr>
                <w:rFonts w:ascii="Times New Roman" w:hAnsi="Times New Roman"/>
                <w:b/>
                <w:bCs/>
                <w:sz w:val="24"/>
                <w:szCs w:val="24"/>
              </w:rPr>
              <w:t>6.</w:t>
            </w:r>
          </w:p>
        </w:tc>
        <w:tc>
          <w:tcPr>
            <w:tcW w:w="0" w:type="auto"/>
            <w:gridSpan w:val="2"/>
            <w:tcBorders>
              <w:top w:val="nil"/>
              <w:left w:val="nil"/>
              <w:bottom w:val="nil"/>
              <w:right w:val="nil"/>
            </w:tcBorders>
            <w:textDirection w:val="lrTb"/>
            <w:vAlign w:val="top"/>
            <w:hideMark/>
          </w:tcPr>
          <w:p w:rsidR="00D14925" w:rsidRPr="00D14925" w:rsidP="00182CC2">
            <w:pPr>
              <w:bidi w:val="0"/>
              <w:spacing w:after="250"/>
              <w:rPr>
                <w:rFonts w:ascii="Times New Roman" w:hAnsi="Times New Roman"/>
                <w:b/>
                <w:bCs/>
                <w:sz w:val="24"/>
                <w:szCs w:val="24"/>
              </w:rPr>
            </w:pPr>
            <w:r w:rsidRPr="00D14925">
              <w:rPr>
                <w:rFonts w:ascii="Times New Roman" w:hAnsi="Times New Roman"/>
                <w:b/>
                <w:bCs/>
                <w:sz w:val="24"/>
                <w:szCs w:val="24"/>
              </w:rPr>
              <w:t>Gestor a spolupracujúce rezorty:</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D14925" w:rsidRPr="00D14925" w:rsidP="00182CC2">
            <w:pPr>
              <w:bidi w:val="0"/>
              <w:spacing w:after="250"/>
              <w:rPr>
                <w:rFonts w:ascii="Times New Roman" w:hAnsi="Times New Roman"/>
                <w:b/>
                <w:bCs/>
                <w:sz w:val="24"/>
                <w:szCs w:val="24"/>
              </w:rPr>
            </w:pPr>
          </w:p>
        </w:tc>
        <w:tc>
          <w:tcPr>
            <w:tcW w:w="0" w:type="auto"/>
            <w:tcBorders>
              <w:top w:val="nil"/>
              <w:left w:val="nil"/>
              <w:bottom w:val="nil"/>
              <w:right w:val="nil"/>
            </w:tcBorders>
            <w:textDirection w:val="lrTb"/>
            <w:vAlign w:val="top"/>
            <w:hideMark/>
          </w:tcPr>
          <w:p w:rsidR="00D14925" w:rsidRPr="00D14925" w:rsidP="00182CC2">
            <w:pPr>
              <w:bidi w:val="0"/>
              <w:rPr>
                <w:rFonts w:ascii="Times New Roman" w:hAnsi="Times New Roman"/>
                <w:sz w:val="24"/>
                <w:szCs w:val="24"/>
              </w:rPr>
            </w:pPr>
          </w:p>
        </w:tc>
        <w:tc>
          <w:tcPr>
            <w:tcW w:w="0" w:type="auto"/>
            <w:tcBorders>
              <w:top w:val="nil"/>
              <w:left w:val="nil"/>
              <w:bottom w:val="nil"/>
              <w:right w:val="nil"/>
            </w:tcBorders>
            <w:textDirection w:val="lrTb"/>
            <w:vAlign w:val="center"/>
            <w:hideMark/>
          </w:tcPr>
          <w:p w:rsidR="00D14925" w:rsidRPr="00D14925" w:rsidP="00182CC2">
            <w:pPr>
              <w:bidi w:val="0"/>
              <w:spacing w:after="250"/>
              <w:rPr>
                <w:rFonts w:ascii="Times New Roman" w:hAnsi="Times New Roman"/>
                <w:sz w:val="24"/>
                <w:szCs w:val="24"/>
              </w:rPr>
            </w:pPr>
            <w:r w:rsidRPr="00D14925">
              <w:rPr>
                <w:rFonts w:ascii="Times New Roman" w:hAnsi="Times New Roman"/>
                <w:sz w:val="24"/>
                <w:szCs w:val="24"/>
              </w:rPr>
              <w:t>Úrad podpredsedu vlády Slovenskej republiky pre investície a informatizáciu</w:t>
              <w:br/>
            </w:r>
          </w:p>
        </w:tc>
      </w:tr>
    </w:tbl>
    <w:p w:rsidR="00D14925" w:rsidRPr="00D14925" w:rsidP="00D14925">
      <w:pPr>
        <w:tabs>
          <w:tab w:val="left" w:pos="360"/>
        </w:tabs>
        <w:bidi w:val="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P="00880272">
      <w:pPr>
        <w:pStyle w:val="Odsekzoznamu1"/>
        <w:bidi w:val="0"/>
        <w:spacing w:after="0"/>
        <w:ind w:left="0"/>
        <w:jc w:val="both"/>
        <w:rPr>
          <w:rFonts w:ascii="Times New Roman" w:hAnsi="Times New Roman"/>
          <w:sz w:val="24"/>
          <w:szCs w:val="24"/>
        </w:rPr>
      </w:pPr>
    </w:p>
    <w:p w:rsidR="00D14925" w:rsidRPr="00611B30" w:rsidP="00D14925">
      <w:pPr>
        <w:bidi w:val="0"/>
        <w:spacing w:after="0"/>
        <w:jc w:val="center"/>
        <w:rPr>
          <w:rFonts w:ascii="Times New Roman" w:hAnsi="Times New Roman"/>
          <w:b/>
          <w:caps/>
          <w:spacing w:val="30"/>
          <w:sz w:val="24"/>
          <w:szCs w:val="24"/>
        </w:rPr>
      </w:pPr>
      <w:r w:rsidRPr="00611B30">
        <w:rPr>
          <w:rFonts w:ascii="Times New Roman" w:hAnsi="Times New Roman"/>
          <w:b/>
          <w:caps/>
          <w:spacing w:val="30"/>
          <w:sz w:val="24"/>
          <w:szCs w:val="24"/>
        </w:rPr>
        <w:t>Dôvodová správa</w:t>
      </w:r>
    </w:p>
    <w:p w:rsidR="00D14925" w:rsidP="00D14925">
      <w:pPr>
        <w:pStyle w:val="Odsekzoznamu1"/>
        <w:bidi w:val="0"/>
        <w:spacing w:after="0"/>
        <w:ind w:left="426"/>
        <w:jc w:val="both"/>
        <w:rPr>
          <w:rFonts w:ascii="Times New Roman" w:hAnsi="Times New Roman"/>
          <w:b/>
          <w:sz w:val="24"/>
          <w:szCs w:val="24"/>
        </w:rPr>
      </w:pPr>
    </w:p>
    <w:p w:rsidR="00D14925" w:rsidP="00D14925">
      <w:pPr>
        <w:pStyle w:val="Odsekzoznamu1"/>
        <w:bidi w:val="0"/>
        <w:spacing w:after="0"/>
        <w:ind w:left="426"/>
        <w:jc w:val="both"/>
        <w:rPr>
          <w:rFonts w:ascii="Times New Roman" w:hAnsi="Times New Roman"/>
          <w:b/>
          <w:sz w:val="24"/>
          <w:szCs w:val="24"/>
        </w:rPr>
      </w:pPr>
    </w:p>
    <w:p w:rsidR="00D14925" w:rsidRPr="00A84A05" w:rsidP="00D14925">
      <w:pPr>
        <w:pStyle w:val="Odsekzoznamu1"/>
        <w:bidi w:val="0"/>
        <w:spacing w:after="0"/>
        <w:ind w:left="0"/>
        <w:jc w:val="both"/>
        <w:rPr>
          <w:rFonts w:ascii="Times New Roman" w:hAnsi="Times New Roman"/>
          <w:b/>
          <w:sz w:val="24"/>
          <w:szCs w:val="24"/>
        </w:rPr>
      </w:pPr>
      <w:r>
        <w:rPr>
          <w:rFonts w:ascii="Times New Roman" w:hAnsi="Times New Roman"/>
          <w:b/>
          <w:sz w:val="24"/>
          <w:szCs w:val="24"/>
        </w:rPr>
        <w:t xml:space="preserve">B. </w:t>
      </w:r>
      <w:r w:rsidRPr="00A84A05">
        <w:rPr>
          <w:rFonts w:ascii="Times New Roman" w:hAnsi="Times New Roman"/>
          <w:b/>
          <w:sz w:val="24"/>
          <w:szCs w:val="24"/>
        </w:rPr>
        <w:t xml:space="preserve">Osobitná časť </w:t>
      </w:r>
    </w:p>
    <w:p w:rsidR="00D14925" w:rsidRPr="00A84A05" w:rsidP="00D14925">
      <w:pPr>
        <w:bidi w:val="0"/>
        <w:spacing w:after="0"/>
        <w:jc w:val="both"/>
        <w:rPr>
          <w:rFonts w:ascii="Times New Roman" w:hAnsi="Times New Roman"/>
          <w:sz w:val="24"/>
          <w:szCs w:val="24"/>
        </w:rPr>
      </w:pPr>
    </w:p>
    <w:p w:rsidR="00D14925" w:rsidRPr="005046A6" w:rsidP="00D14925">
      <w:pPr>
        <w:bidi w:val="0"/>
        <w:spacing w:after="0"/>
        <w:jc w:val="both"/>
        <w:rPr>
          <w:rFonts w:ascii="Times New Roman" w:hAnsi="Times New Roman"/>
          <w:b/>
          <w:sz w:val="24"/>
          <w:szCs w:val="24"/>
        </w:rPr>
      </w:pPr>
      <w:r w:rsidRPr="005046A6">
        <w:rPr>
          <w:rFonts w:ascii="Times New Roman" w:hAnsi="Times New Roman"/>
          <w:b/>
          <w:sz w:val="24"/>
          <w:szCs w:val="24"/>
        </w:rPr>
        <w:t>K § 1</w:t>
      </w:r>
    </w:p>
    <w:p w:rsidR="00D14925" w:rsidRPr="00A84A05" w:rsidP="00D14925">
      <w:pPr>
        <w:bidi w:val="0"/>
        <w:spacing w:after="0"/>
        <w:jc w:val="both"/>
        <w:rPr>
          <w:rFonts w:ascii="Times New Roman" w:hAnsi="Times New Roman"/>
          <w:sz w:val="24"/>
          <w:szCs w:val="24"/>
        </w:rPr>
      </w:pPr>
      <w:r>
        <w:rPr>
          <w:rFonts w:ascii="Times New Roman" w:hAnsi="Times New Roman"/>
          <w:sz w:val="24"/>
          <w:szCs w:val="24"/>
        </w:rPr>
        <w:t>Ustanovenie vymedzuje predmet úpravy návrhu zákona.</w:t>
      </w:r>
    </w:p>
    <w:p w:rsidR="00D14925" w:rsidP="00D14925">
      <w:pPr>
        <w:bidi w:val="0"/>
        <w:spacing w:after="0"/>
        <w:jc w:val="both"/>
        <w:rPr>
          <w:rFonts w:ascii="Times New Roman" w:hAnsi="Times New Roman"/>
          <w:sz w:val="24"/>
          <w:szCs w:val="24"/>
        </w:rPr>
      </w:pPr>
    </w:p>
    <w:p w:rsidR="00D14925" w:rsidRPr="00A84A05" w:rsidP="00D14925">
      <w:pPr>
        <w:bidi w:val="0"/>
        <w:spacing w:after="0"/>
        <w:jc w:val="both"/>
        <w:rPr>
          <w:rFonts w:ascii="Times New Roman" w:hAnsi="Times New Roman"/>
          <w:sz w:val="24"/>
          <w:szCs w:val="24"/>
        </w:rPr>
      </w:pPr>
    </w:p>
    <w:p w:rsidR="00D14925" w:rsidRPr="005046A6" w:rsidP="00D14925">
      <w:pPr>
        <w:bidi w:val="0"/>
        <w:spacing w:after="0"/>
        <w:jc w:val="both"/>
        <w:rPr>
          <w:rFonts w:ascii="Times New Roman" w:hAnsi="Times New Roman"/>
          <w:b/>
          <w:sz w:val="24"/>
          <w:szCs w:val="24"/>
        </w:rPr>
      </w:pPr>
      <w:r w:rsidRPr="005046A6">
        <w:rPr>
          <w:rFonts w:ascii="Times New Roman" w:hAnsi="Times New Roman"/>
          <w:b/>
          <w:sz w:val="24"/>
          <w:szCs w:val="24"/>
        </w:rPr>
        <w:t>K § 2</w:t>
      </w:r>
    </w:p>
    <w:p w:rsidR="00D14925" w:rsidP="00D14925">
      <w:pPr>
        <w:bidi w:val="0"/>
        <w:spacing w:after="0"/>
        <w:jc w:val="both"/>
        <w:rPr>
          <w:rFonts w:ascii="Times New Roman" w:hAnsi="Times New Roman"/>
          <w:sz w:val="24"/>
          <w:szCs w:val="24"/>
        </w:rPr>
      </w:pPr>
      <w:r>
        <w:rPr>
          <w:rFonts w:ascii="Times New Roman" w:hAnsi="Times New Roman"/>
          <w:sz w:val="24"/>
          <w:szCs w:val="24"/>
        </w:rPr>
        <w:t>Ustanovenie vymedzuje rozsah poskytovania dotácii, a to najmä v troch základných oblastiach spadajúcich do pôsobnosti úradu. Oblasť digitálnej agendy - rozvoj informačných a komunikačných technológií, ktoré sú hybnou silou zvyšovania produktivity a rastu v Európskej únii. Podpora rozvoja investičného prostredia, tak aby sa vytvorilo atraktívne prostredie lákajúce zahraničných investorov, ktorí sa svojou činnosťou budú podieľať na ekonomickom raste krajiny, respektíve regiónov. Agenda 2030 schválená u</w:t>
      </w:r>
      <w:r w:rsidRPr="00777279">
        <w:rPr>
          <w:rFonts w:ascii="Times New Roman" w:hAnsi="Times New Roman"/>
          <w:sz w:val="24"/>
          <w:szCs w:val="24"/>
        </w:rPr>
        <w:t>znesením vlády S</w:t>
      </w:r>
      <w:r>
        <w:rPr>
          <w:rFonts w:ascii="Times New Roman" w:hAnsi="Times New Roman"/>
          <w:sz w:val="24"/>
          <w:szCs w:val="24"/>
        </w:rPr>
        <w:t>lovenskej republiky</w:t>
      </w:r>
      <w:r w:rsidRPr="00777279">
        <w:rPr>
          <w:rFonts w:ascii="Times New Roman" w:hAnsi="Times New Roman"/>
          <w:sz w:val="24"/>
          <w:szCs w:val="24"/>
        </w:rPr>
        <w:t xml:space="preserve"> č. 350 z 24. júla 2017</w:t>
      </w:r>
      <w:r>
        <w:rPr>
          <w:rFonts w:ascii="Times New Roman" w:hAnsi="Times New Roman"/>
          <w:sz w:val="24"/>
          <w:szCs w:val="24"/>
        </w:rPr>
        <w:t>, ktorým</w:t>
      </w:r>
      <w:r w:rsidRPr="00777279">
        <w:rPr>
          <w:rFonts w:ascii="Times New Roman" w:hAnsi="Times New Roman"/>
          <w:sz w:val="24"/>
          <w:szCs w:val="24"/>
        </w:rPr>
        <w:t xml:space="preserve"> </w:t>
      </w:r>
      <w:r>
        <w:rPr>
          <w:rFonts w:ascii="Times New Roman" w:hAnsi="Times New Roman"/>
          <w:sz w:val="24"/>
          <w:szCs w:val="24"/>
        </w:rPr>
        <w:t>vláda Slovenskej republiky uložila</w:t>
      </w:r>
      <w:r w:rsidRPr="00777279">
        <w:rPr>
          <w:rFonts w:ascii="Times New Roman" w:hAnsi="Times New Roman"/>
          <w:sz w:val="24"/>
          <w:szCs w:val="24"/>
        </w:rPr>
        <w:t xml:space="preserve"> podpredsedovi vlády SR pre investície a informatizáciu v spolupráci s Radou vlády pre Agendu 2030 </w:t>
      </w:r>
      <w:r>
        <w:rPr>
          <w:rFonts w:ascii="Times New Roman" w:hAnsi="Times New Roman"/>
          <w:sz w:val="24"/>
          <w:szCs w:val="24"/>
        </w:rPr>
        <w:t xml:space="preserve">vypracovať a </w:t>
      </w:r>
      <w:r w:rsidRPr="00777279">
        <w:rPr>
          <w:rFonts w:ascii="Times New Roman" w:hAnsi="Times New Roman"/>
          <w:sz w:val="24"/>
          <w:szCs w:val="24"/>
        </w:rPr>
        <w:t xml:space="preserve">predložiť na rokovanie vlády SR "Návrh národných priorít implementácie Agendy 2030" teda vymedzenie konkrétnych oblastí Agendy 2030, ktorá bude vo vnútroštátnych podmienkach implementovaná. </w:t>
      </w:r>
    </w:p>
    <w:p w:rsidR="00D14925" w:rsidP="00D14925">
      <w:pPr>
        <w:bidi w:val="0"/>
        <w:spacing w:after="0"/>
        <w:jc w:val="both"/>
        <w:rPr>
          <w:rFonts w:ascii="Times New Roman" w:hAnsi="Times New Roman"/>
          <w:sz w:val="24"/>
          <w:szCs w:val="24"/>
        </w:rPr>
      </w:pPr>
    </w:p>
    <w:p w:rsidR="00D14925" w:rsidP="00D14925">
      <w:pPr>
        <w:bidi w:val="0"/>
        <w:spacing w:after="0"/>
        <w:jc w:val="both"/>
        <w:rPr>
          <w:rFonts w:ascii="Times New Roman" w:hAnsi="Times New Roman"/>
          <w:sz w:val="24"/>
          <w:szCs w:val="24"/>
        </w:rPr>
      </w:pPr>
    </w:p>
    <w:p w:rsidR="00D14925" w:rsidRPr="005046A6" w:rsidP="00D14925">
      <w:pPr>
        <w:bidi w:val="0"/>
        <w:spacing w:after="0"/>
        <w:jc w:val="both"/>
        <w:rPr>
          <w:rFonts w:ascii="Times New Roman" w:hAnsi="Times New Roman"/>
          <w:b/>
          <w:sz w:val="24"/>
          <w:szCs w:val="24"/>
        </w:rPr>
      </w:pPr>
      <w:r w:rsidRPr="005046A6">
        <w:rPr>
          <w:rFonts w:ascii="Times New Roman" w:hAnsi="Times New Roman"/>
          <w:b/>
          <w:sz w:val="24"/>
          <w:szCs w:val="24"/>
        </w:rPr>
        <w:t xml:space="preserve">K § 3 </w:t>
      </w:r>
    </w:p>
    <w:p w:rsidR="00D14925" w:rsidP="00D14925">
      <w:pPr>
        <w:pStyle w:val="FootnoteText"/>
        <w:bidi w:val="0"/>
        <w:jc w:val="both"/>
        <w:rPr>
          <w:rFonts w:ascii="Times New Roman" w:hAnsi="Times New Roman"/>
          <w:sz w:val="24"/>
          <w:szCs w:val="24"/>
        </w:rPr>
      </w:pPr>
      <w:r>
        <w:rPr>
          <w:rFonts w:ascii="Times New Roman" w:hAnsi="Times New Roman"/>
          <w:sz w:val="24"/>
          <w:szCs w:val="24"/>
        </w:rPr>
        <w:t>T</w:t>
      </w:r>
      <w:r w:rsidRPr="00A84A05">
        <w:rPr>
          <w:rFonts w:ascii="Times New Roman" w:hAnsi="Times New Roman"/>
          <w:sz w:val="24"/>
          <w:szCs w:val="24"/>
        </w:rPr>
        <w:t xml:space="preserve">oto ustanovenie </w:t>
      </w:r>
      <w:r>
        <w:rPr>
          <w:rFonts w:ascii="Times New Roman" w:hAnsi="Times New Roman"/>
          <w:sz w:val="24"/>
          <w:szCs w:val="24"/>
        </w:rPr>
        <w:t xml:space="preserve">vymedzuje účel poskytovania dotácií v pôsobnosti úradu respektíve v rámci účelu poskytovania dotácií oblasti, na ktoré môže úrad poskytnúť dotáciu na príslušný rozpočtový rok z rozpočtovej kapitoly úradu. </w:t>
      </w:r>
    </w:p>
    <w:p w:rsidR="00D14925" w:rsidP="00D14925">
      <w:pPr>
        <w:pStyle w:val="FootnoteText"/>
        <w:bidi w:val="0"/>
        <w:jc w:val="both"/>
        <w:rPr>
          <w:rFonts w:ascii="Times New Roman" w:hAnsi="Times New Roman"/>
          <w:sz w:val="24"/>
          <w:szCs w:val="24"/>
        </w:rPr>
      </w:pPr>
      <w:r>
        <w:rPr>
          <w:rFonts w:ascii="Times New Roman" w:hAnsi="Times New Roman"/>
          <w:sz w:val="24"/>
          <w:szCs w:val="24"/>
        </w:rPr>
        <w:t>V odseku 1 písm. h) sa stanovuje účel poskytnutia dotácie na vytvorenie konceptu rozumných miest</w:t>
      </w:r>
      <w:r w:rsidRPr="009C5636">
        <w:rPr>
          <w:rFonts w:ascii="Times New Roman" w:hAnsi="Times New Roman"/>
          <w:sz w:val="24"/>
          <w:szCs w:val="24"/>
        </w:rPr>
        <w:t xml:space="preserve"> </w:t>
      </w:r>
      <w:r>
        <w:rPr>
          <w:rFonts w:ascii="Times New Roman" w:hAnsi="Times New Roman"/>
          <w:sz w:val="24"/>
          <w:szCs w:val="24"/>
        </w:rPr>
        <w:t>a regiónov.</w:t>
      </w:r>
      <w:r w:rsidRPr="009C5636">
        <w:rPr>
          <w:rFonts w:ascii="Times New Roman" w:hAnsi="Times New Roman"/>
          <w:sz w:val="24"/>
          <w:szCs w:val="24"/>
        </w:rPr>
        <w:t xml:space="preserve"> Rozumné mesto </w:t>
      </w:r>
      <w:r>
        <w:rPr>
          <w:rFonts w:ascii="Times New Roman" w:hAnsi="Times New Roman"/>
          <w:sz w:val="24"/>
          <w:szCs w:val="24"/>
        </w:rPr>
        <w:t xml:space="preserve">resp. „Smart city“ </w:t>
      </w:r>
      <w:r w:rsidRPr="009C5636">
        <w:rPr>
          <w:rFonts w:ascii="Times New Roman" w:hAnsi="Times New Roman"/>
          <w:sz w:val="24"/>
          <w:szCs w:val="24"/>
        </w:rPr>
        <w:t>je priestor, ktorý vďaka využívaniu digitálnych a telekomunikačných technológií dokáže byť efektívnejší tak z hľadiska poskytovania služieb občanom a podnikateľskému sektoru, ako aj v zaistení fungovania základných sietí občianskej a technickej infraštruktúr</w:t>
      </w:r>
      <w:r>
        <w:rPr>
          <w:rFonts w:ascii="Times New Roman" w:hAnsi="Times New Roman"/>
          <w:sz w:val="24"/>
          <w:szCs w:val="24"/>
        </w:rPr>
        <w:t xml:space="preserve">y </w:t>
      </w:r>
      <w:r w:rsidRPr="009C5636">
        <w:rPr>
          <w:rFonts w:ascii="Times New Roman" w:hAnsi="Times New Roman"/>
          <w:sz w:val="24"/>
          <w:szCs w:val="24"/>
        </w:rPr>
        <w:t>ako efektívne prepojenie fyzických, digitálnych a sociálnych systémov, ktorých využitie vo verejnom prostredí sa dosahuje takým spôsobom, aby vytvorili udržateľnú a prosperujúcu budúcnosť pre obyvateľov daného priestoru.</w:t>
      </w:r>
      <w:r>
        <w:rPr>
          <w:rFonts w:ascii="Times New Roman" w:hAnsi="Times New Roman"/>
          <w:sz w:val="24"/>
          <w:szCs w:val="24"/>
        </w:rPr>
        <w:t xml:space="preserve"> </w:t>
      </w:r>
      <w:r w:rsidRPr="009C5636">
        <w:rPr>
          <w:rFonts w:ascii="Times New Roman" w:hAnsi="Times New Roman"/>
          <w:sz w:val="24"/>
          <w:szCs w:val="24"/>
        </w:rPr>
        <w:t xml:space="preserve">V rozumných mestách napomáhajú digitálne technológie k zlepšeniu verejných služieb a občianskej infraštruktúry, k lepšiemu využívaniu zdrojov a k znižovaniu vplyvov na životné prostredie. </w:t>
      </w:r>
    </w:p>
    <w:p w:rsidR="00D14925" w:rsidRPr="004620E4" w:rsidP="00D14925">
      <w:pPr>
        <w:bidi w:val="0"/>
        <w:jc w:val="both"/>
        <w:rPr>
          <w:rFonts w:ascii="Times New Roman" w:hAnsi="Times New Roman"/>
          <w:b/>
          <w:bCs/>
          <w:sz w:val="24"/>
          <w:szCs w:val="24"/>
          <w:u w:val="single"/>
        </w:rPr>
      </w:pPr>
      <w:r w:rsidRPr="004620E4">
        <w:rPr>
          <w:rStyle w:val="Strong"/>
          <w:rFonts w:ascii="Times New Roman" w:hAnsi="Times New Roman"/>
          <w:sz w:val="24"/>
          <w:szCs w:val="24"/>
          <w:bdr w:val="nil"/>
          <w:shd w:val="clear" w:color="auto" w:fill="FFFFFF"/>
        </w:rPr>
        <w:t xml:space="preserve">V odseku 1 písm. i) Šírenie osvety komunitárnych programov prispeje  k zviditeľneniu týchto programov ako atraktívny zdroj financovania niektorých strategických priorít SR a to najmä po roku 2020. Práve tieto programy sú pritom kľúčové </w:t>
      </w:r>
      <w:r w:rsidRPr="004620E4">
        <w:rPr>
          <w:rFonts w:ascii="Times New Roman" w:hAnsi="Times New Roman"/>
          <w:sz w:val="24"/>
          <w:szCs w:val="24"/>
        </w:rPr>
        <w:t xml:space="preserve">pre budúcnosť Európy a sú jadrom stratégie Európa 2020. Slovenská republika by prostredníctvom týchto programov mohla zlepšovať kvalitu života občanov - zvyšovať ich vzdelanostnú úroveň, chrániť životné prostredie a zvyšovať konkurencieschopnosť hospodárstva. V súčasnosti sprostredkovávajú informácie o komunitárnych programoch a vyhlásených výzvach slovenským subjektom ministerstvá alebo ich podriadené organizácie. Tie však nedisponujú údajmi napr. o stave čerpania. Úroveň informovanosti je slabá, tzv. kontaktné body na rezortoch často zastrešujú aj inú agendu a nemajú časový priestor venovať sa práci s potenciálnymi žiadateľmi a ani motiváciu zlepšovať úspešnosť slovenských subjektov v komunitárnych programoch. </w:t>
      </w:r>
    </w:p>
    <w:p w:rsidR="00D14925" w:rsidP="00D14925">
      <w:pPr>
        <w:bidi w:val="0"/>
        <w:jc w:val="both"/>
        <w:rPr>
          <w:rFonts w:ascii="Times New Roman" w:hAnsi="Times New Roman"/>
          <w:color w:val="000000"/>
          <w:sz w:val="24"/>
          <w:szCs w:val="24"/>
          <w:shd w:val="clear" w:color="auto" w:fill="FFFFFF"/>
        </w:rPr>
      </w:pPr>
      <w:r w:rsidRPr="004620E4">
        <w:rPr>
          <w:rFonts w:ascii="Times New Roman" w:hAnsi="Times New Roman"/>
          <w:sz w:val="24"/>
          <w:szCs w:val="24"/>
        </w:rPr>
        <w:t>Podľa</w:t>
      </w:r>
      <w:r w:rsidRPr="004620E4">
        <w:rPr>
          <w:rFonts w:ascii="Times New Roman" w:hAnsi="Times New Roman"/>
          <w:color w:val="000000"/>
          <w:sz w:val="24"/>
          <w:szCs w:val="24"/>
          <w:shd w:val="clear" w:color="auto" w:fill="FFFFFF"/>
        </w:rPr>
        <w:t xml:space="preserve"> kapitoly II, článku č. 115 </w:t>
      </w:r>
      <w:r w:rsidRPr="004620E4">
        <w:rPr>
          <w:rFonts w:ascii="Times New Roman" w:hAnsi="Times New Roman"/>
          <w:sz w:val="24"/>
          <w:szCs w:val="24"/>
        </w:rPr>
        <w:t xml:space="preserve">nariadenia </w:t>
      </w:r>
      <w:r w:rsidRPr="004620E4">
        <w:rPr>
          <w:rFonts w:ascii="Times New Roman" w:hAnsi="Times New Roman"/>
          <w:color w:val="000000"/>
          <w:sz w:val="24"/>
          <w:szCs w:val="24"/>
        </w:rPr>
        <w:t>(EÚ) č. 1303/2013</w:t>
      </w:r>
      <w:r>
        <w:rPr>
          <w:rStyle w:val="FootnoteReference"/>
          <w:rFonts w:ascii="Times New Roman" w:hAnsi="Times New Roman"/>
          <w:sz w:val="24"/>
          <w:szCs w:val="24"/>
          <w:rtl w:val="0"/>
        </w:rPr>
        <w:footnoteReference w:customMarkFollows="1" w:id="2"/>
        <w:t xml:space="preserve">[</w:t>
      </w:r>
      <w:r w:rsidRPr="004620E4">
        <w:rPr>
          <w:rStyle w:val="FootnoteReference"/>
          <w:rFonts w:ascii="Times New Roman" w:hAnsi="Times New Roman"/>
          <w:sz w:val="24"/>
          <w:szCs w:val="24"/>
        </w:rPr>
        <w:t>1]</w:t>
      </w:r>
      <w:r w:rsidRPr="004620E4">
        <w:rPr>
          <w:rFonts w:ascii="Times New Roman" w:hAnsi="Times New Roman"/>
          <w:color w:val="000000"/>
          <w:sz w:val="24"/>
          <w:szCs w:val="24"/>
        </w:rPr>
        <w:t xml:space="preserve"> </w:t>
      </w:r>
      <w:r>
        <w:rPr>
          <w:rFonts w:ascii="Times New Roman" w:hAnsi="Times New Roman"/>
          <w:color w:val="000000"/>
          <w:sz w:val="24"/>
          <w:szCs w:val="24"/>
        </w:rPr>
        <w:t xml:space="preserve">v platnom znení </w:t>
      </w:r>
      <w:r w:rsidRPr="004620E4">
        <w:rPr>
          <w:rFonts w:ascii="Times New Roman" w:hAnsi="Times New Roman"/>
          <w:bCs/>
          <w:color w:val="000000"/>
          <w:sz w:val="24"/>
          <w:szCs w:val="24"/>
          <w:shd w:val="clear" w:color="auto" w:fill="FFFFFF"/>
        </w:rPr>
        <w:t>sú</w:t>
      </w:r>
      <w:r w:rsidRPr="004620E4">
        <w:rPr>
          <w:rFonts w:ascii="Times New Roman" w:hAnsi="Times New Roman"/>
          <w:color w:val="000000"/>
          <w:sz w:val="24"/>
          <w:szCs w:val="24"/>
          <w:shd w:val="clear" w:color="auto" w:fill="FFFFFF"/>
        </w:rPr>
        <w:t xml:space="preserve"> </w:t>
      </w:r>
      <w:r w:rsidRPr="004620E4">
        <w:rPr>
          <w:rFonts w:ascii="Times New Roman" w:hAnsi="Times New Roman"/>
          <w:bCs/>
          <w:color w:val="000000"/>
          <w:sz w:val="24"/>
          <w:szCs w:val="24"/>
          <w:shd w:val="clear" w:color="auto" w:fill="FFFFFF"/>
        </w:rPr>
        <w:t>členské štáty a riadiace orgány zodpovedné za vytvorenie jedného webového sídla</w:t>
      </w:r>
      <w:r w:rsidRPr="004620E4">
        <w:rPr>
          <w:rFonts w:ascii="Times New Roman" w:hAnsi="Times New Roman"/>
          <w:color w:val="000000"/>
          <w:sz w:val="24"/>
          <w:szCs w:val="24"/>
          <w:shd w:val="clear" w:color="auto" w:fill="FFFFFF"/>
        </w:rPr>
        <w:t xml:space="preserve">, ktoré bude poskytovať informácie o všetkých operačných programoch v danom členskom štáte vrátane informácií o harmonograme vykonávania programovania a všetkých súvisiacich verejných konzultačných postupoch (toto ustanovenie platí podľa vyjadrenia zástupcov EK aj pre komunitárne programy). </w:t>
      </w:r>
    </w:p>
    <w:p w:rsidR="00D14925" w:rsidP="00D14925">
      <w:pPr>
        <w:bidi w:val="0"/>
        <w:spacing w:after="0"/>
        <w:jc w:val="both"/>
        <w:rPr>
          <w:rFonts w:ascii="Times New Roman" w:hAnsi="Times New Roman"/>
          <w:sz w:val="24"/>
          <w:szCs w:val="24"/>
        </w:rPr>
      </w:pPr>
    </w:p>
    <w:p w:rsidR="00D14925" w:rsidRPr="005046A6" w:rsidP="00D14925">
      <w:pPr>
        <w:bidi w:val="0"/>
        <w:spacing w:after="0"/>
        <w:jc w:val="both"/>
        <w:rPr>
          <w:rFonts w:ascii="Times New Roman" w:hAnsi="Times New Roman"/>
          <w:b/>
          <w:sz w:val="24"/>
          <w:szCs w:val="24"/>
        </w:rPr>
      </w:pPr>
      <w:r w:rsidRPr="005046A6">
        <w:rPr>
          <w:rFonts w:ascii="Times New Roman" w:hAnsi="Times New Roman"/>
          <w:b/>
          <w:sz w:val="24"/>
          <w:szCs w:val="24"/>
        </w:rPr>
        <w:t>K § 4</w:t>
      </w:r>
    </w:p>
    <w:p w:rsidR="00D14925" w:rsidRPr="00A84A05" w:rsidP="00D14925">
      <w:pPr>
        <w:bidi w:val="0"/>
        <w:spacing w:after="0"/>
        <w:jc w:val="both"/>
        <w:rPr>
          <w:rFonts w:ascii="Times New Roman" w:hAnsi="Times New Roman"/>
          <w:sz w:val="24"/>
          <w:szCs w:val="24"/>
        </w:rPr>
      </w:pPr>
      <w:r>
        <w:rPr>
          <w:rFonts w:ascii="Times New Roman" w:hAnsi="Times New Roman"/>
          <w:sz w:val="24"/>
          <w:szCs w:val="24"/>
        </w:rPr>
        <w:t>Toto ustanovenie upravuje podmienky poskytovania dotácií podľa tohto zákona. Určuje okruh osôb, ktoré môžu byť žiadateľom o poskytnutie dotácie a ktorým možno poskytnúť dotáciu podľa tohto zákona pri splnení podmienok ustanovených zákonom o rozpočtových pravidlách. Odsek 3 ustanovuje oblasti, na ktoré nemožno poskytnúť ani použiť dotáciu.</w:t>
      </w:r>
    </w:p>
    <w:p w:rsidR="00D14925" w:rsidP="00D14925">
      <w:pPr>
        <w:bidi w:val="0"/>
        <w:spacing w:after="0"/>
        <w:jc w:val="both"/>
        <w:rPr>
          <w:rFonts w:ascii="Times New Roman" w:hAnsi="Times New Roman"/>
          <w:sz w:val="24"/>
          <w:szCs w:val="24"/>
        </w:rPr>
      </w:pPr>
    </w:p>
    <w:p w:rsidR="00D14925" w:rsidP="00D14925">
      <w:pPr>
        <w:bidi w:val="0"/>
        <w:spacing w:after="0"/>
        <w:jc w:val="both"/>
        <w:rPr>
          <w:rFonts w:ascii="Times New Roman" w:hAnsi="Times New Roman"/>
          <w:sz w:val="24"/>
          <w:szCs w:val="24"/>
        </w:rPr>
      </w:pPr>
    </w:p>
    <w:p w:rsidR="00D14925" w:rsidRPr="005046A6" w:rsidP="00D14925">
      <w:pPr>
        <w:bidi w:val="0"/>
        <w:spacing w:after="0"/>
        <w:jc w:val="both"/>
        <w:rPr>
          <w:rFonts w:ascii="Times New Roman" w:hAnsi="Times New Roman"/>
          <w:b/>
          <w:sz w:val="24"/>
          <w:szCs w:val="24"/>
        </w:rPr>
      </w:pPr>
      <w:r w:rsidRPr="005046A6">
        <w:rPr>
          <w:rFonts w:ascii="Times New Roman" w:hAnsi="Times New Roman"/>
          <w:b/>
          <w:sz w:val="24"/>
          <w:szCs w:val="24"/>
        </w:rPr>
        <w:t>K § 5</w:t>
      </w:r>
    </w:p>
    <w:p w:rsidR="00D14925" w:rsidRPr="00A84A05" w:rsidP="00D14925">
      <w:pPr>
        <w:bidi w:val="0"/>
        <w:spacing w:after="0"/>
        <w:jc w:val="both"/>
        <w:rPr>
          <w:rFonts w:ascii="Times New Roman" w:hAnsi="Times New Roman"/>
          <w:sz w:val="24"/>
          <w:szCs w:val="24"/>
        </w:rPr>
      </w:pPr>
      <w:r>
        <w:rPr>
          <w:rFonts w:ascii="Times New Roman" w:hAnsi="Times New Roman"/>
          <w:sz w:val="24"/>
          <w:szCs w:val="24"/>
        </w:rPr>
        <w:t>Ustanovenie určuje spôsob poskytnutia dotácie a obsah žiadosti o poskytnutie dotácie.</w:t>
      </w:r>
    </w:p>
    <w:p w:rsidR="00D14925" w:rsidP="00D14925">
      <w:pPr>
        <w:bidi w:val="0"/>
        <w:spacing w:after="0"/>
        <w:jc w:val="both"/>
        <w:rPr>
          <w:rFonts w:ascii="Times New Roman" w:hAnsi="Times New Roman"/>
          <w:sz w:val="24"/>
          <w:szCs w:val="24"/>
        </w:rPr>
      </w:pPr>
    </w:p>
    <w:p w:rsidR="00D14925" w:rsidRPr="00A84A05" w:rsidP="00D14925">
      <w:pPr>
        <w:bidi w:val="0"/>
        <w:spacing w:after="0"/>
        <w:jc w:val="both"/>
        <w:rPr>
          <w:rFonts w:ascii="Times New Roman" w:hAnsi="Times New Roman"/>
          <w:sz w:val="24"/>
          <w:szCs w:val="24"/>
        </w:rPr>
      </w:pPr>
    </w:p>
    <w:p w:rsidR="00D14925" w:rsidRPr="005046A6" w:rsidP="00D14925">
      <w:pPr>
        <w:bidi w:val="0"/>
        <w:spacing w:after="0"/>
        <w:jc w:val="both"/>
        <w:rPr>
          <w:rFonts w:ascii="Times New Roman" w:hAnsi="Times New Roman"/>
          <w:b/>
          <w:sz w:val="24"/>
          <w:szCs w:val="24"/>
        </w:rPr>
      </w:pPr>
      <w:r w:rsidRPr="005046A6">
        <w:rPr>
          <w:rFonts w:ascii="Times New Roman" w:hAnsi="Times New Roman"/>
          <w:b/>
          <w:sz w:val="24"/>
          <w:szCs w:val="24"/>
        </w:rPr>
        <w:t>K § 6</w:t>
      </w:r>
    </w:p>
    <w:p w:rsidR="00D14925" w:rsidRPr="00A84A05" w:rsidP="00D14925">
      <w:pPr>
        <w:bidi w:val="0"/>
        <w:spacing w:after="0"/>
        <w:jc w:val="both"/>
        <w:rPr>
          <w:rFonts w:ascii="Times New Roman" w:hAnsi="Times New Roman"/>
          <w:sz w:val="24"/>
          <w:szCs w:val="24"/>
        </w:rPr>
      </w:pPr>
      <w:r>
        <w:rPr>
          <w:rFonts w:ascii="Times New Roman" w:hAnsi="Times New Roman"/>
          <w:sz w:val="24"/>
          <w:szCs w:val="24"/>
        </w:rPr>
        <w:t>Ustanovenie upravuje spôsob vyhodnocovania žiadostí o poskytnutie dotácií podľa tohto zákona.</w:t>
      </w:r>
    </w:p>
    <w:p w:rsidR="00D14925" w:rsidP="00D14925">
      <w:pPr>
        <w:bidi w:val="0"/>
        <w:spacing w:after="0"/>
        <w:jc w:val="both"/>
        <w:rPr>
          <w:rFonts w:ascii="Times New Roman" w:hAnsi="Times New Roman"/>
          <w:sz w:val="24"/>
          <w:szCs w:val="24"/>
        </w:rPr>
      </w:pPr>
    </w:p>
    <w:p w:rsidR="00D14925" w:rsidRPr="00A84A05" w:rsidP="00D14925">
      <w:pPr>
        <w:bidi w:val="0"/>
        <w:spacing w:after="0"/>
        <w:jc w:val="both"/>
        <w:rPr>
          <w:rFonts w:ascii="Times New Roman" w:hAnsi="Times New Roman"/>
          <w:sz w:val="24"/>
          <w:szCs w:val="24"/>
        </w:rPr>
      </w:pPr>
    </w:p>
    <w:p w:rsidR="00D14925" w:rsidRPr="005046A6" w:rsidP="00D14925">
      <w:pPr>
        <w:bidi w:val="0"/>
        <w:spacing w:after="0"/>
        <w:jc w:val="both"/>
        <w:rPr>
          <w:rFonts w:ascii="Times New Roman" w:hAnsi="Times New Roman"/>
          <w:b/>
          <w:sz w:val="24"/>
          <w:szCs w:val="24"/>
        </w:rPr>
      </w:pPr>
      <w:r w:rsidRPr="005046A6">
        <w:rPr>
          <w:rFonts w:ascii="Times New Roman" w:hAnsi="Times New Roman"/>
          <w:b/>
          <w:sz w:val="24"/>
          <w:szCs w:val="24"/>
        </w:rPr>
        <w:t>K § 7</w:t>
      </w:r>
    </w:p>
    <w:p w:rsidR="00D14925" w:rsidRPr="00A84A05" w:rsidP="00D14925">
      <w:pPr>
        <w:bidi w:val="0"/>
        <w:spacing w:after="0"/>
        <w:jc w:val="both"/>
        <w:rPr>
          <w:rFonts w:ascii="Times New Roman" w:hAnsi="Times New Roman"/>
          <w:sz w:val="24"/>
          <w:szCs w:val="24"/>
        </w:rPr>
      </w:pPr>
      <w:r>
        <w:rPr>
          <w:rFonts w:ascii="Times New Roman" w:hAnsi="Times New Roman"/>
          <w:sz w:val="24"/>
          <w:szCs w:val="24"/>
        </w:rPr>
        <w:t>Ustanovenie upravuje okruh informácií, ktoré úrad zverejňuje na svojom webovom sídle.</w:t>
      </w:r>
    </w:p>
    <w:p w:rsidR="00D14925" w:rsidP="00D14925">
      <w:pPr>
        <w:bidi w:val="0"/>
        <w:spacing w:after="0"/>
        <w:jc w:val="both"/>
        <w:rPr>
          <w:rFonts w:ascii="Times New Roman" w:hAnsi="Times New Roman"/>
          <w:sz w:val="24"/>
          <w:szCs w:val="24"/>
        </w:rPr>
      </w:pPr>
    </w:p>
    <w:p w:rsidR="00D14925" w:rsidRPr="00A84A05" w:rsidP="00D14925">
      <w:pPr>
        <w:bidi w:val="0"/>
        <w:spacing w:after="0"/>
        <w:jc w:val="both"/>
        <w:rPr>
          <w:rFonts w:ascii="Times New Roman" w:hAnsi="Times New Roman"/>
          <w:sz w:val="24"/>
          <w:szCs w:val="24"/>
        </w:rPr>
      </w:pPr>
    </w:p>
    <w:p w:rsidR="00D14925" w:rsidRPr="005046A6" w:rsidP="00D14925">
      <w:pPr>
        <w:bidi w:val="0"/>
        <w:spacing w:after="0"/>
        <w:jc w:val="both"/>
        <w:rPr>
          <w:rFonts w:ascii="Times New Roman" w:hAnsi="Times New Roman"/>
          <w:b/>
          <w:sz w:val="24"/>
          <w:szCs w:val="24"/>
        </w:rPr>
      </w:pPr>
      <w:r w:rsidRPr="005046A6">
        <w:rPr>
          <w:rFonts w:ascii="Times New Roman" w:hAnsi="Times New Roman"/>
          <w:b/>
          <w:sz w:val="24"/>
          <w:szCs w:val="24"/>
        </w:rPr>
        <w:t>K § 8</w:t>
      </w:r>
    </w:p>
    <w:p w:rsidR="00D14925" w:rsidP="00D14925">
      <w:pPr>
        <w:bidi w:val="0"/>
        <w:spacing w:after="0"/>
        <w:jc w:val="both"/>
        <w:rPr>
          <w:rFonts w:ascii="Times New Roman" w:hAnsi="Times New Roman"/>
          <w:sz w:val="24"/>
          <w:szCs w:val="24"/>
        </w:rPr>
      </w:pPr>
      <w:r>
        <w:rPr>
          <w:rFonts w:ascii="Times New Roman" w:hAnsi="Times New Roman"/>
          <w:sz w:val="24"/>
          <w:szCs w:val="24"/>
        </w:rPr>
        <w:t>Toto ustanovenie upravuje výkon kontroly hospodárenia s poskytnutou dotáciou a dodržiavanie podmienok uvedených v zmluve o poskytnutí dotácie.</w:t>
      </w:r>
    </w:p>
    <w:p w:rsidR="00D14925" w:rsidP="00D14925">
      <w:pPr>
        <w:bidi w:val="0"/>
        <w:spacing w:after="0"/>
        <w:jc w:val="both"/>
        <w:rPr>
          <w:rFonts w:ascii="Times New Roman" w:hAnsi="Times New Roman"/>
          <w:sz w:val="24"/>
          <w:szCs w:val="24"/>
        </w:rPr>
      </w:pPr>
    </w:p>
    <w:p w:rsidR="00D14925" w:rsidP="00D14925">
      <w:pPr>
        <w:bidi w:val="0"/>
        <w:spacing w:after="0"/>
        <w:jc w:val="both"/>
        <w:rPr>
          <w:rFonts w:ascii="Times New Roman" w:hAnsi="Times New Roman"/>
          <w:sz w:val="24"/>
          <w:szCs w:val="24"/>
        </w:rPr>
      </w:pPr>
    </w:p>
    <w:p w:rsidR="00D14925" w:rsidP="00D14925">
      <w:pPr>
        <w:bidi w:val="0"/>
        <w:spacing w:after="0"/>
        <w:jc w:val="both"/>
        <w:rPr>
          <w:rFonts w:ascii="Times New Roman" w:hAnsi="Times New Roman"/>
          <w:sz w:val="24"/>
          <w:szCs w:val="24"/>
        </w:rPr>
      </w:pPr>
    </w:p>
    <w:p w:rsidR="00D14925" w:rsidRPr="005046A6" w:rsidP="00D14925">
      <w:pPr>
        <w:bidi w:val="0"/>
        <w:spacing w:after="0"/>
        <w:jc w:val="both"/>
        <w:rPr>
          <w:rFonts w:ascii="Times New Roman" w:hAnsi="Times New Roman"/>
          <w:b/>
          <w:sz w:val="24"/>
          <w:szCs w:val="24"/>
        </w:rPr>
      </w:pPr>
      <w:r w:rsidRPr="005046A6">
        <w:rPr>
          <w:rFonts w:ascii="Times New Roman" w:hAnsi="Times New Roman"/>
          <w:b/>
          <w:sz w:val="24"/>
          <w:szCs w:val="24"/>
        </w:rPr>
        <w:t>K § 9</w:t>
      </w:r>
    </w:p>
    <w:p w:rsidR="00D14925" w:rsidRPr="00A84A05" w:rsidP="00D14925">
      <w:pPr>
        <w:bidi w:val="0"/>
        <w:spacing w:after="0"/>
        <w:jc w:val="both"/>
        <w:rPr>
          <w:rFonts w:ascii="Times New Roman" w:hAnsi="Times New Roman"/>
          <w:sz w:val="24"/>
          <w:szCs w:val="24"/>
        </w:rPr>
      </w:pPr>
      <w:r>
        <w:rPr>
          <w:rFonts w:ascii="Times New Roman" w:hAnsi="Times New Roman"/>
          <w:sz w:val="24"/>
          <w:szCs w:val="24"/>
        </w:rPr>
        <w:t>Ustanovenie upravuje, že týmto zákonom nie sú dotknuté osobitné predpisy o štátnej pomoci, ako aj skutočnosť, že poskytnutie dotácie podľa tohto zákona nie je právne nárokovateľné.</w:t>
      </w:r>
    </w:p>
    <w:p w:rsidR="00D14925" w:rsidP="00D14925">
      <w:pPr>
        <w:bidi w:val="0"/>
        <w:spacing w:after="0"/>
        <w:jc w:val="both"/>
        <w:rPr>
          <w:rFonts w:ascii="Times New Roman" w:hAnsi="Times New Roman"/>
          <w:sz w:val="24"/>
          <w:szCs w:val="24"/>
        </w:rPr>
      </w:pPr>
    </w:p>
    <w:p w:rsidR="00D14925" w:rsidRPr="00A84A05" w:rsidP="00D14925">
      <w:pPr>
        <w:bidi w:val="0"/>
        <w:spacing w:after="0"/>
        <w:jc w:val="both"/>
        <w:rPr>
          <w:rFonts w:ascii="Times New Roman" w:hAnsi="Times New Roman"/>
          <w:sz w:val="24"/>
          <w:szCs w:val="24"/>
        </w:rPr>
      </w:pPr>
    </w:p>
    <w:p w:rsidR="00D14925" w:rsidRPr="005046A6" w:rsidP="00D14925">
      <w:pPr>
        <w:bidi w:val="0"/>
        <w:spacing w:after="0"/>
        <w:jc w:val="both"/>
        <w:rPr>
          <w:rFonts w:ascii="Times New Roman" w:hAnsi="Times New Roman"/>
          <w:b/>
          <w:sz w:val="24"/>
          <w:szCs w:val="24"/>
        </w:rPr>
      </w:pPr>
      <w:r w:rsidRPr="005046A6">
        <w:rPr>
          <w:rFonts w:ascii="Times New Roman" w:hAnsi="Times New Roman"/>
          <w:b/>
          <w:sz w:val="24"/>
          <w:szCs w:val="24"/>
        </w:rPr>
        <w:t>K § 10</w:t>
      </w:r>
    </w:p>
    <w:p w:rsidR="00D14925" w:rsidRPr="00E54955" w:rsidP="00D14925">
      <w:pPr>
        <w:bidi w:val="0"/>
        <w:spacing w:after="0"/>
        <w:jc w:val="both"/>
        <w:rPr>
          <w:rFonts w:ascii="Times New Roman" w:hAnsi="Times New Roman"/>
          <w:sz w:val="24"/>
          <w:szCs w:val="24"/>
        </w:rPr>
      </w:pPr>
      <w:r w:rsidRPr="00E54955">
        <w:rPr>
          <w:rFonts w:ascii="Times New Roman" w:hAnsi="Times New Roman"/>
          <w:sz w:val="24"/>
          <w:szCs w:val="24"/>
        </w:rPr>
        <w:t xml:space="preserve">Účinnosť </w:t>
      </w:r>
      <w:r>
        <w:rPr>
          <w:rFonts w:ascii="Times New Roman" w:hAnsi="Times New Roman"/>
          <w:sz w:val="24"/>
          <w:szCs w:val="24"/>
        </w:rPr>
        <w:t xml:space="preserve">zákona </w:t>
      </w:r>
      <w:r w:rsidRPr="00E54955">
        <w:rPr>
          <w:rFonts w:ascii="Times New Roman" w:hAnsi="Times New Roman"/>
          <w:sz w:val="24"/>
          <w:szCs w:val="24"/>
        </w:rPr>
        <w:t xml:space="preserve">sa navrhuje 1. </w:t>
      </w:r>
      <w:r>
        <w:rPr>
          <w:rFonts w:ascii="Times New Roman" w:hAnsi="Times New Roman"/>
          <w:sz w:val="24"/>
          <w:szCs w:val="24"/>
        </w:rPr>
        <w:t>mája</w:t>
      </w:r>
      <w:r w:rsidRPr="00E54955">
        <w:rPr>
          <w:rFonts w:ascii="Times New Roman" w:hAnsi="Times New Roman"/>
          <w:sz w:val="24"/>
          <w:szCs w:val="24"/>
        </w:rPr>
        <w:t xml:space="preserve"> 2018</w:t>
      </w:r>
      <w:r>
        <w:rPr>
          <w:rFonts w:ascii="Times New Roman" w:hAnsi="Times New Roman"/>
          <w:sz w:val="24"/>
          <w:szCs w:val="24"/>
        </w:rPr>
        <w:t>.</w:t>
      </w:r>
    </w:p>
    <w:p w:rsidR="00D14925" w:rsidP="00D14925">
      <w:pPr>
        <w:pStyle w:val="ListParagraph"/>
        <w:bidi w:val="0"/>
        <w:spacing w:after="0" w:line="240" w:lineRule="auto"/>
        <w:ind w:left="0"/>
        <w:jc w:val="both"/>
        <w:rPr>
          <w:rFonts w:ascii="Times New Roman" w:hAnsi="Times New Roman"/>
          <w:sz w:val="24"/>
          <w:szCs w:val="24"/>
        </w:rPr>
      </w:pPr>
    </w:p>
    <w:p w:rsidR="00D14925" w:rsidP="00D14925">
      <w:pPr>
        <w:pStyle w:val="ListParagraph"/>
        <w:bidi w:val="0"/>
        <w:spacing w:after="0" w:line="240" w:lineRule="auto"/>
        <w:ind w:left="0"/>
        <w:jc w:val="both"/>
        <w:rPr>
          <w:rFonts w:ascii="Times New Roman" w:hAnsi="Times New Roman"/>
          <w:sz w:val="24"/>
          <w:szCs w:val="24"/>
        </w:rPr>
      </w:pPr>
    </w:p>
    <w:p w:rsidR="00D14925" w:rsidP="00D14925">
      <w:pPr>
        <w:pStyle w:val="ListParagraph"/>
        <w:bidi w:val="0"/>
        <w:spacing w:after="0" w:line="240" w:lineRule="auto"/>
        <w:ind w:left="0"/>
        <w:jc w:val="both"/>
        <w:rPr>
          <w:rFonts w:ascii="Times New Roman" w:hAnsi="Times New Roman"/>
          <w:sz w:val="24"/>
          <w:szCs w:val="24"/>
        </w:rPr>
      </w:pPr>
      <w:r>
        <w:rPr>
          <w:rFonts w:ascii="Times New Roman" w:hAnsi="Times New Roman"/>
          <w:sz w:val="24"/>
          <w:szCs w:val="24"/>
        </w:rPr>
        <w:t>Bratislava 10. január 2018</w:t>
      </w:r>
    </w:p>
    <w:p w:rsidR="00D14925" w:rsidP="00D14925">
      <w:pPr>
        <w:bidi w:val="0"/>
        <w:spacing w:after="0" w:line="240" w:lineRule="auto"/>
        <w:jc w:val="center"/>
        <w:rPr>
          <w:rFonts w:ascii="Times New Roman" w:hAnsi="Times New Roman"/>
          <w:b/>
          <w:sz w:val="24"/>
          <w:szCs w:val="24"/>
        </w:rPr>
      </w:pPr>
    </w:p>
    <w:p w:rsidR="00D14925" w:rsidP="00D14925">
      <w:pPr>
        <w:bidi w:val="0"/>
        <w:spacing w:after="0" w:line="240" w:lineRule="auto"/>
        <w:jc w:val="center"/>
        <w:rPr>
          <w:rFonts w:ascii="Times New Roman" w:hAnsi="Times New Roman"/>
          <w:b/>
          <w:sz w:val="24"/>
          <w:szCs w:val="24"/>
        </w:rPr>
      </w:pPr>
    </w:p>
    <w:p w:rsidR="00D14925" w:rsidP="00D14925">
      <w:pPr>
        <w:bidi w:val="0"/>
        <w:spacing w:after="0" w:line="240" w:lineRule="auto"/>
        <w:jc w:val="center"/>
        <w:rPr>
          <w:rFonts w:ascii="Times New Roman" w:hAnsi="Times New Roman"/>
          <w:b/>
          <w:sz w:val="24"/>
          <w:szCs w:val="24"/>
        </w:rPr>
      </w:pPr>
    </w:p>
    <w:p w:rsidR="00D14925" w:rsidP="00D14925">
      <w:pPr>
        <w:bidi w:val="0"/>
        <w:spacing w:after="0" w:line="240" w:lineRule="auto"/>
        <w:jc w:val="center"/>
        <w:rPr>
          <w:rFonts w:ascii="Times New Roman" w:hAnsi="Times New Roman"/>
          <w:b/>
          <w:sz w:val="24"/>
          <w:szCs w:val="24"/>
        </w:rPr>
      </w:pPr>
    </w:p>
    <w:p w:rsidR="00D14925" w:rsidP="00D14925">
      <w:pPr>
        <w:bidi w:val="0"/>
        <w:spacing w:after="0" w:line="240" w:lineRule="auto"/>
        <w:jc w:val="center"/>
        <w:rPr>
          <w:rFonts w:ascii="Times New Roman" w:hAnsi="Times New Roman"/>
          <w:b/>
          <w:sz w:val="24"/>
          <w:szCs w:val="24"/>
        </w:rPr>
      </w:pPr>
    </w:p>
    <w:p w:rsidR="00D14925" w:rsidP="00D14925">
      <w:pPr>
        <w:bidi w:val="0"/>
        <w:spacing w:after="0" w:line="240" w:lineRule="auto"/>
        <w:jc w:val="center"/>
        <w:rPr>
          <w:rFonts w:ascii="Times New Roman" w:hAnsi="Times New Roman"/>
          <w:b/>
          <w:sz w:val="24"/>
          <w:szCs w:val="24"/>
        </w:rPr>
      </w:pPr>
      <w:r>
        <w:rPr>
          <w:rFonts w:ascii="Times New Roman" w:hAnsi="Times New Roman"/>
          <w:b/>
          <w:sz w:val="24"/>
          <w:szCs w:val="24"/>
        </w:rPr>
        <w:t>Robert Fico v. r.</w:t>
      </w:r>
    </w:p>
    <w:p w:rsidR="00D14925" w:rsidP="00D14925">
      <w:pPr>
        <w:bidi w:val="0"/>
        <w:spacing w:after="0" w:line="240" w:lineRule="auto"/>
        <w:jc w:val="center"/>
        <w:rPr>
          <w:rFonts w:ascii="Times New Roman" w:hAnsi="Times New Roman"/>
          <w:sz w:val="24"/>
          <w:szCs w:val="24"/>
        </w:rPr>
      </w:pPr>
      <w:r>
        <w:rPr>
          <w:rFonts w:ascii="Times New Roman" w:hAnsi="Times New Roman"/>
          <w:sz w:val="24"/>
          <w:szCs w:val="24"/>
        </w:rPr>
        <w:t>predseda vlády</w:t>
      </w:r>
    </w:p>
    <w:p w:rsidR="00D14925" w:rsidP="00D14925">
      <w:pPr>
        <w:bidi w:val="0"/>
        <w:spacing w:after="0" w:line="240" w:lineRule="auto"/>
        <w:jc w:val="center"/>
        <w:rPr>
          <w:rFonts w:ascii="Times New Roman" w:hAnsi="Times New Roman"/>
          <w:sz w:val="24"/>
          <w:szCs w:val="24"/>
        </w:rPr>
      </w:pPr>
      <w:r>
        <w:rPr>
          <w:rFonts w:ascii="Times New Roman" w:hAnsi="Times New Roman"/>
          <w:sz w:val="24"/>
          <w:szCs w:val="24"/>
        </w:rPr>
        <w:t>Slovenskej republiky</w:t>
      </w:r>
    </w:p>
    <w:p w:rsidR="00D14925" w:rsidP="00D14925">
      <w:pPr>
        <w:bidi w:val="0"/>
        <w:spacing w:before="120" w:after="0" w:line="240" w:lineRule="auto"/>
        <w:rPr>
          <w:rFonts w:ascii="Times New Roman" w:hAnsi="Times New Roman"/>
          <w:sz w:val="24"/>
          <w:szCs w:val="24"/>
        </w:rPr>
      </w:pPr>
    </w:p>
    <w:p w:rsidR="00D14925" w:rsidP="00D14925">
      <w:pPr>
        <w:bidi w:val="0"/>
        <w:spacing w:before="120" w:after="0" w:line="240" w:lineRule="auto"/>
        <w:rPr>
          <w:rFonts w:ascii="Times New Roman" w:hAnsi="Times New Roman"/>
          <w:sz w:val="24"/>
          <w:szCs w:val="24"/>
        </w:rPr>
      </w:pPr>
    </w:p>
    <w:p w:rsidR="00D14925" w:rsidP="00D14925">
      <w:pPr>
        <w:bidi w:val="0"/>
        <w:spacing w:before="120" w:after="0" w:line="240" w:lineRule="auto"/>
        <w:rPr>
          <w:rFonts w:ascii="Times New Roman" w:hAnsi="Times New Roman"/>
          <w:sz w:val="24"/>
          <w:szCs w:val="24"/>
        </w:rPr>
      </w:pPr>
    </w:p>
    <w:p w:rsidR="00D14925" w:rsidP="00D14925">
      <w:pPr>
        <w:bidi w:val="0"/>
        <w:spacing w:after="0" w:line="240" w:lineRule="auto"/>
        <w:jc w:val="center"/>
        <w:rPr>
          <w:rFonts w:ascii="Times New Roman" w:hAnsi="Times New Roman"/>
          <w:b/>
          <w:sz w:val="24"/>
          <w:szCs w:val="24"/>
        </w:rPr>
      </w:pPr>
      <w:r>
        <w:rPr>
          <w:rFonts w:ascii="Times New Roman" w:hAnsi="Times New Roman"/>
          <w:b/>
          <w:sz w:val="24"/>
          <w:szCs w:val="24"/>
        </w:rPr>
        <w:t>Peter Pellegrini v. r.</w:t>
      </w:r>
    </w:p>
    <w:p w:rsidR="00D14925" w:rsidP="00D14925">
      <w:pPr>
        <w:bidi w:val="0"/>
        <w:spacing w:after="0" w:line="240" w:lineRule="auto"/>
        <w:jc w:val="center"/>
        <w:rPr>
          <w:rFonts w:ascii="Times New Roman" w:hAnsi="Times New Roman"/>
          <w:sz w:val="24"/>
          <w:szCs w:val="24"/>
        </w:rPr>
      </w:pPr>
      <w:r>
        <w:rPr>
          <w:rFonts w:ascii="Times New Roman" w:hAnsi="Times New Roman"/>
          <w:sz w:val="24"/>
          <w:szCs w:val="24"/>
        </w:rPr>
        <w:t xml:space="preserve">podpredseda vlády </w:t>
      </w:r>
    </w:p>
    <w:p w:rsidR="00D14925" w:rsidP="00D14925">
      <w:pPr>
        <w:bidi w:val="0"/>
        <w:spacing w:after="0" w:line="240" w:lineRule="auto"/>
        <w:jc w:val="center"/>
        <w:rPr>
          <w:rFonts w:ascii="Times New Roman" w:hAnsi="Times New Roman"/>
          <w:sz w:val="24"/>
          <w:szCs w:val="24"/>
        </w:rPr>
      </w:pPr>
      <w:r>
        <w:rPr>
          <w:rFonts w:ascii="Times New Roman" w:hAnsi="Times New Roman"/>
          <w:sz w:val="24"/>
          <w:szCs w:val="24"/>
        </w:rPr>
        <w:t xml:space="preserve">Slovenskej republiky </w:t>
      </w:r>
    </w:p>
    <w:p w:rsidR="00D14925" w:rsidP="00D14925">
      <w:pPr>
        <w:bidi w:val="0"/>
        <w:spacing w:after="0" w:line="240" w:lineRule="auto"/>
        <w:jc w:val="center"/>
        <w:rPr>
          <w:rFonts w:ascii="Times New Roman" w:hAnsi="Times New Roman"/>
          <w:b/>
          <w:sz w:val="24"/>
          <w:szCs w:val="24"/>
        </w:rPr>
      </w:pPr>
      <w:r>
        <w:rPr>
          <w:rFonts w:ascii="Times New Roman" w:hAnsi="Times New Roman"/>
          <w:sz w:val="24"/>
          <w:szCs w:val="24"/>
        </w:rPr>
        <w:t>pre investície a informatizáciu</w:t>
      </w:r>
    </w:p>
    <w:p w:rsidR="00D14925" w:rsidP="00D14925">
      <w:pPr>
        <w:bidi w:val="0"/>
      </w:pPr>
    </w:p>
    <w:p w:rsidR="00D14925" w:rsidP="00880272">
      <w:pPr>
        <w:pStyle w:val="Odsekzoznamu1"/>
        <w:bidi w:val="0"/>
        <w:spacing w:after="0"/>
        <w:ind w:left="0"/>
        <w:jc w:val="both"/>
        <w:rPr>
          <w:rFonts w:ascii="Times New Roman" w:hAnsi="Times New Roman"/>
          <w:sz w:val="24"/>
          <w:szCs w:val="24"/>
        </w:rPr>
      </w:pPr>
    </w:p>
    <w:p w:rsidR="00D14925" w:rsidRPr="00D14925" w:rsidP="00880272">
      <w:pPr>
        <w:pStyle w:val="Odsekzoznamu1"/>
        <w:bidi w:val="0"/>
        <w:spacing w:after="0"/>
        <w:ind w:left="0"/>
        <w:jc w:val="both"/>
        <w:rPr>
          <w:rFonts w:ascii="Times New Roman" w:hAnsi="Times New Roman"/>
          <w:sz w:val="24"/>
          <w:szCs w:val="24"/>
        </w:rPr>
      </w:pPr>
    </w:p>
    <w:sectPr>
      <w:pgSz w:w="12240" w:h="15840"/>
      <w:pgMar w:top="1417" w:right="1417" w:bottom="1417" w:left="1417" w:header="708" w:footer="708" w:gutter="0"/>
      <w:lnNumType w:distance="0"/>
      <w:cols w:space="708"/>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libri">
    <w:panose1 w:val="020F0502020204030204"/>
    <w:charset w:val="EE"/>
    <w:family w:val="swiss"/>
    <w:pitch w:val="variable"/>
    <w:sig w:usb0="00000000" w:usb1="00000000" w:usb2="00000000" w:usb3="00000000" w:csb0="000001FF" w:csb1="00000000"/>
  </w:font>
  <w:font w:name="Tahoma">
    <w:altName w:val="Tahoma"/>
    <w:panose1 w:val="020B0604030504040204"/>
    <w:charset w:val="EE"/>
    <w:family w:val="swiss"/>
    <w:pitch w:val="variable"/>
    <w:sig w:usb0="00000000" w:usb1="00000000" w:usb2="00000000" w:usb3="00000000" w:csb0="000101FF" w:csb1="00000000"/>
  </w:font>
  <w:font w:name="Times">
    <w:panose1 w:val="02020603050405020304"/>
    <w:charset w:val="EE"/>
    <w:family w:val="roman"/>
    <w:pitch w:val="variable"/>
    <w:sig w:usb0="00000000" w:usb1="00000000" w:usb2="00000000" w:usb3="00000000" w:csb0="000001FF" w:csb1="00000000"/>
  </w:font>
  <w:font w:name="Verdana">
    <w:panose1 w:val="00000000000000000000"/>
    <w:charset w:val="EE"/>
    <w:family w:val="swiss"/>
    <w:pitch w:val="variable"/>
    <w:sig w:usb0="00000000" w:usb1="00000000" w:usb2="00000000" w:usb3="00000000" w:csb0="0000019F" w:csb1="00000000"/>
  </w:font>
  <w:font w:name="Wingdings 2">
    <w:panose1 w:val="05020102010507070707"/>
    <w:charset w:val="02"/>
    <w:family w:val="roman"/>
    <w:pitch w:val="variable"/>
    <w:sig w:usb0="00000000" w:usb1="00000000" w:usb2="00000000" w:usb3="00000000" w:csb0="80000000"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925">
    <w:pPr>
      <w:pStyle w:val="Footer"/>
      <w:framePr w:wrap="around" w:vAnchor="text" w:hAnchor="margin" w:xAlign="right"/>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D14925">
    <w:pPr>
      <w:pStyle w:val="Footer"/>
      <w:bidi w:val="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925">
    <w:pPr>
      <w:pStyle w:val="Footer"/>
      <w:bidi w:val="0"/>
      <w:jc w:val="right"/>
    </w:pPr>
    <w:r>
      <w:fldChar w:fldCharType="begin"/>
    </w:r>
    <w:r>
      <w:instrText>PAGE   \* MERGEFORMAT</w:instrText>
    </w:r>
    <w:r>
      <w:fldChar w:fldCharType="separate"/>
    </w:r>
    <w:r w:rsidR="00E52FA4">
      <w:rPr>
        <w:noProof/>
      </w:rPr>
      <w:t>8</w:t>
    </w:r>
    <w:r>
      <w:fldChar w:fldCharType="end"/>
    </w:r>
  </w:p>
  <w:p w:rsidR="00D14925">
    <w:pPr>
      <w:pStyle w:val="Footer"/>
      <w:bidi w:val="0"/>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925">
    <w:pPr>
      <w:pStyle w:val="Footer"/>
      <w:bidi w:val="0"/>
      <w:jc w:val="right"/>
    </w:pPr>
    <w:r>
      <w:fldChar w:fldCharType="begin"/>
    </w:r>
    <w:r>
      <w:instrText>PAGE   \* MERGEFORMAT</w:instrText>
    </w:r>
    <w:r>
      <w:fldChar w:fldCharType="separate"/>
    </w:r>
    <w:r>
      <w:rPr>
        <w:noProof/>
      </w:rPr>
      <w:t>11</w:t>
    </w:r>
    <w:r>
      <w:fldChar w:fldCharType="end"/>
    </w:r>
  </w:p>
  <w:p w:rsidR="00D14925">
    <w:pPr>
      <w:pStyle w:val="Foote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542A" w:rsidP="00EE02C0">
      <w:pPr>
        <w:bidi w:val="0"/>
        <w:spacing w:after="0" w:line="240" w:lineRule="auto"/>
      </w:pPr>
      <w:r>
        <w:separator/>
      </w:r>
    </w:p>
  </w:footnote>
  <w:footnote w:type="continuationSeparator" w:id="1">
    <w:p w:rsidR="004E542A" w:rsidP="00EE02C0">
      <w:pPr>
        <w:bidi w:val="0"/>
        <w:spacing w:after="0" w:line="240" w:lineRule="auto"/>
      </w:pPr>
      <w:r>
        <w:continuationSeparator/>
      </w:r>
    </w:p>
  </w:footnote>
  <w:footnote w:id="2">
    <w:p w:rsidP="00D14925">
      <w:pPr>
        <w:pStyle w:val="FootnoteText"/>
        <w:bidi w:val="0"/>
        <w:jc w:val="both"/>
      </w:pPr>
      <w:r w:rsidR="00D14925">
        <w:rPr>
          <w:rStyle w:val="FootnoteReference"/>
        </w:rPr>
        <w:t>[1]</w:t>
      </w:r>
      <w:r w:rsidR="00D14925">
        <w:t xml:space="preserve"> Nariadenie </w:t>
      </w:r>
      <w:r w:rsidR="00D14925">
        <w:rPr>
          <w:color w:val="000000"/>
        </w:rPr>
        <w:t xml:space="preserve">Európskeho parlamentu č. 1303/2013 zo 17. decembra 2013, </w:t>
      </w:r>
      <w:r w:rsidR="00D14925">
        <w:rPr>
          <w:color w:val="000000"/>
          <w:shd w:val="clear" w:color="auto" w:fill="FFFFFF"/>
        </w:rPr>
        <w:t xml:space="preserve">ktorým sa stanovujú spoločné ustanovenia </w:t>
        <w:br/>
        <w:t>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925" w:rsidP="004211E9">
    <w:pPr>
      <w:pStyle w:val="Header"/>
      <w:bidi w:val="0"/>
      <w:jc w:val="right"/>
      <w:rPr>
        <w:sz w:val="24"/>
        <w:szCs w:val="24"/>
      </w:rPr>
    </w:pPr>
    <w:r>
      <w:rPr>
        <w:sz w:val="24"/>
        <w:szCs w:val="24"/>
      </w:rPr>
      <w:t>Príloha č. 2</w:t>
    </w:r>
  </w:p>
  <w:p w:rsidR="00D14925" w:rsidRPr="00EB59C8" w:rsidP="004211E9">
    <w:pPr>
      <w:pStyle w:val="Header"/>
      <w:bidi w:val="0"/>
      <w:jc w:val="right"/>
      <w:rPr>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925" w:rsidRPr="000A15AE" w:rsidP="004211E9">
    <w:pPr>
      <w:pStyle w:val="Header"/>
      <w:bidi w:val="0"/>
      <w:jc w:val="right"/>
      <w:rPr>
        <w:sz w:val="24"/>
        <w:szCs w:val="24"/>
      </w:rPr>
    </w:pPr>
    <w:r>
      <w:rPr>
        <w:sz w:val="24"/>
        <w:szCs w:val="24"/>
      </w:rPr>
      <w:t>Príloha č.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3CFC"/>
    <w:multiLevelType w:val="hybridMultilevel"/>
    <w:tmpl w:val="9C64588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4C77C81"/>
    <w:multiLevelType w:val="multilevel"/>
    <w:tmpl w:val="451218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imes New Roman" w:hAnsi="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64536C3"/>
    <w:multiLevelType w:val="hybridMultilevel"/>
    <w:tmpl w:val="1EE48E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7AE50EC"/>
    <w:multiLevelType w:val="hybridMultilevel"/>
    <w:tmpl w:val="4E94F7C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4F35E6C"/>
    <w:multiLevelType w:val="hybridMultilevel"/>
    <w:tmpl w:val="AFCEF4E0"/>
    <w:lvl w:ilvl="0">
      <w:start w:val="1"/>
      <w:numFmt w:val="upp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
    <w:nsid w:val="1B2C2960"/>
    <w:multiLevelType w:val="hybridMultilevel"/>
    <w:tmpl w:val="025027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AAE2004"/>
    <w:multiLevelType w:val="multilevel"/>
    <w:tmpl w:val="276011A8"/>
    <w:lvl w:ilvl="0">
      <w:start w:val="1"/>
      <w:numFmt w:val="decimal"/>
      <w:lvlText w:val="%1."/>
      <w:lvlJc w:val="left"/>
      <w:pPr>
        <w:ind w:left="720" w:hanging="360"/>
      </w:pPr>
      <w:rPr>
        <w:rFonts w:cs="Times New Roman"/>
        <w:rtl w:val="0"/>
        <w:cs w:val="0"/>
      </w:rPr>
    </w:lvl>
    <w:lvl w:ilvl="1">
      <w:start w:val="2"/>
      <w:numFmt w:val="decimal"/>
      <w:isLgl/>
      <w:lvlText w:val="%1.%2."/>
      <w:lvlJc w:val="left"/>
      <w:pPr>
        <w:ind w:left="960" w:hanging="600"/>
      </w:pPr>
      <w:rPr>
        <w:rFonts w:cs="Times New Roman" w:hint="default"/>
        <w:rtl w:val="0"/>
        <w:cs w:val="0"/>
      </w:rPr>
    </w:lvl>
    <w:lvl w:ilvl="2">
      <w:start w:val="3"/>
      <w:numFmt w:val="decimal"/>
      <w:isLgl/>
      <w:lvlText w:val="%1.%2.%3."/>
      <w:lvlJc w:val="left"/>
      <w:pPr>
        <w:ind w:left="1080" w:hanging="720"/>
      </w:pPr>
      <w:rPr>
        <w:rFonts w:cs="Times New Roman" w:hint="default"/>
        <w:rtl w:val="0"/>
        <w:cs w:val="0"/>
      </w:rPr>
    </w:lvl>
    <w:lvl w:ilvl="3">
      <w:start w:val="1"/>
      <w:numFmt w:val="decimal"/>
      <w:isLgl/>
      <w:lvlText w:val="%1.%2.%3.%4."/>
      <w:lvlJc w:val="left"/>
      <w:pPr>
        <w:ind w:left="1080" w:hanging="720"/>
      </w:pPr>
      <w:rPr>
        <w:rFonts w:cs="Times New Roman" w:hint="default"/>
        <w:rtl w:val="0"/>
        <w:cs w:val="0"/>
      </w:rPr>
    </w:lvl>
    <w:lvl w:ilvl="4">
      <w:start w:val="1"/>
      <w:numFmt w:val="decimal"/>
      <w:isLgl/>
      <w:lvlText w:val="%1.%2.%3.%4.%5."/>
      <w:lvlJc w:val="left"/>
      <w:pPr>
        <w:ind w:left="1440" w:hanging="1080"/>
      </w:pPr>
      <w:rPr>
        <w:rFonts w:cs="Times New Roman" w:hint="default"/>
        <w:rtl w:val="0"/>
        <w:cs w:val="0"/>
      </w:rPr>
    </w:lvl>
    <w:lvl w:ilvl="5">
      <w:start w:val="1"/>
      <w:numFmt w:val="decimal"/>
      <w:isLgl/>
      <w:lvlText w:val="%1.%2.%3.%4.%5.%6."/>
      <w:lvlJc w:val="left"/>
      <w:pPr>
        <w:ind w:left="1440" w:hanging="1080"/>
      </w:pPr>
      <w:rPr>
        <w:rFonts w:cs="Times New Roman" w:hint="default"/>
        <w:rtl w:val="0"/>
        <w:cs w:val="0"/>
      </w:rPr>
    </w:lvl>
    <w:lvl w:ilvl="6">
      <w:start w:val="1"/>
      <w:numFmt w:val="decimal"/>
      <w:isLgl/>
      <w:lvlText w:val="%1.%2.%3.%4.%5.%6.%7."/>
      <w:lvlJc w:val="left"/>
      <w:pPr>
        <w:ind w:left="1800" w:hanging="1440"/>
      </w:pPr>
      <w:rPr>
        <w:rFonts w:cs="Times New Roman" w:hint="default"/>
        <w:rtl w:val="0"/>
        <w:cs w:val="0"/>
      </w:rPr>
    </w:lvl>
    <w:lvl w:ilvl="7">
      <w:start w:val="1"/>
      <w:numFmt w:val="decimal"/>
      <w:isLgl/>
      <w:lvlText w:val="%1.%2.%3.%4.%5.%6.%7.%8."/>
      <w:lvlJc w:val="left"/>
      <w:pPr>
        <w:ind w:left="1800" w:hanging="1440"/>
      </w:pPr>
      <w:rPr>
        <w:rFonts w:cs="Times New Roman" w:hint="default"/>
        <w:rtl w:val="0"/>
        <w:cs w:val="0"/>
      </w:rPr>
    </w:lvl>
    <w:lvl w:ilvl="8">
      <w:start w:val="1"/>
      <w:numFmt w:val="decimal"/>
      <w:isLgl/>
      <w:lvlText w:val="%1.%2.%3.%4.%5.%6.%7.%8.%9."/>
      <w:lvlJc w:val="left"/>
      <w:pPr>
        <w:ind w:left="2160" w:hanging="1800"/>
      </w:pPr>
      <w:rPr>
        <w:rFonts w:cs="Times New Roman" w:hint="default"/>
        <w:rtl w:val="0"/>
        <w:cs w:val="0"/>
      </w:rPr>
    </w:lvl>
  </w:abstractNum>
  <w:abstractNum w:abstractNumId="7">
    <w:nsid w:val="35C34946"/>
    <w:multiLevelType w:val="hybridMultilevel"/>
    <w:tmpl w:val="2FE6DD2C"/>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3FCB0F0B"/>
    <w:multiLevelType w:val="hybridMultilevel"/>
    <w:tmpl w:val="C282883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4FA64795"/>
    <w:multiLevelType w:val="hybridMultilevel"/>
    <w:tmpl w:val="1FE4F81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5BE939EE"/>
    <w:multiLevelType w:val="hybridMultilevel"/>
    <w:tmpl w:val="095C88DE"/>
    <w:lvl w:ilvl="0">
      <w:start w:val="1"/>
      <w:numFmt w:val="bullet"/>
      <w:lvlText w:val="-"/>
      <w:lvlJc w:val="left"/>
      <w:pPr>
        <w:ind w:left="1068" w:hanging="360"/>
      </w:pPr>
      <w:rPr>
        <w:rFonts w:ascii="Times New Roman" w:eastAsia="Times New Roman" w:hAnsi="Times New Roman"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11">
    <w:nsid w:val="61095166"/>
    <w:multiLevelType w:val="hybridMultilevel"/>
    <w:tmpl w:val="EC46F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69356BE7"/>
    <w:multiLevelType w:val="hybridMultilevel"/>
    <w:tmpl w:val="D192883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73CC2427"/>
    <w:multiLevelType w:val="hybridMultilevel"/>
    <w:tmpl w:val="662C18B2"/>
    <w:lvl w:ilvl="0">
      <w:start w:val="1"/>
      <w:numFmt w:val="decimal"/>
      <w:lvlText w:val="%1."/>
      <w:lvlJc w:val="left"/>
      <w:pPr>
        <w:ind w:left="720" w:hanging="360"/>
      </w:pPr>
      <w:rPr>
        <w:rFonts w:ascii="Times New Roman" w:eastAsia="Times New Roman" w:hAnsi="Times New Roman" w:cs="Times New Roman"/>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74164FC9"/>
    <w:multiLevelType w:val="hybridMultilevel"/>
    <w:tmpl w:val="7BECA5E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16">
    <w:nsid w:val="7C645C37"/>
    <w:multiLevelType w:val="hybridMultilevel"/>
    <w:tmpl w:val="35F080D8"/>
    <w:lvl w:ilvl="0">
      <w:start w:val="36"/>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7DFE55BA"/>
    <w:multiLevelType w:val="hybridMultilevel"/>
    <w:tmpl w:val="A5F2E1A4"/>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8">
    <w:nsid w:val="7E6A6D74"/>
    <w:multiLevelType w:val="hybridMultilevel"/>
    <w:tmpl w:val="EB42C244"/>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4"/>
  </w:num>
  <w:num w:numId="2">
    <w:abstractNumId w:val="9"/>
  </w:num>
  <w:num w:numId="3">
    <w:abstractNumId w:val="12"/>
  </w:num>
  <w:num w:numId="4">
    <w:abstractNumId w:val="13"/>
  </w:num>
  <w:num w:numId="5">
    <w:abstractNumId w:val="2"/>
  </w:num>
  <w:num w:numId="6">
    <w:abstractNumId w:val="7"/>
  </w:num>
  <w:num w:numId="7">
    <w:abstractNumId w:val="1"/>
  </w:num>
  <w:num w:numId="8">
    <w:abstractNumId w:val="11"/>
  </w:num>
  <w:num w:numId="9">
    <w:abstractNumId w:val="15"/>
  </w:num>
  <w:num w:numId="10">
    <w:abstractNumId w:val="3"/>
  </w:num>
  <w:num w:numId="11">
    <w:abstractNumId w:val="16"/>
  </w:num>
  <w:num w:numId="12">
    <w:abstractNumId w:val="14"/>
  </w:num>
  <w:num w:numId="13">
    <w:abstractNumId w:val="17"/>
  </w:num>
  <w:num w:numId="14">
    <w:abstractNumId w:val="10"/>
  </w:num>
  <w:num w:numId="15">
    <w:abstractNumId w:val="5"/>
  </w:num>
  <w:num w:numId="16">
    <w:abstractNumId w:val="6"/>
  </w:num>
  <w:num w:numId="17">
    <w:abstractNumId w:val="8"/>
  </w:num>
  <w:num w:numId="18">
    <w:abstractNumId w:val="0"/>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TrackMoves/>
  <w:defaultTabStop w:val="708"/>
  <w:hyphenationZone w:val="425"/>
  <w:characterSpacingControl w:val="doNotCompress"/>
  <w:footnotePr>
    <w:footnote w:id="0"/>
    <w:footnote w:id="1"/>
  </w:footnotePr>
  <w:compat/>
  <w:rsids>
    <w:rsidRoot w:val="00914781"/>
    <w:rsid w:val="0000108F"/>
    <w:rsid w:val="00001BEB"/>
    <w:rsid w:val="00001C9D"/>
    <w:rsid w:val="00002842"/>
    <w:rsid w:val="00003034"/>
    <w:rsid w:val="000043C5"/>
    <w:rsid w:val="00006469"/>
    <w:rsid w:val="00007445"/>
    <w:rsid w:val="0001084F"/>
    <w:rsid w:val="00012D3C"/>
    <w:rsid w:val="000135B7"/>
    <w:rsid w:val="00014490"/>
    <w:rsid w:val="00015ABA"/>
    <w:rsid w:val="00016611"/>
    <w:rsid w:val="000179B4"/>
    <w:rsid w:val="000204E5"/>
    <w:rsid w:val="00023BF4"/>
    <w:rsid w:val="00027E26"/>
    <w:rsid w:val="0003125E"/>
    <w:rsid w:val="00031391"/>
    <w:rsid w:val="000335D7"/>
    <w:rsid w:val="000345C6"/>
    <w:rsid w:val="00034FEC"/>
    <w:rsid w:val="000361E4"/>
    <w:rsid w:val="00037075"/>
    <w:rsid w:val="000378EE"/>
    <w:rsid w:val="00042BC9"/>
    <w:rsid w:val="00043BD3"/>
    <w:rsid w:val="00047520"/>
    <w:rsid w:val="000501F2"/>
    <w:rsid w:val="000506C4"/>
    <w:rsid w:val="00050D16"/>
    <w:rsid w:val="00051CDC"/>
    <w:rsid w:val="00052E0F"/>
    <w:rsid w:val="00053A00"/>
    <w:rsid w:val="000544E0"/>
    <w:rsid w:val="0005594B"/>
    <w:rsid w:val="00057538"/>
    <w:rsid w:val="000617F5"/>
    <w:rsid w:val="00061DCC"/>
    <w:rsid w:val="000635C6"/>
    <w:rsid w:val="0007348C"/>
    <w:rsid w:val="0007442A"/>
    <w:rsid w:val="00074738"/>
    <w:rsid w:val="0007518E"/>
    <w:rsid w:val="00080FF7"/>
    <w:rsid w:val="000870C1"/>
    <w:rsid w:val="000875BB"/>
    <w:rsid w:val="00087DA5"/>
    <w:rsid w:val="00091BD9"/>
    <w:rsid w:val="00093700"/>
    <w:rsid w:val="0009438C"/>
    <w:rsid w:val="000947C1"/>
    <w:rsid w:val="000955FE"/>
    <w:rsid w:val="000959B0"/>
    <w:rsid w:val="000969B0"/>
    <w:rsid w:val="00096F89"/>
    <w:rsid w:val="000A15AE"/>
    <w:rsid w:val="000A2BF1"/>
    <w:rsid w:val="000A2D64"/>
    <w:rsid w:val="000A58A2"/>
    <w:rsid w:val="000A5CC3"/>
    <w:rsid w:val="000B01FA"/>
    <w:rsid w:val="000B0C38"/>
    <w:rsid w:val="000B614F"/>
    <w:rsid w:val="000B627D"/>
    <w:rsid w:val="000B6D3A"/>
    <w:rsid w:val="000C26EC"/>
    <w:rsid w:val="000C330B"/>
    <w:rsid w:val="000C39C4"/>
    <w:rsid w:val="000C534B"/>
    <w:rsid w:val="000D0939"/>
    <w:rsid w:val="000D0F8F"/>
    <w:rsid w:val="000D1756"/>
    <w:rsid w:val="000D178E"/>
    <w:rsid w:val="000D324E"/>
    <w:rsid w:val="000D4C6B"/>
    <w:rsid w:val="000D5006"/>
    <w:rsid w:val="000D5130"/>
    <w:rsid w:val="000D5511"/>
    <w:rsid w:val="000E0131"/>
    <w:rsid w:val="000E1D63"/>
    <w:rsid w:val="000E2558"/>
    <w:rsid w:val="000E3ABB"/>
    <w:rsid w:val="000E4455"/>
    <w:rsid w:val="000E4E1E"/>
    <w:rsid w:val="000E5138"/>
    <w:rsid w:val="000E5C5F"/>
    <w:rsid w:val="000E6BC7"/>
    <w:rsid w:val="000E7FEC"/>
    <w:rsid w:val="000F13A1"/>
    <w:rsid w:val="000F5028"/>
    <w:rsid w:val="000F6196"/>
    <w:rsid w:val="000F62E5"/>
    <w:rsid w:val="000F6B14"/>
    <w:rsid w:val="000F73EB"/>
    <w:rsid w:val="000F7A08"/>
    <w:rsid w:val="00100088"/>
    <w:rsid w:val="00105A8C"/>
    <w:rsid w:val="00106388"/>
    <w:rsid w:val="00106817"/>
    <w:rsid w:val="001068CE"/>
    <w:rsid w:val="00106E84"/>
    <w:rsid w:val="00107969"/>
    <w:rsid w:val="001109C5"/>
    <w:rsid w:val="00111022"/>
    <w:rsid w:val="001111B5"/>
    <w:rsid w:val="00113C38"/>
    <w:rsid w:val="001177B2"/>
    <w:rsid w:val="00120DAD"/>
    <w:rsid w:val="001215E3"/>
    <w:rsid w:val="00121AD2"/>
    <w:rsid w:val="00121FC4"/>
    <w:rsid w:val="00123AFE"/>
    <w:rsid w:val="00126AAF"/>
    <w:rsid w:val="00131C61"/>
    <w:rsid w:val="001329D8"/>
    <w:rsid w:val="00133A16"/>
    <w:rsid w:val="0013464C"/>
    <w:rsid w:val="001353B6"/>
    <w:rsid w:val="00137472"/>
    <w:rsid w:val="001402F9"/>
    <w:rsid w:val="001430EC"/>
    <w:rsid w:val="00143B0D"/>
    <w:rsid w:val="00147031"/>
    <w:rsid w:val="0014728D"/>
    <w:rsid w:val="001521CE"/>
    <w:rsid w:val="001522DB"/>
    <w:rsid w:val="001528E7"/>
    <w:rsid w:val="00152C57"/>
    <w:rsid w:val="001530C8"/>
    <w:rsid w:val="001541CA"/>
    <w:rsid w:val="00160F16"/>
    <w:rsid w:val="001619A4"/>
    <w:rsid w:val="0016571D"/>
    <w:rsid w:val="00165961"/>
    <w:rsid w:val="00171FF3"/>
    <w:rsid w:val="00172A2C"/>
    <w:rsid w:val="00172D07"/>
    <w:rsid w:val="00177957"/>
    <w:rsid w:val="00177C55"/>
    <w:rsid w:val="001802F0"/>
    <w:rsid w:val="00182CC2"/>
    <w:rsid w:val="00183C38"/>
    <w:rsid w:val="00185034"/>
    <w:rsid w:val="001853DD"/>
    <w:rsid w:val="00186D15"/>
    <w:rsid w:val="001877FF"/>
    <w:rsid w:val="001947EF"/>
    <w:rsid w:val="001949D2"/>
    <w:rsid w:val="0019511B"/>
    <w:rsid w:val="0019680B"/>
    <w:rsid w:val="00196E24"/>
    <w:rsid w:val="00197638"/>
    <w:rsid w:val="00197681"/>
    <w:rsid w:val="001A15B9"/>
    <w:rsid w:val="001A24A5"/>
    <w:rsid w:val="001A2848"/>
    <w:rsid w:val="001A3713"/>
    <w:rsid w:val="001A4C78"/>
    <w:rsid w:val="001A637D"/>
    <w:rsid w:val="001A66C5"/>
    <w:rsid w:val="001A6F42"/>
    <w:rsid w:val="001A7B93"/>
    <w:rsid w:val="001B169F"/>
    <w:rsid w:val="001B2C06"/>
    <w:rsid w:val="001B37D5"/>
    <w:rsid w:val="001B4A64"/>
    <w:rsid w:val="001B5717"/>
    <w:rsid w:val="001C1518"/>
    <w:rsid w:val="001C361F"/>
    <w:rsid w:val="001C55D3"/>
    <w:rsid w:val="001C6F0C"/>
    <w:rsid w:val="001D0780"/>
    <w:rsid w:val="001D1E06"/>
    <w:rsid w:val="001D5FB4"/>
    <w:rsid w:val="001D6153"/>
    <w:rsid w:val="001E0A7A"/>
    <w:rsid w:val="001E43C8"/>
    <w:rsid w:val="001E45F7"/>
    <w:rsid w:val="001E638B"/>
    <w:rsid w:val="001E737A"/>
    <w:rsid w:val="001F020B"/>
    <w:rsid w:val="001F172A"/>
    <w:rsid w:val="001F188D"/>
    <w:rsid w:val="001F2852"/>
    <w:rsid w:val="001F41A7"/>
    <w:rsid w:val="001F437A"/>
    <w:rsid w:val="001F59E5"/>
    <w:rsid w:val="001F7EE5"/>
    <w:rsid w:val="00201585"/>
    <w:rsid w:val="00201A61"/>
    <w:rsid w:val="002020F8"/>
    <w:rsid w:val="00204640"/>
    <w:rsid w:val="00205738"/>
    <w:rsid w:val="00205FCD"/>
    <w:rsid w:val="00206006"/>
    <w:rsid w:val="00211ABF"/>
    <w:rsid w:val="00211FE4"/>
    <w:rsid w:val="002121FC"/>
    <w:rsid w:val="00212894"/>
    <w:rsid w:val="00213255"/>
    <w:rsid w:val="0021373C"/>
    <w:rsid w:val="00213D9A"/>
    <w:rsid w:val="0021486C"/>
    <w:rsid w:val="00214EA0"/>
    <w:rsid w:val="00216323"/>
    <w:rsid w:val="00220363"/>
    <w:rsid w:val="00224BEC"/>
    <w:rsid w:val="002301EE"/>
    <w:rsid w:val="002303C5"/>
    <w:rsid w:val="0023385A"/>
    <w:rsid w:val="00234229"/>
    <w:rsid w:val="00234552"/>
    <w:rsid w:val="00234D6C"/>
    <w:rsid w:val="00235C3E"/>
    <w:rsid w:val="00236397"/>
    <w:rsid w:val="0024220D"/>
    <w:rsid w:val="0024388D"/>
    <w:rsid w:val="002469F9"/>
    <w:rsid w:val="00246FA3"/>
    <w:rsid w:val="00247821"/>
    <w:rsid w:val="002511C0"/>
    <w:rsid w:val="002511FF"/>
    <w:rsid w:val="00253F25"/>
    <w:rsid w:val="0025517C"/>
    <w:rsid w:val="00256A6B"/>
    <w:rsid w:val="002573F1"/>
    <w:rsid w:val="00260AE8"/>
    <w:rsid w:val="00261075"/>
    <w:rsid w:val="0026119B"/>
    <w:rsid w:val="00261400"/>
    <w:rsid w:val="002618DE"/>
    <w:rsid w:val="00264D09"/>
    <w:rsid w:val="00265F31"/>
    <w:rsid w:val="00267B2E"/>
    <w:rsid w:val="002725A2"/>
    <w:rsid w:val="002725BA"/>
    <w:rsid w:val="0027289A"/>
    <w:rsid w:val="0027381A"/>
    <w:rsid w:val="0028308D"/>
    <w:rsid w:val="00283ACF"/>
    <w:rsid w:val="002856BF"/>
    <w:rsid w:val="0028591C"/>
    <w:rsid w:val="002867A9"/>
    <w:rsid w:val="0029027A"/>
    <w:rsid w:val="0029103E"/>
    <w:rsid w:val="00293ECC"/>
    <w:rsid w:val="00295E81"/>
    <w:rsid w:val="00296924"/>
    <w:rsid w:val="002A0627"/>
    <w:rsid w:val="002A1889"/>
    <w:rsid w:val="002A39FA"/>
    <w:rsid w:val="002A54DB"/>
    <w:rsid w:val="002A7188"/>
    <w:rsid w:val="002B2B63"/>
    <w:rsid w:val="002B43B2"/>
    <w:rsid w:val="002B5B09"/>
    <w:rsid w:val="002B5E32"/>
    <w:rsid w:val="002B78A3"/>
    <w:rsid w:val="002C4E93"/>
    <w:rsid w:val="002D0C1C"/>
    <w:rsid w:val="002D26CA"/>
    <w:rsid w:val="002D376B"/>
    <w:rsid w:val="002D5C1A"/>
    <w:rsid w:val="002D64FB"/>
    <w:rsid w:val="002D6D80"/>
    <w:rsid w:val="002E0848"/>
    <w:rsid w:val="002E0E07"/>
    <w:rsid w:val="002E1FB0"/>
    <w:rsid w:val="002E3020"/>
    <w:rsid w:val="002E37DB"/>
    <w:rsid w:val="002E3A76"/>
    <w:rsid w:val="002E4854"/>
    <w:rsid w:val="002E6CEE"/>
    <w:rsid w:val="002E784A"/>
    <w:rsid w:val="002F12B1"/>
    <w:rsid w:val="002F227B"/>
    <w:rsid w:val="002F29A2"/>
    <w:rsid w:val="002F349B"/>
    <w:rsid w:val="002F4BF5"/>
    <w:rsid w:val="002F736E"/>
    <w:rsid w:val="003013C0"/>
    <w:rsid w:val="00304825"/>
    <w:rsid w:val="003073CD"/>
    <w:rsid w:val="003073F4"/>
    <w:rsid w:val="003106D7"/>
    <w:rsid w:val="00313258"/>
    <w:rsid w:val="00314234"/>
    <w:rsid w:val="00314A6D"/>
    <w:rsid w:val="00314CA8"/>
    <w:rsid w:val="00315671"/>
    <w:rsid w:val="00315F8C"/>
    <w:rsid w:val="003220E7"/>
    <w:rsid w:val="0032416F"/>
    <w:rsid w:val="00327B67"/>
    <w:rsid w:val="00327E80"/>
    <w:rsid w:val="00331648"/>
    <w:rsid w:val="00332C68"/>
    <w:rsid w:val="00333FD5"/>
    <w:rsid w:val="00334CB2"/>
    <w:rsid w:val="003368AE"/>
    <w:rsid w:val="00341B01"/>
    <w:rsid w:val="0034522D"/>
    <w:rsid w:val="00350971"/>
    <w:rsid w:val="00351579"/>
    <w:rsid w:val="003521B4"/>
    <w:rsid w:val="00353BEE"/>
    <w:rsid w:val="00353EF8"/>
    <w:rsid w:val="0035404E"/>
    <w:rsid w:val="00362421"/>
    <w:rsid w:val="003665BE"/>
    <w:rsid w:val="00367996"/>
    <w:rsid w:val="003679F0"/>
    <w:rsid w:val="003711F4"/>
    <w:rsid w:val="00371655"/>
    <w:rsid w:val="0037194E"/>
    <w:rsid w:val="00372999"/>
    <w:rsid w:val="00373A76"/>
    <w:rsid w:val="00373F31"/>
    <w:rsid w:val="0037489A"/>
    <w:rsid w:val="00374D51"/>
    <w:rsid w:val="003765FD"/>
    <w:rsid w:val="00376714"/>
    <w:rsid w:val="003773C7"/>
    <w:rsid w:val="003842A0"/>
    <w:rsid w:val="00385432"/>
    <w:rsid w:val="0038600F"/>
    <w:rsid w:val="00386515"/>
    <w:rsid w:val="0039098C"/>
    <w:rsid w:val="00390A84"/>
    <w:rsid w:val="00390E58"/>
    <w:rsid w:val="00390F84"/>
    <w:rsid w:val="0039276B"/>
    <w:rsid w:val="0039276E"/>
    <w:rsid w:val="00392FC9"/>
    <w:rsid w:val="00393949"/>
    <w:rsid w:val="003939B6"/>
    <w:rsid w:val="00394D21"/>
    <w:rsid w:val="003953E9"/>
    <w:rsid w:val="003959CF"/>
    <w:rsid w:val="00397F46"/>
    <w:rsid w:val="003A008F"/>
    <w:rsid w:val="003A00AB"/>
    <w:rsid w:val="003A0820"/>
    <w:rsid w:val="003A0AA0"/>
    <w:rsid w:val="003A0FA9"/>
    <w:rsid w:val="003A1C8C"/>
    <w:rsid w:val="003A34D1"/>
    <w:rsid w:val="003A5C6F"/>
    <w:rsid w:val="003A6089"/>
    <w:rsid w:val="003B057F"/>
    <w:rsid w:val="003B05EC"/>
    <w:rsid w:val="003B181A"/>
    <w:rsid w:val="003B2369"/>
    <w:rsid w:val="003B2894"/>
    <w:rsid w:val="003B2CEF"/>
    <w:rsid w:val="003B487F"/>
    <w:rsid w:val="003B70FB"/>
    <w:rsid w:val="003B7222"/>
    <w:rsid w:val="003C047D"/>
    <w:rsid w:val="003C1757"/>
    <w:rsid w:val="003C1C3D"/>
    <w:rsid w:val="003C4BE6"/>
    <w:rsid w:val="003C6F88"/>
    <w:rsid w:val="003D2BC6"/>
    <w:rsid w:val="003D5035"/>
    <w:rsid w:val="003D539D"/>
    <w:rsid w:val="003D7B55"/>
    <w:rsid w:val="003E17F2"/>
    <w:rsid w:val="003E6703"/>
    <w:rsid w:val="003F0236"/>
    <w:rsid w:val="003F1070"/>
    <w:rsid w:val="003F4D15"/>
    <w:rsid w:val="003F520E"/>
    <w:rsid w:val="003F6A62"/>
    <w:rsid w:val="003F7D6A"/>
    <w:rsid w:val="004005EE"/>
    <w:rsid w:val="004054DF"/>
    <w:rsid w:val="00405D79"/>
    <w:rsid w:val="00406C07"/>
    <w:rsid w:val="0041092A"/>
    <w:rsid w:val="004116B4"/>
    <w:rsid w:val="0041521E"/>
    <w:rsid w:val="00417488"/>
    <w:rsid w:val="004211E9"/>
    <w:rsid w:val="0042197B"/>
    <w:rsid w:val="0042283E"/>
    <w:rsid w:val="00422A51"/>
    <w:rsid w:val="00423650"/>
    <w:rsid w:val="00423D72"/>
    <w:rsid w:val="00426BFE"/>
    <w:rsid w:val="00427BFE"/>
    <w:rsid w:val="004319D8"/>
    <w:rsid w:val="004320B9"/>
    <w:rsid w:val="00433925"/>
    <w:rsid w:val="00435BF7"/>
    <w:rsid w:val="00440097"/>
    <w:rsid w:val="0044082C"/>
    <w:rsid w:val="00441502"/>
    <w:rsid w:val="00441846"/>
    <w:rsid w:val="00441ABD"/>
    <w:rsid w:val="004421E4"/>
    <w:rsid w:val="00442FF0"/>
    <w:rsid w:val="00445BFB"/>
    <w:rsid w:val="00446258"/>
    <w:rsid w:val="004510BC"/>
    <w:rsid w:val="00452F6D"/>
    <w:rsid w:val="004549C0"/>
    <w:rsid w:val="00454F2A"/>
    <w:rsid w:val="00455CCA"/>
    <w:rsid w:val="004567D2"/>
    <w:rsid w:val="004577FD"/>
    <w:rsid w:val="00460FDE"/>
    <w:rsid w:val="0046167F"/>
    <w:rsid w:val="00461A6A"/>
    <w:rsid w:val="004620E4"/>
    <w:rsid w:val="00465332"/>
    <w:rsid w:val="00466208"/>
    <w:rsid w:val="00467E68"/>
    <w:rsid w:val="004771B4"/>
    <w:rsid w:val="00477AB6"/>
    <w:rsid w:val="00477AB9"/>
    <w:rsid w:val="00477F24"/>
    <w:rsid w:val="004803BF"/>
    <w:rsid w:val="00483674"/>
    <w:rsid w:val="00486772"/>
    <w:rsid w:val="00486828"/>
    <w:rsid w:val="0049039C"/>
    <w:rsid w:val="00492AD7"/>
    <w:rsid w:val="004947B0"/>
    <w:rsid w:val="00495464"/>
    <w:rsid w:val="00495842"/>
    <w:rsid w:val="0049678D"/>
    <w:rsid w:val="00496B64"/>
    <w:rsid w:val="004A13CF"/>
    <w:rsid w:val="004A1BB3"/>
    <w:rsid w:val="004A24BF"/>
    <w:rsid w:val="004A27E3"/>
    <w:rsid w:val="004A4566"/>
    <w:rsid w:val="004A490B"/>
    <w:rsid w:val="004A4FAF"/>
    <w:rsid w:val="004A7247"/>
    <w:rsid w:val="004A757C"/>
    <w:rsid w:val="004B1D8B"/>
    <w:rsid w:val="004B501D"/>
    <w:rsid w:val="004B5675"/>
    <w:rsid w:val="004B7EF4"/>
    <w:rsid w:val="004C19E7"/>
    <w:rsid w:val="004C243C"/>
    <w:rsid w:val="004C2A31"/>
    <w:rsid w:val="004C47CB"/>
    <w:rsid w:val="004C4841"/>
    <w:rsid w:val="004C6AD9"/>
    <w:rsid w:val="004C7F86"/>
    <w:rsid w:val="004D0BEF"/>
    <w:rsid w:val="004D0FB4"/>
    <w:rsid w:val="004D1644"/>
    <w:rsid w:val="004D197C"/>
    <w:rsid w:val="004D2C55"/>
    <w:rsid w:val="004D37AE"/>
    <w:rsid w:val="004D44B5"/>
    <w:rsid w:val="004D56B7"/>
    <w:rsid w:val="004D5ED7"/>
    <w:rsid w:val="004E2B9D"/>
    <w:rsid w:val="004E2F55"/>
    <w:rsid w:val="004E3E25"/>
    <w:rsid w:val="004E542A"/>
    <w:rsid w:val="004E561B"/>
    <w:rsid w:val="004E59C2"/>
    <w:rsid w:val="004E5A78"/>
    <w:rsid w:val="004E7145"/>
    <w:rsid w:val="004F066E"/>
    <w:rsid w:val="004F21B2"/>
    <w:rsid w:val="004F4129"/>
    <w:rsid w:val="004F54C0"/>
    <w:rsid w:val="004F577A"/>
    <w:rsid w:val="0050109A"/>
    <w:rsid w:val="0050214A"/>
    <w:rsid w:val="005046A6"/>
    <w:rsid w:val="00504AE7"/>
    <w:rsid w:val="00504E2E"/>
    <w:rsid w:val="00505178"/>
    <w:rsid w:val="0051042F"/>
    <w:rsid w:val="00512892"/>
    <w:rsid w:val="005130A4"/>
    <w:rsid w:val="005162C4"/>
    <w:rsid w:val="005163E3"/>
    <w:rsid w:val="005166B0"/>
    <w:rsid w:val="0052146D"/>
    <w:rsid w:val="0052196F"/>
    <w:rsid w:val="00521E05"/>
    <w:rsid w:val="00522C65"/>
    <w:rsid w:val="00524286"/>
    <w:rsid w:val="00524586"/>
    <w:rsid w:val="00525519"/>
    <w:rsid w:val="005264A2"/>
    <w:rsid w:val="00530EF4"/>
    <w:rsid w:val="0053302E"/>
    <w:rsid w:val="00533974"/>
    <w:rsid w:val="0053479F"/>
    <w:rsid w:val="00534F31"/>
    <w:rsid w:val="00535E9D"/>
    <w:rsid w:val="005376C8"/>
    <w:rsid w:val="00543B8E"/>
    <w:rsid w:val="0054613B"/>
    <w:rsid w:val="00546EAB"/>
    <w:rsid w:val="005550D9"/>
    <w:rsid w:val="00556247"/>
    <w:rsid w:val="0055705A"/>
    <w:rsid w:val="00563763"/>
    <w:rsid w:val="005637B3"/>
    <w:rsid w:val="00564DD7"/>
    <w:rsid w:val="005700D3"/>
    <w:rsid w:val="005716FB"/>
    <w:rsid w:val="00571BC8"/>
    <w:rsid w:val="00573F04"/>
    <w:rsid w:val="00574D98"/>
    <w:rsid w:val="00575952"/>
    <w:rsid w:val="00577BE3"/>
    <w:rsid w:val="005804BE"/>
    <w:rsid w:val="00580548"/>
    <w:rsid w:val="005825B0"/>
    <w:rsid w:val="00582B5C"/>
    <w:rsid w:val="00582D22"/>
    <w:rsid w:val="00585555"/>
    <w:rsid w:val="005878B7"/>
    <w:rsid w:val="00587CD5"/>
    <w:rsid w:val="00590C0C"/>
    <w:rsid w:val="00590C14"/>
    <w:rsid w:val="00592E02"/>
    <w:rsid w:val="00594CF1"/>
    <w:rsid w:val="00595A08"/>
    <w:rsid w:val="0059620D"/>
    <w:rsid w:val="00596681"/>
    <w:rsid w:val="00597B8C"/>
    <w:rsid w:val="005A38A3"/>
    <w:rsid w:val="005A45B1"/>
    <w:rsid w:val="005A63B7"/>
    <w:rsid w:val="005B232C"/>
    <w:rsid w:val="005B26F0"/>
    <w:rsid w:val="005B445F"/>
    <w:rsid w:val="005B551F"/>
    <w:rsid w:val="005C145B"/>
    <w:rsid w:val="005C621B"/>
    <w:rsid w:val="005C6511"/>
    <w:rsid w:val="005D084E"/>
    <w:rsid w:val="005D12C5"/>
    <w:rsid w:val="005D244B"/>
    <w:rsid w:val="005D3066"/>
    <w:rsid w:val="005D4A03"/>
    <w:rsid w:val="005D7B4F"/>
    <w:rsid w:val="005D7F64"/>
    <w:rsid w:val="005E016A"/>
    <w:rsid w:val="005E0CB1"/>
    <w:rsid w:val="005E2421"/>
    <w:rsid w:val="005E2888"/>
    <w:rsid w:val="005E4400"/>
    <w:rsid w:val="005E4C97"/>
    <w:rsid w:val="005E6B40"/>
    <w:rsid w:val="005E7EC5"/>
    <w:rsid w:val="005F0296"/>
    <w:rsid w:val="005F0F68"/>
    <w:rsid w:val="005F2072"/>
    <w:rsid w:val="005F2702"/>
    <w:rsid w:val="005F2C4F"/>
    <w:rsid w:val="005F32F5"/>
    <w:rsid w:val="005F5D02"/>
    <w:rsid w:val="006001F2"/>
    <w:rsid w:val="00600B5F"/>
    <w:rsid w:val="006011D5"/>
    <w:rsid w:val="00601D4A"/>
    <w:rsid w:val="00602CAF"/>
    <w:rsid w:val="0060314B"/>
    <w:rsid w:val="00603654"/>
    <w:rsid w:val="00603E6E"/>
    <w:rsid w:val="00604874"/>
    <w:rsid w:val="006049B2"/>
    <w:rsid w:val="006065C8"/>
    <w:rsid w:val="0061040B"/>
    <w:rsid w:val="00610692"/>
    <w:rsid w:val="00611B30"/>
    <w:rsid w:val="00612266"/>
    <w:rsid w:val="006134E6"/>
    <w:rsid w:val="00613ED3"/>
    <w:rsid w:val="006165A1"/>
    <w:rsid w:val="00617111"/>
    <w:rsid w:val="00617A8C"/>
    <w:rsid w:val="00630D4A"/>
    <w:rsid w:val="00631019"/>
    <w:rsid w:val="00631AF0"/>
    <w:rsid w:val="00631F93"/>
    <w:rsid w:val="00633D2E"/>
    <w:rsid w:val="00637D08"/>
    <w:rsid w:val="00643302"/>
    <w:rsid w:val="00643AA7"/>
    <w:rsid w:val="0064577D"/>
    <w:rsid w:val="00651442"/>
    <w:rsid w:val="00651C05"/>
    <w:rsid w:val="00652E04"/>
    <w:rsid w:val="00654D70"/>
    <w:rsid w:val="00660D61"/>
    <w:rsid w:val="00663BAA"/>
    <w:rsid w:val="00664352"/>
    <w:rsid w:val="00664848"/>
    <w:rsid w:val="006659C2"/>
    <w:rsid w:val="00665FD0"/>
    <w:rsid w:val="00676F3F"/>
    <w:rsid w:val="00680A5A"/>
    <w:rsid w:val="00681CCB"/>
    <w:rsid w:val="00682549"/>
    <w:rsid w:val="00683C4C"/>
    <w:rsid w:val="00685EF0"/>
    <w:rsid w:val="00687F19"/>
    <w:rsid w:val="00691133"/>
    <w:rsid w:val="006937A5"/>
    <w:rsid w:val="006A209F"/>
    <w:rsid w:val="006A2D0F"/>
    <w:rsid w:val="006A6639"/>
    <w:rsid w:val="006B0200"/>
    <w:rsid w:val="006B111C"/>
    <w:rsid w:val="006B1C1A"/>
    <w:rsid w:val="006B1DF9"/>
    <w:rsid w:val="006B5157"/>
    <w:rsid w:val="006B71C4"/>
    <w:rsid w:val="006C0DF7"/>
    <w:rsid w:val="006C3559"/>
    <w:rsid w:val="006D1030"/>
    <w:rsid w:val="006D1DFE"/>
    <w:rsid w:val="006D2672"/>
    <w:rsid w:val="006D5375"/>
    <w:rsid w:val="006D5F42"/>
    <w:rsid w:val="006E19B0"/>
    <w:rsid w:val="006E4EE7"/>
    <w:rsid w:val="006E53F2"/>
    <w:rsid w:val="006E79C3"/>
    <w:rsid w:val="006E79C5"/>
    <w:rsid w:val="006F4AF0"/>
    <w:rsid w:val="006F5489"/>
    <w:rsid w:val="006F60A7"/>
    <w:rsid w:val="006F6EAC"/>
    <w:rsid w:val="00700B45"/>
    <w:rsid w:val="007055D9"/>
    <w:rsid w:val="00705B33"/>
    <w:rsid w:val="00707512"/>
    <w:rsid w:val="00707C13"/>
    <w:rsid w:val="00711098"/>
    <w:rsid w:val="00711E40"/>
    <w:rsid w:val="00712CF9"/>
    <w:rsid w:val="00712D3A"/>
    <w:rsid w:val="00722450"/>
    <w:rsid w:val="00724782"/>
    <w:rsid w:val="00725EA2"/>
    <w:rsid w:val="00727127"/>
    <w:rsid w:val="007312DE"/>
    <w:rsid w:val="00733A82"/>
    <w:rsid w:val="00733C2A"/>
    <w:rsid w:val="00737A93"/>
    <w:rsid w:val="00740C99"/>
    <w:rsid w:val="00741C8A"/>
    <w:rsid w:val="00743922"/>
    <w:rsid w:val="00745252"/>
    <w:rsid w:val="007477CF"/>
    <w:rsid w:val="0075330C"/>
    <w:rsid w:val="00756714"/>
    <w:rsid w:val="00756D71"/>
    <w:rsid w:val="00760426"/>
    <w:rsid w:val="0076048A"/>
    <w:rsid w:val="0076133D"/>
    <w:rsid w:val="007617A0"/>
    <w:rsid w:val="00761B61"/>
    <w:rsid w:val="00762D04"/>
    <w:rsid w:val="00765D09"/>
    <w:rsid w:val="00772966"/>
    <w:rsid w:val="00772A5C"/>
    <w:rsid w:val="00774D85"/>
    <w:rsid w:val="00777279"/>
    <w:rsid w:val="0077763B"/>
    <w:rsid w:val="007819CC"/>
    <w:rsid w:val="00782227"/>
    <w:rsid w:val="00782D50"/>
    <w:rsid w:val="0078380D"/>
    <w:rsid w:val="00784A57"/>
    <w:rsid w:val="00786C9E"/>
    <w:rsid w:val="007911CC"/>
    <w:rsid w:val="0079358F"/>
    <w:rsid w:val="00794F66"/>
    <w:rsid w:val="00797520"/>
    <w:rsid w:val="00797EDA"/>
    <w:rsid w:val="007A0B2F"/>
    <w:rsid w:val="007A12AB"/>
    <w:rsid w:val="007A244C"/>
    <w:rsid w:val="007A247A"/>
    <w:rsid w:val="007A2EB6"/>
    <w:rsid w:val="007A300D"/>
    <w:rsid w:val="007A37B0"/>
    <w:rsid w:val="007A3C6A"/>
    <w:rsid w:val="007A3F24"/>
    <w:rsid w:val="007A454E"/>
    <w:rsid w:val="007A4AC9"/>
    <w:rsid w:val="007A5E32"/>
    <w:rsid w:val="007A695D"/>
    <w:rsid w:val="007A6B1D"/>
    <w:rsid w:val="007A71D5"/>
    <w:rsid w:val="007B00DE"/>
    <w:rsid w:val="007B0A46"/>
    <w:rsid w:val="007B24AB"/>
    <w:rsid w:val="007B67A9"/>
    <w:rsid w:val="007C169B"/>
    <w:rsid w:val="007C2628"/>
    <w:rsid w:val="007C46C7"/>
    <w:rsid w:val="007C48F7"/>
    <w:rsid w:val="007C508D"/>
    <w:rsid w:val="007C5C12"/>
    <w:rsid w:val="007D07C2"/>
    <w:rsid w:val="007D1836"/>
    <w:rsid w:val="007D1EC9"/>
    <w:rsid w:val="007D2287"/>
    <w:rsid w:val="007D3F06"/>
    <w:rsid w:val="007D54CC"/>
    <w:rsid w:val="007D5748"/>
    <w:rsid w:val="007D7951"/>
    <w:rsid w:val="007E1C8A"/>
    <w:rsid w:val="007E3041"/>
    <w:rsid w:val="007E3E2B"/>
    <w:rsid w:val="007E40B6"/>
    <w:rsid w:val="007E52A4"/>
    <w:rsid w:val="007E5D58"/>
    <w:rsid w:val="007E7F2D"/>
    <w:rsid w:val="007F0EA0"/>
    <w:rsid w:val="007F2D31"/>
    <w:rsid w:val="007F4A3A"/>
    <w:rsid w:val="007F551A"/>
    <w:rsid w:val="007F6BB7"/>
    <w:rsid w:val="007F72EC"/>
    <w:rsid w:val="007F7F1D"/>
    <w:rsid w:val="00800FDB"/>
    <w:rsid w:val="00807113"/>
    <w:rsid w:val="008078CF"/>
    <w:rsid w:val="00807D28"/>
    <w:rsid w:val="008112B3"/>
    <w:rsid w:val="00811E82"/>
    <w:rsid w:val="0081480E"/>
    <w:rsid w:val="00817B8E"/>
    <w:rsid w:val="00817DA4"/>
    <w:rsid w:val="00817E97"/>
    <w:rsid w:val="00821D31"/>
    <w:rsid w:val="008230E0"/>
    <w:rsid w:val="008238B8"/>
    <w:rsid w:val="00823FBC"/>
    <w:rsid w:val="00824EEB"/>
    <w:rsid w:val="00825988"/>
    <w:rsid w:val="008260D8"/>
    <w:rsid w:val="0082615F"/>
    <w:rsid w:val="008353D2"/>
    <w:rsid w:val="008363C6"/>
    <w:rsid w:val="00836A75"/>
    <w:rsid w:val="00836F0C"/>
    <w:rsid w:val="00836FEA"/>
    <w:rsid w:val="00837B37"/>
    <w:rsid w:val="008425B5"/>
    <w:rsid w:val="008427B7"/>
    <w:rsid w:val="008430FD"/>
    <w:rsid w:val="0084469B"/>
    <w:rsid w:val="008456CA"/>
    <w:rsid w:val="00846079"/>
    <w:rsid w:val="00847E36"/>
    <w:rsid w:val="00850848"/>
    <w:rsid w:val="00855E8A"/>
    <w:rsid w:val="0086314B"/>
    <w:rsid w:val="00864884"/>
    <w:rsid w:val="00865A13"/>
    <w:rsid w:val="00866C2B"/>
    <w:rsid w:val="00866D88"/>
    <w:rsid w:val="00870FEB"/>
    <w:rsid w:val="008733A4"/>
    <w:rsid w:val="00873D60"/>
    <w:rsid w:val="00874D8F"/>
    <w:rsid w:val="008768A4"/>
    <w:rsid w:val="008771A4"/>
    <w:rsid w:val="008773B6"/>
    <w:rsid w:val="00880272"/>
    <w:rsid w:val="00880879"/>
    <w:rsid w:val="00881446"/>
    <w:rsid w:val="00882C1A"/>
    <w:rsid w:val="0088434F"/>
    <w:rsid w:val="00885D87"/>
    <w:rsid w:val="00887C74"/>
    <w:rsid w:val="00892417"/>
    <w:rsid w:val="00895A05"/>
    <w:rsid w:val="008A0399"/>
    <w:rsid w:val="008A111B"/>
    <w:rsid w:val="008A1937"/>
    <w:rsid w:val="008A2830"/>
    <w:rsid w:val="008A3E2A"/>
    <w:rsid w:val="008A5186"/>
    <w:rsid w:val="008A5A39"/>
    <w:rsid w:val="008A5E8C"/>
    <w:rsid w:val="008A6282"/>
    <w:rsid w:val="008A69E1"/>
    <w:rsid w:val="008B0BBC"/>
    <w:rsid w:val="008B0D4E"/>
    <w:rsid w:val="008B30FE"/>
    <w:rsid w:val="008B37D7"/>
    <w:rsid w:val="008B4301"/>
    <w:rsid w:val="008B567F"/>
    <w:rsid w:val="008B6082"/>
    <w:rsid w:val="008B6620"/>
    <w:rsid w:val="008B7D2F"/>
    <w:rsid w:val="008C0089"/>
    <w:rsid w:val="008C15C6"/>
    <w:rsid w:val="008C2B1D"/>
    <w:rsid w:val="008C3ABF"/>
    <w:rsid w:val="008C47DF"/>
    <w:rsid w:val="008C48EF"/>
    <w:rsid w:val="008D2218"/>
    <w:rsid w:val="008D403C"/>
    <w:rsid w:val="008D42FA"/>
    <w:rsid w:val="008D5C2F"/>
    <w:rsid w:val="008D77A2"/>
    <w:rsid w:val="008E054C"/>
    <w:rsid w:val="008E142B"/>
    <w:rsid w:val="008E1CE1"/>
    <w:rsid w:val="008E2ACE"/>
    <w:rsid w:val="008E4B0D"/>
    <w:rsid w:val="008E6008"/>
    <w:rsid w:val="008F03CF"/>
    <w:rsid w:val="008F082F"/>
    <w:rsid w:val="008F4D3C"/>
    <w:rsid w:val="008F7C4D"/>
    <w:rsid w:val="008F7C4E"/>
    <w:rsid w:val="00900561"/>
    <w:rsid w:val="009023BD"/>
    <w:rsid w:val="00902702"/>
    <w:rsid w:val="0090288B"/>
    <w:rsid w:val="00905B7C"/>
    <w:rsid w:val="0090756E"/>
    <w:rsid w:val="00907C85"/>
    <w:rsid w:val="0091136B"/>
    <w:rsid w:val="00914781"/>
    <w:rsid w:val="00915FEA"/>
    <w:rsid w:val="0091631B"/>
    <w:rsid w:val="0091705C"/>
    <w:rsid w:val="0092039D"/>
    <w:rsid w:val="00922906"/>
    <w:rsid w:val="00924152"/>
    <w:rsid w:val="00926628"/>
    <w:rsid w:val="00926F8F"/>
    <w:rsid w:val="00930682"/>
    <w:rsid w:val="009325B5"/>
    <w:rsid w:val="0093347E"/>
    <w:rsid w:val="009345FD"/>
    <w:rsid w:val="00934F7A"/>
    <w:rsid w:val="00937E1C"/>
    <w:rsid w:val="00940C0F"/>
    <w:rsid w:val="00941D26"/>
    <w:rsid w:val="009434BF"/>
    <w:rsid w:val="00943FFA"/>
    <w:rsid w:val="0094453B"/>
    <w:rsid w:val="00944952"/>
    <w:rsid w:val="00945E0D"/>
    <w:rsid w:val="009526BB"/>
    <w:rsid w:val="00953D88"/>
    <w:rsid w:val="00954AAD"/>
    <w:rsid w:val="00955CA2"/>
    <w:rsid w:val="00956260"/>
    <w:rsid w:val="009616BA"/>
    <w:rsid w:val="0096226B"/>
    <w:rsid w:val="009637C7"/>
    <w:rsid w:val="00966B4A"/>
    <w:rsid w:val="00966DB7"/>
    <w:rsid w:val="00967E88"/>
    <w:rsid w:val="00970B7B"/>
    <w:rsid w:val="0097129E"/>
    <w:rsid w:val="009715B6"/>
    <w:rsid w:val="00973DCA"/>
    <w:rsid w:val="00974396"/>
    <w:rsid w:val="0097439B"/>
    <w:rsid w:val="00974D2F"/>
    <w:rsid w:val="00976BE2"/>
    <w:rsid w:val="00977929"/>
    <w:rsid w:val="0098118E"/>
    <w:rsid w:val="009835AD"/>
    <w:rsid w:val="00984273"/>
    <w:rsid w:val="009854F3"/>
    <w:rsid w:val="00985A04"/>
    <w:rsid w:val="00986A12"/>
    <w:rsid w:val="00990A51"/>
    <w:rsid w:val="00991269"/>
    <w:rsid w:val="00992223"/>
    <w:rsid w:val="00995AB4"/>
    <w:rsid w:val="009A0C9F"/>
    <w:rsid w:val="009A429D"/>
    <w:rsid w:val="009A76B1"/>
    <w:rsid w:val="009B1293"/>
    <w:rsid w:val="009B1608"/>
    <w:rsid w:val="009B3487"/>
    <w:rsid w:val="009B4766"/>
    <w:rsid w:val="009B5AF6"/>
    <w:rsid w:val="009C0931"/>
    <w:rsid w:val="009C5636"/>
    <w:rsid w:val="009C77F0"/>
    <w:rsid w:val="009D15E1"/>
    <w:rsid w:val="009E06F1"/>
    <w:rsid w:val="009E4B23"/>
    <w:rsid w:val="009E59AB"/>
    <w:rsid w:val="009E5D87"/>
    <w:rsid w:val="009E5E32"/>
    <w:rsid w:val="009E6161"/>
    <w:rsid w:val="009E64FC"/>
    <w:rsid w:val="009E6DAE"/>
    <w:rsid w:val="009F103D"/>
    <w:rsid w:val="009F1E3D"/>
    <w:rsid w:val="009F22B2"/>
    <w:rsid w:val="009F2B0D"/>
    <w:rsid w:val="009F588F"/>
    <w:rsid w:val="009F7A30"/>
    <w:rsid w:val="00A01879"/>
    <w:rsid w:val="00A02C3B"/>
    <w:rsid w:val="00A04E25"/>
    <w:rsid w:val="00A062A1"/>
    <w:rsid w:val="00A06690"/>
    <w:rsid w:val="00A06B1F"/>
    <w:rsid w:val="00A10685"/>
    <w:rsid w:val="00A12A49"/>
    <w:rsid w:val="00A12AB9"/>
    <w:rsid w:val="00A132EF"/>
    <w:rsid w:val="00A16010"/>
    <w:rsid w:val="00A16021"/>
    <w:rsid w:val="00A172DF"/>
    <w:rsid w:val="00A20273"/>
    <w:rsid w:val="00A27A82"/>
    <w:rsid w:val="00A3065F"/>
    <w:rsid w:val="00A3107E"/>
    <w:rsid w:val="00A3208D"/>
    <w:rsid w:val="00A321CA"/>
    <w:rsid w:val="00A33499"/>
    <w:rsid w:val="00A343AD"/>
    <w:rsid w:val="00A34A29"/>
    <w:rsid w:val="00A34B72"/>
    <w:rsid w:val="00A35729"/>
    <w:rsid w:val="00A36970"/>
    <w:rsid w:val="00A36C14"/>
    <w:rsid w:val="00A374CC"/>
    <w:rsid w:val="00A402C1"/>
    <w:rsid w:val="00A402F4"/>
    <w:rsid w:val="00A40B52"/>
    <w:rsid w:val="00A41B92"/>
    <w:rsid w:val="00A41CD7"/>
    <w:rsid w:val="00A43EA4"/>
    <w:rsid w:val="00A43F53"/>
    <w:rsid w:val="00A44EE9"/>
    <w:rsid w:val="00A45D7A"/>
    <w:rsid w:val="00A4627C"/>
    <w:rsid w:val="00A46574"/>
    <w:rsid w:val="00A5049D"/>
    <w:rsid w:val="00A50C4E"/>
    <w:rsid w:val="00A521EE"/>
    <w:rsid w:val="00A528BD"/>
    <w:rsid w:val="00A53D87"/>
    <w:rsid w:val="00A54431"/>
    <w:rsid w:val="00A54720"/>
    <w:rsid w:val="00A54B75"/>
    <w:rsid w:val="00A54DF1"/>
    <w:rsid w:val="00A5561D"/>
    <w:rsid w:val="00A57FBA"/>
    <w:rsid w:val="00A6034D"/>
    <w:rsid w:val="00A6083D"/>
    <w:rsid w:val="00A62819"/>
    <w:rsid w:val="00A62A4E"/>
    <w:rsid w:val="00A62AE9"/>
    <w:rsid w:val="00A62F7F"/>
    <w:rsid w:val="00A62F9F"/>
    <w:rsid w:val="00A63E2B"/>
    <w:rsid w:val="00A657C3"/>
    <w:rsid w:val="00A65DC8"/>
    <w:rsid w:val="00A672F3"/>
    <w:rsid w:val="00A70CAF"/>
    <w:rsid w:val="00A72B32"/>
    <w:rsid w:val="00A760FE"/>
    <w:rsid w:val="00A76A3C"/>
    <w:rsid w:val="00A801FE"/>
    <w:rsid w:val="00A80490"/>
    <w:rsid w:val="00A826AE"/>
    <w:rsid w:val="00A84A05"/>
    <w:rsid w:val="00A85353"/>
    <w:rsid w:val="00A91A5C"/>
    <w:rsid w:val="00A94A3A"/>
    <w:rsid w:val="00A94DBD"/>
    <w:rsid w:val="00A95C8C"/>
    <w:rsid w:val="00AA0F1B"/>
    <w:rsid w:val="00AA1139"/>
    <w:rsid w:val="00AA1FD9"/>
    <w:rsid w:val="00AA295D"/>
    <w:rsid w:val="00AA44FB"/>
    <w:rsid w:val="00AA5EC4"/>
    <w:rsid w:val="00AB6BF8"/>
    <w:rsid w:val="00AC2A15"/>
    <w:rsid w:val="00AC52C3"/>
    <w:rsid w:val="00AC7364"/>
    <w:rsid w:val="00AD2434"/>
    <w:rsid w:val="00AD3C0B"/>
    <w:rsid w:val="00AD4455"/>
    <w:rsid w:val="00AD5F91"/>
    <w:rsid w:val="00AD6C72"/>
    <w:rsid w:val="00AD73D4"/>
    <w:rsid w:val="00AD79AE"/>
    <w:rsid w:val="00AE1397"/>
    <w:rsid w:val="00AE245E"/>
    <w:rsid w:val="00AE4836"/>
    <w:rsid w:val="00AE584C"/>
    <w:rsid w:val="00AF140E"/>
    <w:rsid w:val="00AF1718"/>
    <w:rsid w:val="00AF2BA2"/>
    <w:rsid w:val="00AF722C"/>
    <w:rsid w:val="00B00140"/>
    <w:rsid w:val="00B00BD9"/>
    <w:rsid w:val="00B049EB"/>
    <w:rsid w:val="00B04CF8"/>
    <w:rsid w:val="00B0513F"/>
    <w:rsid w:val="00B05FF7"/>
    <w:rsid w:val="00B10435"/>
    <w:rsid w:val="00B10EF2"/>
    <w:rsid w:val="00B11D9B"/>
    <w:rsid w:val="00B1299C"/>
    <w:rsid w:val="00B12BCD"/>
    <w:rsid w:val="00B16268"/>
    <w:rsid w:val="00B2024B"/>
    <w:rsid w:val="00B230D5"/>
    <w:rsid w:val="00B23B87"/>
    <w:rsid w:val="00B24E82"/>
    <w:rsid w:val="00B256ED"/>
    <w:rsid w:val="00B25A0F"/>
    <w:rsid w:val="00B2654A"/>
    <w:rsid w:val="00B30BE1"/>
    <w:rsid w:val="00B31C84"/>
    <w:rsid w:val="00B342AA"/>
    <w:rsid w:val="00B34A89"/>
    <w:rsid w:val="00B35AEA"/>
    <w:rsid w:val="00B40454"/>
    <w:rsid w:val="00B41E85"/>
    <w:rsid w:val="00B42D33"/>
    <w:rsid w:val="00B4460A"/>
    <w:rsid w:val="00B4625F"/>
    <w:rsid w:val="00B51C5E"/>
    <w:rsid w:val="00B5415C"/>
    <w:rsid w:val="00B55880"/>
    <w:rsid w:val="00B56098"/>
    <w:rsid w:val="00B6137F"/>
    <w:rsid w:val="00B61A06"/>
    <w:rsid w:val="00B626E4"/>
    <w:rsid w:val="00B63E91"/>
    <w:rsid w:val="00B64641"/>
    <w:rsid w:val="00B65963"/>
    <w:rsid w:val="00B66482"/>
    <w:rsid w:val="00B66F4C"/>
    <w:rsid w:val="00B71C99"/>
    <w:rsid w:val="00B75A62"/>
    <w:rsid w:val="00B77DBE"/>
    <w:rsid w:val="00B8063B"/>
    <w:rsid w:val="00B80B11"/>
    <w:rsid w:val="00B83E8F"/>
    <w:rsid w:val="00B840F3"/>
    <w:rsid w:val="00B84B09"/>
    <w:rsid w:val="00B864E9"/>
    <w:rsid w:val="00B8712E"/>
    <w:rsid w:val="00B93DDC"/>
    <w:rsid w:val="00B93FCD"/>
    <w:rsid w:val="00B964F7"/>
    <w:rsid w:val="00B968F2"/>
    <w:rsid w:val="00BA02C1"/>
    <w:rsid w:val="00BA3073"/>
    <w:rsid w:val="00BA434D"/>
    <w:rsid w:val="00BA6E68"/>
    <w:rsid w:val="00BA7330"/>
    <w:rsid w:val="00BA77FF"/>
    <w:rsid w:val="00BB27DE"/>
    <w:rsid w:val="00BB31FD"/>
    <w:rsid w:val="00BB6F82"/>
    <w:rsid w:val="00BB76FE"/>
    <w:rsid w:val="00BB7E97"/>
    <w:rsid w:val="00BC23D2"/>
    <w:rsid w:val="00BC2509"/>
    <w:rsid w:val="00BC378A"/>
    <w:rsid w:val="00BC4805"/>
    <w:rsid w:val="00BC538F"/>
    <w:rsid w:val="00BC6696"/>
    <w:rsid w:val="00BC70DE"/>
    <w:rsid w:val="00BD10FE"/>
    <w:rsid w:val="00BD1E80"/>
    <w:rsid w:val="00BD264E"/>
    <w:rsid w:val="00BD7B18"/>
    <w:rsid w:val="00BE038C"/>
    <w:rsid w:val="00BE73F0"/>
    <w:rsid w:val="00BE7C8C"/>
    <w:rsid w:val="00BF07E9"/>
    <w:rsid w:val="00BF148D"/>
    <w:rsid w:val="00BF1BE5"/>
    <w:rsid w:val="00BF2F1C"/>
    <w:rsid w:val="00BF3078"/>
    <w:rsid w:val="00BF597F"/>
    <w:rsid w:val="00BF6AAE"/>
    <w:rsid w:val="00BF6B8E"/>
    <w:rsid w:val="00BF7448"/>
    <w:rsid w:val="00C008AF"/>
    <w:rsid w:val="00C02D4C"/>
    <w:rsid w:val="00C049F6"/>
    <w:rsid w:val="00C10153"/>
    <w:rsid w:val="00C108DB"/>
    <w:rsid w:val="00C136D7"/>
    <w:rsid w:val="00C13C25"/>
    <w:rsid w:val="00C13E56"/>
    <w:rsid w:val="00C21E51"/>
    <w:rsid w:val="00C27B41"/>
    <w:rsid w:val="00C3264F"/>
    <w:rsid w:val="00C32B32"/>
    <w:rsid w:val="00C339DE"/>
    <w:rsid w:val="00C3715C"/>
    <w:rsid w:val="00C379B0"/>
    <w:rsid w:val="00C41BF4"/>
    <w:rsid w:val="00C43276"/>
    <w:rsid w:val="00C44EAE"/>
    <w:rsid w:val="00C472F0"/>
    <w:rsid w:val="00C5048A"/>
    <w:rsid w:val="00C51BE7"/>
    <w:rsid w:val="00C51DEF"/>
    <w:rsid w:val="00C5315C"/>
    <w:rsid w:val="00C53BCA"/>
    <w:rsid w:val="00C53D2F"/>
    <w:rsid w:val="00C53EB1"/>
    <w:rsid w:val="00C579E9"/>
    <w:rsid w:val="00C57A1F"/>
    <w:rsid w:val="00C60946"/>
    <w:rsid w:val="00C60C79"/>
    <w:rsid w:val="00C611F4"/>
    <w:rsid w:val="00C64F07"/>
    <w:rsid w:val="00C652E1"/>
    <w:rsid w:val="00C6613A"/>
    <w:rsid w:val="00C702A8"/>
    <w:rsid w:val="00C70625"/>
    <w:rsid w:val="00C71BA4"/>
    <w:rsid w:val="00C72A4D"/>
    <w:rsid w:val="00C730AD"/>
    <w:rsid w:val="00C73114"/>
    <w:rsid w:val="00C75028"/>
    <w:rsid w:val="00C823A6"/>
    <w:rsid w:val="00C83827"/>
    <w:rsid w:val="00C847B9"/>
    <w:rsid w:val="00C84D77"/>
    <w:rsid w:val="00C858F0"/>
    <w:rsid w:val="00C85E9F"/>
    <w:rsid w:val="00C861B0"/>
    <w:rsid w:val="00C867C9"/>
    <w:rsid w:val="00C87224"/>
    <w:rsid w:val="00C92E77"/>
    <w:rsid w:val="00C9497E"/>
    <w:rsid w:val="00CA069C"/>
    <w:rsid w:val="00CA1D6D"/>
    <w:rsid w:val="00CA2E53"/>
    <w:rsid w:val="00CA626D"/>
    <w:rsid w:val="00CA76A4"/>
    <w:rsid w:val="00CA7FF6"/>
    <w:rsid w:val="00CB02B5"/>
    <w:rsid w:val="00CB0688"/>
    <w:rsid w:val="00CB44E7"/>
    <w:rsid w:val="00CB497E"/>
    <w:rsid w:val="00CB4F41"/>
    <w:rsid w:val="00CB4FBF"/>
    <w:rsid w:val="00CB55B6"/>
    <w:rsid w:val="00CB59F7"/>
    <w:rsid w:val="00CB5E24"/>
    <w:rsid w:val="00CB7871"/>
    <w:rsid w:val="00CC0D87"/>
    <w:rsid w:val="00CC27F7"/>
    <w:rsid w:val="00CC385B"/>
    <w:rsid w:val="00CC75DE"/>
    <w:rsid w:val="00CD0A06"/>
    <w:rsid w:val="00CD2467"/>
    <w:rsid w:val="00CD65BD"/>
    <w:rsid w:val="00CE0854"/>
    <w:rsid w:val="00CE1026"/>
    <w:rsid w:val="00CE1730"/>
    <w:rsid w:val="00CE1C1C"/>
    <w:rsid w:val="00CE1F5A"/>
    <w:rsid w:val="00CE2D27"/>
    <w:rsid w:val="00CE3860"/>
    <w:rsid w:val="00CE4C70"/>
    <w:rsid w:val="00CE7BB7"/>
    <w:rsid w:val="00CF01A9"/>
    <w:rsid w:val="00CF0F08"/>
    <w:rsid w:val="00CF1B74"/>
    <w:rsid w:val="00CF2AF3"/>
    <w:rsid w:val="00CF3194"/>
    <w:rsid w:val="00CF3E51"/>
    <w:rsid w:val="00CF40C7"/>
    <w:rsid w:val="00CF45E0"/>
    <w:rsid w:val="00CF5683"/>
    <w:rsid w:val="00CF57BF"/>
    <w:rsid w:val="00CF5D7D"/>
    <w:rsid w:val="00CF5F00"/>
    <w:rsid w:val="00CF7F86"/>
    <w:rsid w:val="00D0107A"/>
    <w:rsid w:val="00D0340C"/>
    <w:rsid w:val="00D0358F"/>
    <w:rsid w:val="00D03630"/>
    <w:rsid w:val="00D04D20"/>
    <w:rsid w:val="00D04DA7"/>
    <w:rsid w:val="00D0566F"/>
    <w:rsid w:val="00D071FD"/>
    <w:rsid w:val="00D1093E"/>
    <w:rsid w:val="00D134BC"/>
    <w:rsid w:val="00D14925"/>
    <w:rsid w:val="00D1578C"/>
    <w:rsid w:val="00D21D6C"/>
    <w:rsid w:val="00D22361"/>
    <w:rsid w:val="00D228A0"/>
    <w:rsid w:val="00D230E1"/>
    <w:rsid w:val="00D2418E"/>
    <w:rsid w:val="00D24342"/>
    <w:rsid w:val="00D247B9"/>
    <w:rsid w:val="00D301FA"/>
    <w:rsid w:val="00D322D7"/>
    <w:rsid w:val="00D33CB2"/>
    <w:rsid w:val="00D40851"/>
    <w:rsid w:val="00D40C7B"/>
    <w:rsid w:val="00D4403A"/>
    <w:rsid w:val="00D45BFB"/>
    <w:rsid w:val="00D46DCB"/>
    <w:rsid w:val="00D47CD5"/>
    <w:rsid w:val="00D52FD8"/>
    <w:rsid w:val="00D5325F"/>
    <w:rsid w:val="00D53C63"/>
    <w:rsid w:val="00D5555E"/>
    <w:rsid w:val="00D55A4A"/>
    <w:rsid w:val="00D561E5"/>
    <w:rsid w:val="00D571B7"/>
    <w:rsid w:val="00D60CD4"/>
    <w:rsid w:val="00D63533"/>
    <w:rsid w:val="00D65576"/>
    <w:rsid w:val="00D66880"/>
    <w:rsid w:val="00D6701F"/>
    <w:rsid w:val="00D7142D"/>
    <w:rsid w:val="00D71C79"/>
    <w:rsid w:val="00D73005"/>
    <w:rsid w:val="00D73439"/>
    <w:rsid w:val="00D73716"/>
    <w:rsid w:val="00D73B26"/>
    <w:rsid w:val="00D74341"/>
    <w:rsid w:val="00D7465C"/>
    <w:rsid w:val="00D75BDE"/>
    <w:rsid w:val="00D764B9"/>
    <w:rsid w:val="00D824FB"/>
    <w:rsid w:val="00D855E6"/>
    <w:rsid w:val="00D91B1E"/>
    <w:rsid w:val="00D92BBE"/>
    <w:rsid w:val="00D9406D"/>
    <w:rsid w:val="00D95DDB"/>
    <w:rsid w:val="00DA0DCD"/>
    <w:rsid w:val="00DA379F"/>
    <w:rsid w:val="00DB02AB"/>
    <w:rsid w:val="00DB0331"/>
    <w:rsid w:val="00DB1B29"/>
    <w:rsid w:val="00DB4583"/>
    <w:rsid w:val="00DB5655"/>
    <w:rsid w:val="00DC0514"/>
    <w:rsid w:val="00DC0F2E"/>
    <w:rsid w:val="00DC4E9C"/>
    <w:rsid w:val="00DD0D5F"/>
    <w:rsid w:val="00DD13A6"/>
    <w:rsid w:val="00DD27AF"/>
    <w:rsid w:val="00DD3950"/>
    <w:rsid w:val="00DD4A96"/>
    <w:rsid w:val="00DD7388"/>
    <w:rsid w:val="00DE08D1"/>
    <w:rsid w:val="00DE1BB4"/>
    <w:rsid w:val="00DE2FDA"/>
    <w:rsid w:val="00DE5550"/>
    <w:rsid w:val="00DE78F7"/>
    <w:rsid w:val="00DF00E4"/>
    <w:rsid w:val="00DF21D3"/>
    <w:rsid w:val="00DF2EE2"/>
    <w:rsid w:val="00DF30EE"/>
    <w:rsid w:val="00DF3169"/>
    <w:rsid w:val="00DF3E20"/>
    <w:rsid w:val="00DF5960"/>
    <w:rsid w:val="00DF7267"/>
    <w:rsid w:val="00DF7335"/>
    <w:rsid w:val="00DF7FEC"/>
    <w:rsid w:val="00E0008E"/>
    <w:rsid w:val="00E06281"/>
    <w:rsid w:val="00E07114"/>
    <w:rsid w:val="00E07FA4"/>
    <w:rsid w:val="00E106A5"/>
    <w:rsid w:val="00E11284"/>
    <w:rsid w:val="00E12879"/>
    <w:rsid w:val="00E12B70"/>
    <w:rsid w:val="00E12D89"/>
    <w:rsid w:val="00E135E6"/>
    <w:rsid w:val="00E137EA"/>
    <w:rsid w:val="00E16F6C"/>
    <w:rsid w:val="00E211F3"/>
    <w:rsid w:val="00E25571"/>
    <w:rsid w:val="00E3303D"/>
    <w:rsid w:val="00E33A69"/>
    <w:rsid w:val="00E34F94"/>
    <w:rsid w:val="00E40C0F"/>
    <w:rsid w:val="00E414C6"/>
    <w:rsid w:val="00E4711C"/>
    <w:rsid w:val="00E50CD4"/>
    <w:rsid w:val="00E51B9F"/>
    <w:rsid w:val="00E524F2"/>
    <w:rsid w:val="00E52674"/>
    <w:rsid w:val="00E52FA4"/>
    <w:rsid w:val="00E532E2"/>
    <w:rsid w:val="00E5416E"/>
    <w:rsid w:val="00E54955"/>
    <w:rsid w:val="00E55CC0"/>
    <w:rsid w:val="00E634AD"/>
    <w:rsid w:val="00E66B4A"/>
    <w:rsid w:val="00E70335"/>
    <w:rsid w:val="00E70F1C"/>
    <w:rsid w:val="00E744F6"/>
    <w:rsid w:val="00E80419"/>
    <w:rsid w:val="00E8415C"/>
    <w:rsid w:val="00E855C4"/>
    <w:rsid w:val="00E85939"/>
    <w:rsid w:val="00E86C49"/>
    <w:rsid w:val="00E87D3D"/>
    <w:rsid w:val="00E90996"/>
    <w:rsid w:val="00E90ABF"/>
    <w:rsid w:val="00E90B27"/>
    <w:rsid w:val="00E939AD"/>
    <w:rsid w:val="00E9586B"/>
    <w:rsid w:val="00E95B64"/>
    <w:rsid w:val="00E9723C"/>
    <w:rsid w:val="00E9773E"/>
    <w:rsid w:val="00EA019E"/>
    <w:rsid w:val="00EA0E6D"/>
    <w:rsid w:val="00EA46F1"/>
    <w:rsid w:val="00EA4EF6"/>
    <w:rsid w:val="00EA635D"/>
    <w:rsid w:val="00EA6EA1"/>
    <w:rsid w:val="00EA7A28"/>
    <w:rsid w:val="00EA7CDB"/>
    <w:rsid w:val="00EB08DD"/>
    <w:rsid w:val="00EB0AEB"/>
    <w:rsid w:val="00EB2F66"/>
    <w:rsid w:val="00EB2F97"/>
    <w:rsid w:val="00EB59C8"/>
    <w:rsid w:val="00EB6C43"/>
    <w:rsid w:val="00EB6E18"/>
    <w:rsid w:val="00EC2A3E"/>
    <w:rsid w:val="00EC442C"/>
    <w:rsid w:val="00EC7EBC"/>
    <w:rsid w:val="00ED0D0A"/>
    <w:rsid w:val="00ED18A8"/>
    <w:rsid w:val="00ED1F52"/>
    <w:rsid w:val="00ED1FCF"/>
    <w:rsid w:val="00ED205B"/>
    <w:rsid w:val="00ED5D41"/>
    <w:rsid w:val="00ED7451"/>
    <w:rsid w:val="00ED7CB3"/>
    <w:rsid w:val="00EE0296"/>
    <w:rsid w:val="00EE02C0"/>
    <w:rsid w:val="00EE17BB"/>
    <w:rsid w:val="00EE1804"/>
    <w:rsid w:val="00EE3684"/>
    <w:rsid w:val="00EE5EA4"/>
    <w:rsid w:val="00EE6863"/>
    <w:rsid w:val="00EF2CB9"/>
    <w:rsid w:val="00EF6091"/>
    <w:rsid w:val="00EF6195"/>
    <w:rsid w:val="00F0278B"/>
    <w:rsid w:val="00F040B8"/>
    <w:rsid w:val="00F04443"/>
    <w:rsid w:val="00F05662"/>
    <w:rsid w:val="00F07AA9"/>
    <w:rsid w:val="00F12638"/>
    <w:rsid w:val="00F148BF"/>
    <w:rsid w:val="00F15564"/>
    <w:rsid w:val="00F16CEE"/>
    <w:rsid w:val="00F17110"/>
    <w:rsid w:val="00F20D67"/>
    <w:rsid w:val="00F23125"/>
    <w:rsid w:val="00F23F0C"/>
    <w:rsid w:val="00F25221"/>
    <w:rsid w:val="00F25DE6"/>
    <w:rsid w:val="00F266A1"/>
    <w:rsid w:val="00F269BF"/>
    <w:rsid w:val="00F30072"/>
    <w:rsid w:val="00F319BA"/>
    <w:rsid w:val="00F31ADD"/>
    <w:rsid w:val="00F31E82"/>
    <w:rsid w:val="00F32EDF"/>
    <w:rsid w:val="00F33346"/>
    <w:rsid w:val="00F33897"/>
    <w:rsid w:val="00F34288"/>
    <w:rsid w:val="00F34383"/>
    <w:rsid w:val="00F34D8B"/>
    <w:rsid w:val="00F43273"/>
    <w:rsid w:val="00F45149"/>
    <w:rsid w:val="00F469D8"/>
    <w:rsid w:val="00F4724A"/>
    <w:rsid w:val="00F47A40"/>
    <w:rsid w:val="00F51C76"/>
    <w:rsid w:val="00F53EFD"/>
    <w:rsid w:val="00F56748"/>
    <w:rsid w:val="00F609DF"/>
    <w:rsid w:val="00F61B5E"/>
    <w:rsid w:val="00F62C66"/>
    <w:rsid w:val="00F63A09"/>
    <w:rsid w:val="00F651EC"/>
    <w:rsid w:val="00F67B90"/>
    <w:rsid w:val="00F67F19"/>
    <w:rsid w:val="00F712F7"/>
    <w:rsid w:val="00F73681"/>
    <w:rsid w:val="00F744F3"/>
    <w:rsid w:val="00F74C60"/>
    <w:rsid w:val="00F74DA6"/>
    <w:rsid w:val="00F75106"/>
    <w:rsid w:val="00F77E36"/>
    <w:rsid w:val="00F80B59"/>
    <w:rsid w:val="00F84639"/>
    <w:rsid w:val="00F861EB"/>
    <w:rsid w:val="00F863E2"/>
    <w:rsid w:val="00F9485A"/>
    <w:rsid w:val="00F94913"/>
    <w:rsid w:val="00F96A1A"/>
    <w:rsid w:val="00F9765C"/>
    <w:rsid w:val="00FA0CBF"/>
    <w:rsid w:val="00FA3492"/>
    <w:rsid w:val="00FA5A08"/>
    <w:rsid w:val="00FA66E1"/>
    <w:rsid w:val="00FA6F2B"/>
    <w:rsid w:val="00FA7773"/>
    <w:rsid w:val="00FB0225"/>
    <w:rsid w:val="00FB2205"/>
    <w:rsid w:val="00FB2D54"/>
    <w:rsid w:val="00FC01DD"/>
    <w:rsid w:val="00FC0B87"/>
    <w:rsid w:val="00FC1E1D"/>
    <w:rsid w:val="00FC3381"/>
    <w:rsid w:val="00FC7E2E"/>
    <w:rsid w:val="00FD0020"/>
    <w:rsid w:val="00FD00A8"/>
    <w:rsid w:val="00FD3E73"/>
    <w:rsid w:val="00FD4387"/>
    <w:rsid w:val="00FD4ABF"/>
    <w:rsid w:val="00FE1E0D"/>
    <w:rsid w:val="00FE37AA"/>
    <w:rsid w:val="00FE391D"/>
    <w:rsid w:val="00FE620E"/>
    <w:rsid w:val="00FE73C2"/>
    <w:rsid w:val="00FE76B8"/>
    <w:rsid w:val="00FE77F7"/>
    <w:rsid w:val="00FF1A4B"/>
    <w:rsid w:val="00FF2A2B"/>
    <w:rsid w:val="00FF5A2A"/>
    <w:rsid w:val="00FF72EA"/>
    <w:rsid w:val="00FF7FED"/>
  </w:rsids>
  <m:mathPr>
    <m:mathFont m:val="Times New Roman"/>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EEB"/>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customStyle="1" w:styleId="Odsekzoznamu1">
    <w:name w:val="Odsek zoznamu1"/>
    <w:basedOn w:val="Normal"/>
    <w:rsid w:val="00914781"/>
    <w:pPr>
      <w:ind w:left="720"/>
      <w:contextualSpacing/>
      <w:jc w:val="left"/>
    </w:pPr>
  </w:style>
  <w:style w:type="paragraph" w:styleId="BodyText">
    <w:name w:val="Body Text"/>
    <w:basedOn w:val="Normal"/>
    <w:link w:val="ZkladntextChar"/>
    <w:uiPriority w:val="99"/>
    <w:rsid w:val="00914781"/>
    <w:pPr>
      <w:spacing w:after="0" w:line="240" w:lineRule="auto"/>
      <w:jc w:val="both"/>
    </w:pPr>
    <w:rPr>
      <w:rFonts w:ascii="Verdana" w:hAnsi="Verdana" w:cs="Verdana"/>
      <w:sz w:val="24"/>
      <w:szCs w:val="24"/>
      <w:lang w:eastAsia="sk-SK"/>
    </w:rPr>
  </w:style>
  <w:style w:type="character" w:customStyle="1" w:styleId="ZkladntextChar">
    <w:name w:val="Základný text Char"/>
    <w:basedOn w:val="DefaultParagraphFont"/>
    <w:link w:val="BodyText"/>
    <w:uiPriority w:val="99"/>
    <w:locked/>
    <w:rsid w:val="00914781"/>
    <w:rPr>
      <w:rFonts w:ascii="Verdana" w:hAnsi="Verdana" w:cs="Times New Roman"/>
      <w:sz w:val="24"/>
      <w:rtl w:val="0"/>
      <w:cs w:val="0"/>
      <w:lang w:val="x-none" w:eastAsia="sk-SK"/>
    </w:rPr>
  </w:style>
  <w:style w:type="paragraph" w:customStyle="1" w:styleId="CharCharCharCharCharChar">
    <w:name w:val="Char Char Char Char Char Char"/>
    <w:basedOn w:val="Normal"/>
    <w:rsid w:val="00FE391D"/>
    <w:pPr>
      <w:spacing w:after="160" w:line="240" w:lineRule="exact"/>
      <w:jc w:val="left"/>
    </w:pPr>
    <w:rPr>
      <w:rFonts w:ascii="Tahoma" w:hAnsi="Tahoma"/>
      <w:sz w:val="20"/>
      <w:szCs w:val="20"/>
      <w:lang w:val="en-US"/>
    </w:rPr>
  </w:style>
  <w:style w:type="paragraph" w:styleId="Header">
    <w:name w:val="header"/>
    <w:basedOn w:val="Normal"/>
    <w:link w:val="HlavikaChar"/>
    <w:uiPriority w:val="99"/>
    <w:rsid w:val="00EE02C0"/>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EE02C0"/>
    <w:rPr>
      <w:rFonts w:cs="Times New Roman"/>
      <w:rtl w:val="0"/>
      <w:cs w:val="0"/>
    </w:rPr>
  </w:style>
  <w:style w:type="paragraph" w:styleId="Footer">
    <w:name w:val="footer"/>
    <w:basedOn w:val="Normal"/>
    <w:link w:val="PtaChar"/>
    <w:uiPriority w:val="99"/>
    <w:rsid w:val="00EE02C0"/>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EE02C0"/>
    <w:rPr>
      <w:rFonts w:cs="Times New Roman"/>
      <w:rtl w:val="0"/>
      <w:cs w:val="0"/>
    </w:rPr>
  </w:style>
  <w:style w:type="paragraph" w:styleId="BalloonText">
    <w:name w:val="Balloon Text"/>
    <w:basedOn w:val="Normal"/>
    <w:link w:val="TextbublinyChar"/>
    <w:uiPriority w:val="99"/>
    <w:rsid w:val="00F62C66"/>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F62C66"/>
    <w:rPr>
      <w:rFonts w:ascii="Tahoma" w:hAnsi="Tahoma" w:cs="Times New Roman"/>
      <w:sz w:val="16"/>
      <w:rtl w:val="0"/>
      <w:cs w:val="0"/>
    </w:rPr>
  </w:style>
  <w:style w:type="paragraph" w:styleId="FootnoteText">
    <w:name w:val="footnote text"/>
    <w:basedOn w:val="Normal"/>
    <w:link w:val="TextpoznmkypodiarouChar"/>
    <w:uiPriority w:val="99"/>
    <w:rsid w:val="00B2024B"/>
    <w:pPr>
      <w:spacing w:after="0" w:line="240" w:lineRule="auto"/>
      <w:jc w:val="left"/>
    </w:pPr>
    <w:rPr>
      <w:sz w:val="20"/>
      <w:szCs w:val="20"/>
    </w:rPr>
  </w:style>
  <w:style w:type="character" w:customStyle="1" w:styleId="TextpoznmkypodiarouChar">
    <w:name w:val="Text poznámky pod čiarou Char"/>
    <w:basedOn w:val="DefaultParagraphFont"/>
    <w:link w:val="FootnoteText"/>
    <w:uiPriority w:val="99"/>
    <w:locked/>
    <w:rsid w:val="00B2024B"/>
    <w:rPr>
      <w:rFonts w:cs="Times New Roman"/>
      <w:sz w:val="20"/>
      <w:rtl w:val="0"/>
      <w:cs w:val="0"/>
    </w:rPr>
  </w:style>
  <w:style w:type="character" w:styleId="FootnoteReference">
    <w:name w:val="footnote reference"/>
    <w:basedOn w:val="DefaultParagraphFont"/>
    <w:uiPriority w:val="99"/>
    <w:rsid w:val="00B2024B"/>
    <w:rPr>
      <w:rFonts w:cs="Times New Roman"/>
      <w:vertAlign w:val="superscript"/>
      <w:rtl w:val="0"/>
      <w:cs w:val="0"/>
    </w:rPr>
  </w:style>
  <w:style w:type="table" w:styleId="TableGrid">
    <w:name w:val="Table Grid"/>
    <w:basedOn w:val="TableNormal"/>
    <w:uiPriority w:val="99"/>
    <w:rsid w:val="00707C13"/>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riadkovania1">
    <w:name w:val="Bez riadkovania1"/>
    <w:rsid w:val="002301EE"/>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styleId="CommentReference">
    <w:name w:val="annotation reference"/>
    <w:basedOn w:val="DefaultParagraphFont"/>
    <w:uiPriority w:val="99"/>
    <w:rsid w:val="00EE1804"/>
    <w:rPr>
      <w:rFonts w:cs="Times New Roman"/>
      <w:sz w:val="16"/>
      <w:rtl w:val="0"/>
      <w:cs w:val="0"/>
    </w:rPr>
  </w:style>
  <w:style w:type="paragraph" w:styleId="CommentText">
    <w:name w:val="annotation text"/>
    <w:basedOn w:val="Normal"/>
    <w:link w:val="TextkomentraChar"/>
    <w:uiPriority w:val="99"/>
    <w:rsid w:val="00EE1804"/>
    <w:pPr>
      <w:spacing w:line="240" w:lineRule="auto"/>
      <w:jc w:val="left"/>
    </w:pPr>
    <w:rPr>
      <w:sz w:val="20"/>
      <w:szCs w:val="20"/>
    </w:rPr>
  </w:style>
  <w:style w:type="character" w:customStyle="1" w:styleId="TextkomentraChar">
    <w:name w:val="Text komentára Char"/>
    <w:basedOn w:val="DefaultParagraphFont"/>
    <w:link w:val="CommentText"/>
    <w:uiPriority w:val="99"/>
    <w:locked/>
    <w:rsid w:val="00EE1804"/>
    <w:rPr>
      <w:rFonts w:cs="Times New Roman"/>
      <w:sz w:val="20"/>
      <w:rtl w:val="0"/>
      <w:cs w:val="0"/>
    </w:rPr>
  </w:style>
  <w:style w:type="paragraph" w:styleId="CommentSubject">
    <w:name w:val="annotation subject"/>
    <w:basedOn w:val="CommentText"/>
    <w:next w:val="CommentText"/>
    <w:link w:val="PredmetkomentraChar"/>
    <w:uiPriority w:val="99"/>
    <w:rsid w:val="00EE1804"/>
    <w:pPr>
      <w:spacing w:line="240" w:lineRule="auto"/>
      <w:jc w:val="left"/>
    </w:pPr>
    <w:rPr>
      <w:b/>
      <w:bCs/>
    </w:rPr>
  </w:style>
  <w:style w:type="character" w:customStyle="1" w:styleId="PredmetkomentraChar">
    <w:name w:val="Predmet komentára Char"/>
    <w:basedOn w:val="TextkomentraChar"/>
    <w:link w:val="CommentSubject"/>
    <w:uiPriority w:val="99"/>
    <w:locked/>
    <w:rsid w:val="00EE1804"/>
    <w:rPr>
      <w:b/>
    </w:rPr>
  </w:style>
  <w:style w:type="character" w:styleId="PlaceholderText">
    <w:name w:val="Placeholder Text"/>
    <w:basedOn w:val="DefaultParagraphFont"/>
    <w:uiPriority w:val="99"/>
    <w:semiHidden/>
    <w:rsid w:val="00AA1139"/>
    <w:rPr>
      <w:rFonts w:ascii="Times New Roman" w:hAnsi="Times New Roman" w:cs="Times New Roman"/>
      <w:color w:val="808080"/>
      <w:rtl w:val="0"/>
      <w:cs w:val="0"/>
    </w:rPr>
  </w:style>
  <w:style w:type="paragraph" w:styleId="ListParagraph">
    <w:name w:val="List Paragraph"/>
    <w:basedOn w:val="Normal"/>
    <w:uiPriority w:val="99"/>
    <w:qFormat/>
    <w:rsid w:val="00C72A4D"/>
    <w:pPr>
      <w:ind w:left="720"/>
      <w:contextualSpacing/>
      <w:jc w:val="left"/>
    </w:pPr>
  </w:style>
  <w:style w:type="paragraph" w:styleId="NormalWeb">
    <w:name w:val="Normal (Web)"/>
    <w:basedOn w:val="Normal"/>
    <w:uiPriority w:val="99"/>
    <w:unhideWhenUsed/>
    <w:rsid w:val="00E9773E"/>
    <w:pPr>
      <w:spacing w:before="100" w:beforeAutospacing="1" w:after="100" w:afterAutospacing="1" w:line="240" w:lineRule="auto"/>
      <w:jc w:val="left"/>
    </w:pPr>
    <w:rPr>
      <w:rFonts w:ascii="Times New Roman" w:hAnsi="Times New Roman"/>
      <w:sz w:val="24"/>
      <w:szCs w:val="24"/>
      <w:lang w:eastAsia="sk-SK"/>
    </w:rPr>
  </w:style>
  <w:style w:type="character" w:styleId="PageNumber">
    <w:name w:val="page number"/>
    <w:basedOn w:val="DefaultParagraphFont"/>
    <w:uiPriority w:val="99"/>
    <w:rsid w:val="00D14925"/>
    <w:rPr>
      <w:rFonts w:cs="Times New Roman"/>
      <w:rtl w:val="0"/>
      <w:cs w:val="0"/>
    </w:rPr>
  </w:style>
  <w:style w:type="character" w:styleId="Strong">
    <w:name w:val="Strong"/>
    <w:basedOn w:val="DefaultParagraphFont"/>
    <w:uiPriority w:val="22"/>
    <w:qFormat/>
    <w:locked/>
    <w:rsid w:val="00D14925"/>
    <w:rPr>
      <w:rFonts w:cs="Times New Roman"/>
      <w:b/>
      <w:bCs/>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DB6379-5FBC-4014-A037-2506D34C2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BDA74A2-4BC1-490A-BA1B-39139202E0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0</TotalTime>
  <Pages>1</Pages>
  <Words>3671</Words>
  <Characters>20926</Characters>
  <Application>Microsoft Office Word</Application>
  <DocSecurity>0</DocSecurity>
  <Lines>0</Lines>
  <Paragraphs>0</Paragraphs>
  <ScaleCrop>false</ScaleCrop>
  <Company/>
  <LinksUpToDate>false</LinksUpToDate>
  <CharactersWithSpaces>24548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cp:revision>1</cp:revision>
  <dcterms:created xsi:type="dcterms:W3CDTF">2018-01-11T12:58:00Z</dcterms:created>
  <dcterms:modified xsi:type="dcterms:W3CDTF">2018-03-14T15:22:00Z</dcterms:modified>
</cp:coreProperties>
</file>