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P="004E1E66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Poslanci za stranu Kotleba – Ľudová strana Naše Slovensko Marian Kotleba, </w:t>
        <w:br/>
      </w:r>
      <w:r w:rsidRPr="002072A7" w:rsidR="002072A7">
        <w:rPr>
          <w:rFonts w:ascii="Book Antiqua" w:hAnsi="Book Antiqua" w:cs="Book Antiqua"/>
          <w:kern w:val="0"/>
          <w:sz w:val="22"/>
          <w:szCs w:val="22"/>
          <w:lang w:bidi="ar-SA"/>
        </w:rPr>
        <w:t>Milan Mazurek</w:t>
      </w:r>
      <w:r w:rsidR="002072A7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  <w:r w:rsidRPr="002072A7" w:rsidR="002072A7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Rastislav Schlosár, Ján Kecskés a</w:t>
      </w:r>
      <w:r w:rsidR="002072A7">
        <w:rPr>
          <w:rFonts w:ascii="Book Antiqua" w:hAnsi="Book Antiqua" w:cs="Book Antiqua"/>
          <w:kern w:val="0"/>
          <w:sz w:val="22"/>
          <w:szCs w:val="22"/>
          <w:lang w:bidi="ar-SA"/>
        </w:rPr>
        <w:t> Peter Krupa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predkladajú do Národnej rady Slovenskej republiky návrh zákona, ktorým sa mení a dopĺňa zákon č. 300/2005 Z. z. Tre</w:t>
      </w:r>
      <w:r w:rsidR="002072A7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stný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zákon v znení  neskorších predpisov.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Cieľom návrhu zákona je zabezpečiť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ochranu Slovenskej republiky a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jej občanov </w:t>
        <w:br/>
        <w:t xml:space="preserve">pred ilegálnymi imigrantmi a inými osobami, ktoré bez oprávnenia vstupujú alebo sa zdržiavajú na území Slovenskej republiky.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Jedným zo základných znakov štátu je jeho územie, vytýčené štátnymi hranicami. </w:t>
        <w:br/>
        <w:t xml:space="preserve">Ochrana štátnych hraníc pred ich neoprávneným narušením je preto 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jedným z najvyšších </w:t>
        <w:br/>
        <w:t>národno-štátnych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záujmo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>v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.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Súčasn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á právna úprava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je nedostatočná. 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>V súčasnosti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akákoľvek osoba 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>so záujmom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dostať sa na územie 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>Slovenskej republiky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nelegálne alebo sa na území </w:t>
      </w:r>
      <w:r w:rsidR="00B21C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Slovenskej republiky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nelegálne zdržiavať, tak môže učiniť </w:t>
      </w:r>
      <w:r w:rsidR="00B21CF6">
        <w:rPr>
          <w:rFonts w:ascii="Book Antiqua" w:hAnsi="Book Antiqua" w:cs="Book Antiqua"/>
          <w:color w:val="000000" w:themeColor="tx1" w:themeShade="FF"/>
          <w:kern w:val="0"/>
          <w:sz w:val="22"/>
          <w:szCs w:val="22"/>
          <w:lang w:bidi="ar-SA"/>
        </w:rPr>
        <w:t>úplne beztrestne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. Výnimku v súčasnosti tvoria iba prípady prekročenia štátnych hraníc </w:t>
      </w:r>
      <w:r w:rsidR="00072C30">
        <w:rPr>
          <w:rFonts w:ascii="Book Antiqua" w:hAnsi="Book Antiqua" w:cs="Book Antiqua"/>
          <w:kern w:val="0"/>
          <w:sz w:val="22"/>
          <w:szCs w:val="22"/>
          <w:lang w:bidi="ar-SA"/>
        </w:rPr>
        <w:t>s použitím násilia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  <w:r w:rsidR="00072C30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formou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prevádzačstva</w:t>
      </w:r>
      <w:r w:rsidR="00072C30">
        <w:rPr>
          <w:rFonts w:ascii="Book Antiqua" w:hAnsi="Book Antiqua" w:cs="Book Antiqua"/>
          <w:kern w:val="0"/>
          <w:sz w:val="22"/>
          <w:szCs w:val="22"/>
          <w:lang w:bidi="ar-SA"/>
        </w:rPr>
        <w:t>, alebo narušením vzdušného priestoru Slovenskej republiky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. Príkladom je nedávny prípad dvoch tureckých vodičov, prevážajúcich </w:t>
      </w:r>
      <w:r w:rsidR="00072C30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cez naše územie až 78 nelegálnych imigrantov. Hoci voči vodičom bolo okamžite začaté väzobné trestné stíhanie pre zločin prevádzačstva, nik</w:t>
      </w:r>
      <w:r w:rsidR="00072C30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to z imigrantov stíhaný nebol a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nebude, </w:t>
      </w:r>
      <w:r w:rsidR="00072C30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keďže podľa zákonov Slovenskej republiky nespáchali žiaden trestný čin.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Vzhľadom na uvedené je potrebné, za účelom naplnenia ochrannej, regulatívnej, preventívnej ako aj represívnej funkcie štátu, </w:t>
      </w:r>
      <w:r w:rsidRPr="00A330E2" w:rsidR="00A330E2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zaviesť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nové skutkové podstaty, a to v oblasti trestného práva, teda v prípadoch, keď nie je závažnosť činov iba nepatrná a nepostačujú iné sankčné nástroje správneho práva (vyhostenie, zákaz vstupu a pod.)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>Do T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restného zákon</w:t>
      </w:r>
      <w:r w:rsidR="00A330E2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a preto zavádzame nový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§ 354a, ktorý definuje ne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oprávnené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prekr</w:t>
      </w:r>
      <w:r w:rsidR="00A330E2">
        <w:rPr>
          <w:rFonts w:ascii="Book Antiqua" w:hAnsi="Book Antiqua" w:cs="Book Antiqua"/>
          <w:kern w:val="0"/>
          <w:sz w:val="22"/>
          <w:szCs w:val="22"/>
          <w:lang w:bidi="ar-SA"/>
        </w:rPr>
        <w:t>očenie štátnych hraníc Slovenskej republiky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, ako aj ne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oprávnené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zdržiavanie sa na území </w:t>
      </w:r>
      <w:r w:rsidR="00A330E2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Slovenskej republiky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ako trestný čin</w:t>
      </w:r>
      <w:r w:rsidR="00A330E2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zaradený do ôsmej hlavy Trestného zákona: Trestné činy proti poriadku vo verejných veciach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. Sme presved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čení, že prijatím tejto novely T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restného zákona </w:t>
      </w:r>
      <w:r w:rsidR="008478B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sa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podarí minimalizovať nelegálne prechody našich štátnych hraníc a odvrátiť tak </w:t>
      </w:r>
      <w:r w:rsidR="008478B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rastúci trend kriminality cudzincov na území Slovenskej republiky </w:t>
      </w:r>
      <w:r w:rsidRPr="008478BE" w:rsidR="008478BE">
        <w:rPr>
          <w:rFonts w:ascii="Book Antiqua" w:hAnsi="Book Antiqua" w:cs="Book Antiqua"/>
          <w:kern w:val="0"/>
          <w:sz w:val="22"/>
          <w:szCs w:val="22"/>
          <w:lang w:bidi="ar-SA"/>
        </w:rPr>
        <w:t>(</w:t>
      </w:r>
      <w:r w:rsidRPr="008478BE" w:rsidR="008478BE">
        <w:rPr>
          <w:rFonts w:ascii="Book Antiqua" w:hAnsi="Book Antiqua" w:cs="Book Antiqua"/>
          <w:bCs/>
          <w:kern w:val="0"/>
          <w:sz w:val="22"/>
          <w:szCs w:val="22"/>
          <w:lang w:bidi="ar-SA"/>
        </w:rPr>
        <w:t xml:space="preserve">Správa generálneho prokurátora Slovenskej republiky </w:t>
      </w:r>
      <w:r w:rsidR="008478BE">
        <w:rPr>
          <w:rFonts w:ascii="Book Antiqua" w:hAnsi="Book Antiqua" w:cs="Book Antiqua"/>
          <w:bCs/>
          <w:kern w:val="0"/>
          <w:sz w:val="22"/>
          <w:szCs w:val="22"/>
          <w:lang w:bidi="ar-SA"/>
        </w:rPr>
        <w:br/>
      </w:r>
      <w:r w:rsidRPr="008478BE" w:rsidR="008478BE">
        <w:rPr>
          <w:rFonts w:ascii="Book Antiqua" w:hAnsi="Book Antiqua" w:cs="Book Antiqua"/>
          <w:bCs/>
          <w:kern w:val="0"/>
          <w:sz w:val="22"/>
          <w:szCs w:val="22"/>
          <w:lang w:bidi="ar-SA"/>
        </w:rPr>
        <w:t>o činnosti prokuratúry v roku 2016 a poznatkoch prokuratúry o stave zákonnosti v Slovenskej republike)</w:t>
      </w:r>
      <w:r w:rsidRPr="008478BE" w:rsidR="008478BE">
        <w:rPr>
          <w:rFonts w:ascii="Book Antiqua" w:hAnsi="Book Antiqua" w:cs="Book Antiqua"/>
          <w:kern w:val="0"/>
          <w:sz w:val="22"/>
          <w:szCs w:val="22"/>
          <w:lang w:bidi="ar-SA"/>
        </w:rPr>
        <w:t>.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</w:p>
    <w:p w:rsidR="0083383D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Aktuálne trvajúca migračná kríza,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počas ktorej</w:t>
      </w: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je Európa zaplavovaná miliónmi nelegálnych imigrantov, prevažne mladých mužov z území cudzích svetadielov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dokazuje narastajúcu potrebu urýchleného prijatia účinnej legislatívy, chrániacej záujmy Slovenskej republiky, ako aj bezpečnosť jej obyvateľov.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Štáty západnej Európy, ktoré na svoje územie prijímajú už desiatky rokov nelegálnych imigrantov dnes bojujú s problémami ako terorizmus, masívna kriminalita, sociálne napätie a ohrozenie tradičnej </w:t>
      </w:r>
      <w:r w:rsidR="00F13143">
        <w:rPr>
          <w:rFonts w:ascii="Book Antiqua" w:hAnsi="Book Antiqua" w:cs="Book Antiqua"/>
          <w:kern w:val="0"/>
          <w:sz w:val="22"/>
          <w:szCs w:val="22"/>
          <w:lang w:bidi="ar-SA"/>
        </w:rPr>
        <w:t>kultúry, práva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 hodnôt.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Milióny cudzincov </w:t>
      </w:r>
      <w:r w:rsidR="00F13143">
        <w:rPr>
          <w:rFonts w:ascii="Book Antiqua" w:hAnsi="Book Antiqua" w:cs="Book Antiqua"/>
          <w:kern w:val="0"/>
          <w:sz w:val="22"/>
          <w:szCs w:val="22"/>
          <w:lang w:bidi="ar-SA"/>
        </w:rPr>
        <w:t>valiacich sa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do Európy z Ázie a Afriky predstavujú pre európske národy existenčné riziko. Integrácia týchto ľudí do</w:t>
      </w:r>
      <w:r w:rsidR="00F1314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zatiaľ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väčšinovej európskej populácie je, ako ukázala prax v západných štátoch</w:t>
      </w:r>
      <w:r w:rsidR="00F13143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takmer nemožná.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Dlhodobo plánovaná premena Európy na multikultúrne spoločenstvo zlyhala vo všetkých ohľadoch. </w:t>
      </w:r>
      <w:r w:rsidR="001D6897">
        <w:rPr>
          <w:rFonts w:ascii="Book Antiqua" w:hAnsi="Book Antiqua" w:cs="Book Antiqua"/>
          <w:kern w:val="0"/>
          <w:sz w:val="22"/>
          <w:szCs w:val="22"/>
          <w:lang w:bidi="ar-SA"/>
        </w:rPr>
        <w:t>Stát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isíce stratených životov </w:t>
      </w:r>
      <w:r w:rsidR="001D6897">
        <w:rPr>
          <w:rFonts w:ascii="Book Antiqua" w:hAnsi="Book Antiqua" w:cs="Book Antiqua"/>
          <w:kern w:val="0"/>
          <w:sz w:val="22"/>
          <w:szCs w:val="22"/>
          <w:lang w:bidi="ar-SA"/>
        </w:rPr>
        <w:t>Európanov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sú dostatočným dôkazom </w:t>
      </w:r>
      <w:r w:rsidR="001D6897">
        <w:rPr>
          <w:rFonts w:ascii="Book Antiqua" w:hAnsi="Book Antiqua" w:cs="Book Antiqua"/>
          <w:kern w:val="0"/>
          <w:sz w:val="22"/>
          <w:szCs w:val="22"/>
          <w:lang w:bidi="ar-SA"/>
        </w:rPr>
        <w:t>zlyhania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tohto politického princípu a jeho deštruktívneho pôsobenia na všetky národy, v ktorých sa začal aplikovať. Idea multikulturalizmu môže byť spolu s vražednými ideológiami dvadsiateho storočia alebo </w:t>
      </w:r>
      <w:r w:rsidR="001D6897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militantným </w:t>
      </w:r>
      <w:r w:rsidRPr="001D6897" w:rsidR="001D6897">
        <w:rPr>
          <w:rFonts w:ascii="Book Antiqua" w:hAnsi="Book Antiqua" w:cs="Book Antiqua"/>
          <w:color w:val="000000" w:themeColor="tx1" w:themeShade="FF"/>
          <w:kern w:val="0"/>
          <w:sz w:val="22"/>
          <w:szCs w:val="22"/>
          <w:lang w:bidi="ar-SA"/>
        </w:rPr>
        <w:t>islamistickým extrémizmom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považovaná za jednu z najväč</w:t>
      </w:r>
      <w:r w:rsidR="00B26DB1">
        <w:rPr>
          <w:rFonts w:ascii="Book Antiqua" w:hAnsi="Book Antiqua" w:cs="Book Antiqua"/>
          <w:kern w:val="0"/>
          <w:sz w:val="22"/>
          <w:szCs w:val="22"/>
          <w:lang w:bidi="ar-SA"/>
        </w:rPr>
        <w:t>ších svetových hrozieb, útočiacich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na samotnú </w:t>
      </w:r>
      <w:r w:rsidR="00B26DB1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podstatu existencie európskych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národ</w:t>
      </w:r>
      <w:r w:rsidR="00B26DB1">
        <w:rPr>
          <w:rFonts w:ascii="Book Antiqua" w:hAnsi="Book Antiqua" w:cs="Book Antiqua"/>
          <w:kern w:val="0"/>
          <w:sz w:val="22"/>
          <w:szCs w:val="22"/>
          <w:lang w:bidi="ar-SA"/>
        </w:rPr>
        <w:t>ov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. </w:t>
      </w:r>
    </w:p>
    <w:p w:rsidR="006B72F6" w:rsidRPr="006B72F6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Epidé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mia znásilnení š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védskych žien imigrantmi, vojny neeurópskych gangov s políciou v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 nemeckých mestách, rabovanie a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podpaľovanie štvrtí v Anglicku, nákladné autá riadené imigrantmi a rútiace sa vys</w:t>
      </w:r>
      <w:r w:rsidR="00100445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okou rýchlosťou do davov ľudí v Španielsku,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Nemecku,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br/>
        <w:t xml:space="preserve">či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>Francúzsku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.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To všetko sú príklady aplikácie multikulturalizmu a s ním sú</w:t>
      </w:r>
      <w:r w:rsidR="00100445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visiaceho </w:t>
      </w:r>
      <w:r w:rsidRP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dovozu nelegálnych, neeurópskych imigrantov do Európy. </w:t>
      </w:r>
    </w:p>
    <w:p w:rsidR="001E49EB" w:rsidP="00DB192A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Cieľom poslancov Ľudovej strany Naše Slovensko je ochrániť </w:t>
      </w:r>
      <w:r w:rsidR="00DB192A">
        <w:rPr>
          <w:rFonts w:ascii="Book Antiqua" w:hAnsi="Book Antiqua" w:cs="Book Antiqua"/>
          <w:kern w:val="0"/>
          <w:sz w:val="22"/>
          <w:szCs w:val="22"/>
          <w:lang w:bidi="ar-SA"/>
        </w:rPr>
        <w:t>Slovenskú republiku</w:t>
      </w: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DB192A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>a </w:t>
      </w:r>
      <w:r w:rsidR="00DB192A">
        <w:rPr>
          <w:rFonts w:ascii="Book Antiqua" w:hAnsi="Book Antiqua" w:cs="Book Antiqua"/>
          <w:kern w:val="0"/>
          <w:sz w:val="22"/>
          <w:szCs w:val="22"/>
          <w:lang w:bidi="ar-SA"/>
        </w:rPr>
        <w:t>jej obyvateľov</w:t>
      </w: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od hrôz </w:t>
      </w:r>
      <w:r w:rsidR="00DB192A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útokov </w:t>
      </w:r>
      <w:r w:rsidR="00F009A1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a občianskych nepokojov, ktoré </w:t>
      </w:r>
      <w:r w:rsidR="00DB192A">
        <w:rPr>
          <w:rFonts w:ascii="Book Antiqua" w:hAnsi="Book Antiqua" w:cs="Book Antiqua"/>
          <w:kern w:val="0"/>
          <w:sz w:val="22"/>
          <w:szCs w:val="22"/>
          <w:lang w:bidi="ar-SA"/>
        </w:rPr>
        <w:t>v súčasnosti spaľujú štáty západnej Európy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. Chrániť </w:t>
      </w:r>
      <w:r w:rsidRPr="006B72F6" w:rsidR="006B72F6">
        <w:rPr>
          <w:rFonts w:ascii="Book Antiqua" w:hAnsi="Book Antiqua" w:cs="Book Antiqua"/>
          <w:kern w:val="0"/>
          <w:sz w:val="22"/>
          <w:szCs w:val="22"/>
          <w:lang w:bidi="ar-SA"/>
        </w:rPr>
        <w:t>hranice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republiky a pomocou nich aj</w:t>
      </w:r>
      <w:r w:rsidR="009D7AB1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jej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obyvateľov je povinnosťou všetkých poslancov Národnej rady Slovenskej republiky.</w:t>
      </w:r>
    </w:p>
    <w:p w:rsidR="00D605FA" w:rsidP="006B72F6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Protiteroristické opatrenia, ktoré boli v Slovenskej republike aktivované počas posledných vianočných trhov, sú jasným potvrdením reálneho ohrozenia obyvateľov Slovenskej republiky </w:t>
        <w:br/>
        <w:t>zo strany týchto militantných imigrantov a teroristov.</w:t>
      </w:r>
    </w:p>
    <w:p w:rsidR="006B72F6" w:rsidRPr="0038416E" w:rsidP="0038416E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b/>
          <w:kern w:val="0"/>
          <w:sz w:val="22"/>
          <w:szCs w:val="22"/>
          <w:lang w:bidi="ar-SA"/>
        </w:rPr>
      </w:pPr>
      <w:r w:rsidRP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Jeden z najväčších </w:t>
      </w:r>
      <w:r w:rsidRPr="0038416E" w:rsid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>slovenských rodoľubov a slovenských velikánov</w:t>
      </w:r>
      <w:r w:rsidRP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>, Ľudovít</w:t>
      </w:r>
      <w:r w:rsidRPr="0038416E" w:rsid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Velislav</w:t>
      </w:r>
      <w:r w:rsidRP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Štúr</w:t>
      </w:r>
      <w:r w:rsidRPr="0038416E" w:rsid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>,</w:t>
      </w:r>
      <w:r w:rsidRPr="0038416E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vo svojom diele Starý a nový vek Slovákov napísal: „Hlboko si padol, rod môj, že rozkazy k mukám a k záhube Svojej sám vykonávaš, ktoré by iný odmrštil s nevôľou zvrchovanou. Podhodil si sa nohám šliapateľov Svojich a oni teraz rajtujú s potupou a s výskaním po Tebe.“</w:t>
      </w:r>
    </w:p>
    <w:p w:rsidR="00E76E47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E76E47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E76E47" w:rsidRPr="0034744D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34744D" w:rsidRPr="0034744D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9F58A5" w:rsidP="009F58A5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34744D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BD4273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</w:p>
    <w:p w:rsidR="0034744D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34744D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34744D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E76E47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342F01" w:rsidP="0034744D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342F01" w:rsidRPr="00342F01" w:rsidP="00342F01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342F01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II. 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E76E47" w:rsidP="00A6220D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="003254A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="00D8690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Zavádza sa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nová skutková podstata trestného činu</w:t>
      </w:r>
      <w:r w:rsidRPr="00E76E47">
        <w:rPr>
          <w:rFonts w:ascii="Book Antiqua" w:hAnsi="Book Antiqua"/>
          <w:b/>
          <w:color w:val="000000" w:themeColor="tx1" w:themeShade="FF"/>
          <w:kern w:val="0"/>
          <w:sz w:val="22"/>
          <w:szCs w:val="22"/>
          <w:lang w:eastAsia="en-US" w:bidi="ar-SA"/>
        </w:rPr>
        <w:t xml:space="preserve"> </w:t>
      </w:r>
      <w:r w:rsidRPr="00E76E4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nedovoleného vstupu a </w:t>
      </w:r>
      <w:r w:rsidRP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zdržiavanie sa na území Slovenskej republiky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, ktorá 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dopĺňa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skutkovú podstatu trestného činu násilného prekročenia štátnej hranice.</w:t>
      </w:r>
    </w:p>
    <w:p w:rsidR="00970E6D" w:rsidP="00E76E47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ab/>
        <w:t>Na naplnenie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základnej</w:t>
      </w:r>
      <w:r w:rsid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skutkovej podstaty tohto 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prečinu</w:t>
      </w:r>
      <w:r w:rsid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sa vyžaduje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splnenie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nasledovných objektívnych znakov:</w:t>
      </w:r>
    </w:p>
    <w:p w:rsidR="00970E6D" w:rsidP="00E76E47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1. subjekt musí byť cudzinec, t. j. osoba, ktorá nie je občanom Slovenskej republiky,</w:t>
      </w:r>
    </w:p>
    <w:p w:rsidR="00970E6D" w:rsidRPr="00777A63" w:rsidP="00E76E47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2. </w:t>
      </w:r>
      <w:r w:rsid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vstup na územie Slovenskej republiky alebo zdržiavanie sa na území Slovenskej republiky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br/>
      </w:r>
      <w:r w:rsid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bez oprávnenia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podľa osobitného predpisu</w:t>
      </w:r>
      <w:r w:rsidR="00E76E47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,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ktorým je z</w:t>
      </w:r>
      <w:r w:rsidRPr="009943C3"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ákon č. 404/2011 Z. z. o pobyte cudzincov a o zmene a doplnení niektorých zákonov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9943C3"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v znení neskorších predpisov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. </w:t>
      </w:r>
      <w:r w:rsidR="00777A6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To znamená bez </w:t>
      </w:r>
      <w:r w:rsidRPr="00777A63" w:rsidR="00E76E47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>platných cestovných dokladov</w:t>
      </w:r>
      <w:r w:rsidR="00777A63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 xml:space="preserve"> </w:t>
      </w:r>
      <w:r w:rsidRPr="00777A63" w:rsidR="00E76E47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>alebo víz</w:t>
      </w:r>
      <w:r w:rsidRPr="00777A63" w:rsidR="00CD7E2B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 xml:space="preserve">, povolenia na </w:t>
      </w:r>
      <w:r w:rsidRPr="0078006D"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prechodný či </w:t>
      </w:r>
      <w:r w:rsidRPr="00777A63" w:rsidR="00CD7E2B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 xml:space="preserve">trvalý </w:t>
      </w:r>
      <w:r w:rsidRPr="00777A63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>pobyt</w:t>
      </w:r>
      <w:r w:rsidR="00777A63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 xml:space="preserve"> a pod</w:t>
      </w:r>
      <w:r w:rsidRPr="00777A63">
        <w:rPr>
          <w:rFonts w:ascii="Book Antiqua" w:hAnsi="Book Antiqua" w:cs="Arial"/>
          <w:bCs/>
          <w:color w:val="000000" w:themeColor="tx1" w:themeShade="FF"/>
          <w:kern w:val="0"/>
          <w:sz w:val="22"/>
          <w:szCs w:val="22"/>
          <w:lang w:bidi="ar-SA"/>
        </w:rPr>
        <w:t>.</w:t>
      </w:r>
    </w:p>
    <w:p w:rsidR="009943C3" w:rsidP="00342F01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ab/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Súčasne sa z</w:t>
      </w:r>
      <w:r w:rsidRPr="0063755A"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avádza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63755A"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kvalifikovan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á</w:t>
      </w:r>
      <w:r w:rsidRPr="0063755A"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skutkov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á podstata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tohto trestného činu,</w:t>
      </w:r>
      <w:r w:rsidRPr="0063755A"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podmieňujúc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a</w:t>
      </w:r>
      <w:r w:rsidRPr="0063755A"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="0063755A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p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oužitie vyššej trestnej sadzby –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="00342F01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spáchanie uvedeného trestného činu </w:t>
      </w:r>
      <w:r w:rsidR="0038416E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páchateľom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ako členom organizovanej skupiny.</w:t>
      </w:r>
    </w:p>
    <w:p w:rsidR="0063755A" w:rsidP="0063755A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Uveden</w:t>
      </w:r>
      <w:r w:rsidR="00342F01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ý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prečin</w:t>
      </w:r>
      <w:r w:rsidRPr="00342F01" w:rsidR="00342F01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42F01" w:rsidR="00342F01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nedovoleného vstupu a zdržiavanie sa na území Slovenskej republiky 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nijako nemení 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súčasný právny stav vo vzťahu k 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občanom členských štátov Európskej únie a občanom iných štátov</w:t>
      </w:r>
      <w:r w:rsidRPr="00705422" w:rsidR="00705422">
        <w:rPr>
          <w:rFonts w:ascii="Times New Roman" w:hAnsi="Times New Roman"/>
        </w:rPr>
        <w:t xml:space="preserve"> </w:t>
      </w:r>
      <w:r w:rsidRPr="00705422"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Dohody o Európskom hospodárskom priestore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(</w:t>
      </w:r>
      <w:r w:rsidRPr="00705422"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I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sland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u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, Lichtenštajnsk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a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, Nórsk</w:t>
      </w:r>
      <w:r w:rsidR="009943C3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a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) a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Švajčiarska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. Títo cudzinci budú môcť aj naďalej vstupovať na územie Slovenskej republiky a zdržiavať sa na ňom bez cestovných pasov či víz 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–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len s platným dokladom totožnosti,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teda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tak ako to ustanovuje zákon č. 404/2011 Z. z. </w:t>
      </w:r>
      <w:r w:rsidRPr="00705422"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o pobyte cudzincov a o zmene a doplnení niektorých zákonov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v znení neskorších predpisov</w:t>
      </w:r>
      <w:r w:rsidR="007F5B30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bez toho, aby spáchali uvedený trestný čin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.</w:t>
      </w:r>
      <w:r w:rsidR="00705422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</w:p>
    <w:p w:rsidR="0067412C" w:rsidRPr="009A4AB6" w:rsidP="007F1E31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="004F6C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Cudzinci</w:t>
      </w:r>
      <w:r w:rsidR="009A4AB6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sa </w:t>
      </w:r>
      <w:r w:rsidRPr="009A4AB6" w:rsidR="009A4AB6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uvedeného trestného činu</w:t>
      </w:r>
      <w:r w:rsidR="009A4AB6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nedopustia, ak splnia podmienku uvedenú v čl. 31 ods. 1 Dohovoru</w:t>
      </w:r>
      <w:r w:rsidR="009A4AB6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9A4AB6" w:rsidR="009A4AB6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o právnom postavení utečencov (Oznámenie Ministerstva zahraničných vecí Slovenskej republiky č. 319/1996 Z. z.</w:t>
      </w:r>
      <w:r w:rsidR="009A4AB6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). </w:t>
      </w:r>
    </w:p>
    <w:p w:rsidR="00342F01" w:rsidRPr="007F5B30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u w:val="single"/>
          <w:lang w:bidi="ar-SA"/>
        </w:rPr>
      </w:pPr>
      <w:r w:rsidRPr="007F5B30" w:rsidR="009943C3">
        <w:rPr>
          <w:rFonts w:ascii="Book Antiqua" w:hAnsi="Book Antiqua" w:cs="Arial"/>
          <w:bCs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045BEB" w:rsidRPr="00045BEB" w:rsidP="00045BEB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Pr="00045BE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Zvyšuje sa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trestná sadzba trestu odňatia slobody v rámci základnej skutkovej podstaty </w:t>
      </w:r>
      <w:r w:rsidRPr="00045BEB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trestného činu prevádzačstva, a to 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z pôvodného jedného</w:t>
      </w:r>
      <w:r w:rsidRPr="00045BEB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rok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u až piatich</w:t>
      </w:r>
      <w:r w:rsidRPr="00045BEB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rokov na tri roky 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br/>
      </w:r>
      <w:r w:rsidRPr="00045BEB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až päť rokov.</w:t>
      </w:r>
    </w:p>
    <w:p w:rsidR="00045BEB" w:rsidRPr="007F5B30" w:rsidP="00045BEB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u w:val="single"/>
          <w:lang w:bidi="ar-SA"/>
        </w:rPr>
      </w:pPr>
      <w:r w:rsidRPr="007F5B30">
        <w:rPr>
          <w:rFonts w:ascii="Book Antiqua" w:hAnsi="Book Antiqua" w:cs="Arial"/>
          <w:bCs/>
          <w:color w:val="000000"/>
          <w:kern w:val="0"/>
          <w:sz w:val="22"/>
          <w:szCs w:val="22"/>
          <w:u w:val="single"/>
          <w:lang w:bidi="ar-SA"/>
        </w:rPr>
        <w:t>K bodu 3</w:t>
      </w:r>
    </w:p>
    <w:p w:rsidR="007F5B30" w:rsidP="007F5B30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  <w:r w:rsidR="00045BE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="00045BE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7F5B3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Zvyšuje sa</w:t>
      </w:r>
      <w:r w:rsidRPr="007F5B3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Pr="007F5B3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trestná sadzba trestu odňatia slobody v rámci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kvalifikovanej</w:t>
      </w:r>
      <w:r w:rsidRPr="007F5B3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skutkovej podstaty </w:t>
      </w:r>
      <w:r w:rsidRPr="007F5B30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trestného činu prevádzačstva, a</w:t>
      </w:r>
      <w:r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7F5B30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to z pôvodných 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troch</w:t>
      </w:r>
      <w:r w:rsidRPr="007F5B30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rok</w:t>
      </w:r>
      <w:r w:rsidR="0078006D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>ov</w:t>
      </w:r>
      <w:r w:rsidRPr="007F5B30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 až osem rokov na päť rokov </w:t>
        <w:br/>
        <w:t>až desať rokov.</w:t>
      </w:r>
    </w:p>
    <w:p w:rsidR="00A73D03" w:rsidP="007F5B30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</w:pPr>
    </w:p>
    <w:p w:rsidR="009943C3" w:rsidRPr="007F5B30" w:rsidP="00045BEB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7F5B30" w:rsidR="007F5B30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4</w:t>
      </w:r>
    </w:p>
    <w:p w:rsidR="007F5B30" w:rsidRPr="00045BEB" w:rsidP="007F5B30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7F5B3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Zvyšuje sa</w:t>
      </w:r>
      <w:r w:rsidRPr="007F5B3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Pr="007F5B3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trestná sadzba trestu odňatia slobody v rámci kvalifikovanej skutkovej podstaty </w:t>
      </w:r>
      <w:r w:rsidRPr="007F5B30">
        <w:rPr>
          <w:rFonts w:ascii="Book Antiqua" w:hAnsi="Book Antiqua" w:cs="Arial"/>
          <w:bCs/>
          <w:color w:val="000000"/>
          <w:kern w:val="0"/>
          <w:sz w:val="22"/>
          <w:szCs w:val="22"/>
          <w:lang w:bidi="ar-SA"/>
        </w:rPr>
        <w:t xml:space="preserve">trestného činu prevádzačstva, a to z pôvodných sedem rokov až desať rokov na sedem rokov </w:t>
        <w:br/>
        <w:t>až dvanásť rokov.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E84888" w:rsidP="003254A1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3254A1" w:rsidR="003254A1">
        <w:rPr>
          <w:rFonts w:ascii="Book Antiqua" w:hAnsi="Book Antiqua" w:cs="Arial"/>
          <w:color w:val="000000"/>
          <w:kern w:val="1"/>
          <w:sz w:val="22"/>
          <w:szCs w:val="22"/>
        </w:rPr>
        <w:t>Navrhuje sa účinnosť zákona pätnástym dňom po jeho vyhlásení v Zbierke zákonov.</w:t>
      </w:r>
    </w:p>
    <w:sectPr w:rsidSect="00BB35E1">
      <w:type w:val="continuous"/>
      <w:pgSz w:w="11906" w:h="16838"/>
      <w:pgMar w:top="1134" w:right="1134" w:bottom="1134" w:left="1134" w:header="709" w:footer="709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21847A28"/>
    <w:multiLevelType w:val="hybridMultilevel"/>
    <w:tmpl w:val="FB3838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02C4E"/>
    <w:rsid w:val="0001147F"/>
    <w:rsid w:val="00013ABE"/>
    <w:rsid w:val="00045BEB"/>
    <w:rsid w:val="000470E8"/>
    <w:rsid w:val="00072C30"/>
    <w:rsid w:val="00075798"/>
    <w:rsid w:val="000B5C2B"/>
    <w:rsid w:val="000E26FA"/>
    <w:rsid w:val="00100445"/>
    <w:rsid w:val="00197E18"/>
    <w:rsid w:val="001C442D"/>
    <w:rsid w:val="001D6897"/>
    <w:rsid w:val="001E49EB"/>
    <w:rsid w:val="001E4F50"/>
    <w:rsid w:val="001E6479"/>
    <w:rsid w:val="002072A7"/>
    <w:rsid w:val="002163D3"/>
    <w:rsid w:val="00260531"/>
    <w:rsid w:val="00297050"/>
    <w:rsid w:val="002E3CB8"/>
    <w:rsid w:val="00300757"/>
    <w:rsid w:val="00306B95"/>
    <w:rsid w:val="003254A1"/>
    <w:rsid w:val="00342F01"/>
    <w:rsid w:val="0034744D"/>
    <w:rsid w:val="003506A2"/>
    <w:rsid w:val="0035513F"/>
    <w:rsid w:val="0038416E"/>
    <w:rsid w:val="00386C7E"/>
    <w:rsid w:val="003C4853"/>
    <w:rsid w:val="003F2C29"/>
    <w:rsid w:val="00401CEF"/>
    <w:rsid w:val="00403429"/>
    <w:rsid w:val="0044017D"/>
    <w:rsid w:val="00445805"/>
    <w:rsid w:val="00457D5B"/>
    <w:rsid w:val="00470E08"/>
    <w:rsid w:val="004C7790"/>
    <w:rsid w:val="004C7C57"/>
    <w:rsid w:val="004D08D2"/>
    <w:rsid w:val="004E1E66"/>
    <w:rsid w:val="004F6C6D"/>
    <w:rsid w:val="005469A9"/>
    <w:rsid w:val="0058452E"/>
    <w:rsid w:val="0060614C"/>
    <w:rsid w:val="00612323"/>
    <w:rsid w:val="006329D9"/>
    <w:rsid w:val="0063755A"/>
    <w:rsid w:val="00672BD4"/>
    <w:rsid w:val="0067412C"/>
    <w:rsid w:val="006755CA"/>
    <w:rsid w:val="00676D7A"/>
    <w:rsid w:val="006B72F6"/>
    <w:rsid w:val="006C15F7"/>
    <w:rsid w:val="006D611C"/>
    <w:rsid w:val="00705422"/>
    <w:rsid w:val="007374A8"/>
    <w:rsid w:val="00755E04"/>
    <w:rsid w:val="00777A63"/>
    <w:rsid w:val="0078006D"/>
    <w:rsid w:val="00784B25"/>
    <w:rsid w:val="007B25B8"/>
    <w:rsid w:val="007E1102"/>
    <w:rsid w:val="007F1E31"/>
    <w:rsid w:val="007F5B30"/>
    <w:rsid w:val="0083383D"/>
    <w:rsid w:val="00833864"/>
    <w:rsid w:val="008478BE"/>
    <w:rsid w:val="00854118"/>
    <w:rsid w:val="00880065"/>
    <w:rsid w:val="008854B7"/>
    <w:rsid w:val="008D50B9"/>
    <w:rsid w:val="009532D4"/>
    <w:rsid w:val="00964298"/>
    <w:rsid w:val="00970E6D"/>
    <w:rsid w:val="009943C3"/>
    <w:rsid w:val="009A4AB6"/>
    <w:rsid w:val="009C1FB6"/>
    <w:rsid w:val="009D7AB1"/>
    <w:rsid w:val="009F58A5"/>
    <w:rsid w:val="009F6924"/>
    <w:rsid w:val="009F69D3"/>
    <w:rsid w:val="00A3277D"/>
    <w:rsid w:val="00A330E2"/>
    <w:rsid w:val="00A460C3"/>
    <w:rsid w:val="00A6220D"/>
    <w:rsid w:val="00A73D03"/>
    <w:rsid w:val="00A776CA"/>
    <w:rsid w:val="00AA3D59"/>
    <w:rsid w:val="00AC1E33"/>
    <w:rsid w:val="00AC4D1E"/>
    <w:rsid w:val="00AE6541"/>
    <w:rsid w:val="00B21CF6"/>
    <w:rsid w:val="00B26DB1"/>
    <w:rsid w:val="00B52ABA"/>
    <w:rsid w:val="00B553D2"/>
    <w:rsid w:val="00BB35E1"/>
    <w:rsid w:val="00BD4273"/>
    <w:rsid w:val="00BE2AFE"/>
    <w:rsid w:val="00BF1BEB"/>
    <w:rsid w:val="00C07276"/>
    <w:rsid w:val="00C10C95"/>
    <w:rsid w:val="00C176E4"/>
    <w:rsid w:val="00C63173"/>
    <w:rsid w:val="00C63DA0"/>
    <w:rsid w:val="00CA3BF2"/>
    <w:rsid w:val="00CB653D"/>
    <w:rsid w:val="00CD7E2B"/>
    <w:rsid w:val="00CF1C12"/>
    <w:rsid w:val="00CF3A95"/>
    <w:rsid w:val="00D2694F"/>
    <w:rsid w:val="00D3056C"/>
    <w:rsid w:val="00D458E1"/>
    <w:rsid w:val="00D46245"/>
    <w:rsid w:val="00D605FA"/>
    <w:rsid w:val="00D86904"/>
    <w:rsid w:val="00D87946"/>
    <w:rsid w:val="00DB192A"/>
    <w:rsid w:val="00DB39CF"/>
    <w:rsid w:val="00E07A0F"/>
    <w:rsid w:val="00E10995"/>
    <w:rsid w:val="00E13DF0"/>
    <w:rsid w:val="00E62C58"/>
    <w:rsid w:val="00E76E47"/>
    <w:rsid w:val="00E771A7"/>
    <w:rsid w:val="00E81AD7"/>
    <w:rsid w:val="00E84888"/>
    <w:rsid w:val="00EC23AD"/>
    <w:rsid w:val="00ED6347"/>
    <w:rsid w:val="00EE702A"/>
    <w:rsid w:val="00EE74AB"/>
    <w:rsid w:val="00EF2548"/>
    <w:rsid w:val="00F009A1"/>
    <w:rsid w:val="00F13143"/>
    <w:rsid w:val="00F55A58"/>
    <w:rsid w:val="00F70A0C"/>
    <w:rsid w:val="00F720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o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locked/>
    <w:rsid w:val="001E6479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locked/>
    <w:rsid w:val="00013ABE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045BEB"/>
    <w:pPr>
      <w:ind w:left="708"/>
      <w:jc w:val="left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DD86-4DCE-46E6-8C6F-5BF3BC81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656</TotalTime>
  <Pages>4</Pages>
  <Words>1128</Words>
  <Characters>6431</Characters>
  <Application>Microsoft Office Word</Application>
  <DocSecurity>0</DocSecurity>
  <Lines>0</Lines>
  <Paragraphs>0</Paragraphs>
  <ScaleCrop>false</ScaleCrop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rastislav.schlosar</cp:lastModifiedBy>
  <cp:revision>38</cp:revision>
  <cp:lastPrinted>2018-01-11T16:37:00Z</cp:lastPrinted>
  <dcterms:created xsi:type="dcterms:W3CDTF">2017-11-07T10:57:00Z</dcterms:created>
  <dcterms:modified xsi:type="dcterms:W3CDTF">2018-01-11T16:37:00Z</dcterms:modified>
</cp:coreProperties>
</file>