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304D2" w:rsidR="008A1252">
              <w:rPr>
                <w:rFonts w:ascii="Times New Roman" w:hAnsi="Times New Roman"/>
                <w:b/>
                <w:sz w:val="28"/>
              </w:rPr>
              <w:t>Analýza v</w:t>
            </w:r>
            <w:r w:rsidRPr="00B304D2">
              <w:rPr>
                <w:rFonts w:ascii="Times New Roman" w:hAnsi="Times New Roman"/>
                <w:b/>
                <w:sz w:val="28"/>
              </w:rPr>
              <w:t>plyv</w:t>
            </w:r>
            <w:r w:rsidRPr="00B304D2"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B304D2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B304D2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B304D2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Pr="00B304D2"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B304D2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B304D2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04D2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B304D2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D47E66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B304D2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D47E66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rPr>
                      <w:rFonts w:ascii="Times New Roman" w:hAnsi="Times New Roman"/>
                    </w:rPr>
                  </w:pPr>
                  <w:r w:rsidRPr="00B304D2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9F2DFA" w:rsidRPr="00B304D2" w:rsidP="001B724A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B304D2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B304D2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B304D2" w:rsidP="001B724A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B304D2">
              <w:rPr>
                <w:rFonts w:ascii="Times New Roman" w:hAnsi="Times New Roman"/>
                <w:sz w:val="24"/>
              </w:rPr>
              <w:t xml:space="preserve"> - </w:t>
            </w:r>
            <w:r w:rsidRPr="00B304D2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06D9E">
            <w:pPr>
              <w:bidi w:val="0"/>
              <w:jc w:val="both"/>
              <w:rPr>
                <w:rFonts w:ascii="Times New Roman" w:hAnsi="Times New Roman"/>
              </w:rPr>
            </w:pPr>
            <w:r w:rsidRPr="00B304D2" w:rsidR="00106D9E">
              <w:rPr>
                <w:rFonts w:ascii="Times New Roman" w:hAnsi="Times New Roman"/>
              </w:rPr>
              <w:t xml:space="preserve">4 </w:t>
            </w:r>
            <w:r w:rsidRPr="00B304D2" w:rsidR="000B37E3">
              <w:rPr>
                <w:rFonts w:ascii="Times New Roman" w:hAnsi="Times New Roman"/>
              </w:rPr>
              <w:t>d</w:t>
            </w:r>
            <w:r w:rsidRPr="00B304D2" w:rsidR="00222DFC">
              <w:rPr>
                <w:rFonts w:ascii="Times New Roman" w:hAnsi="Times New Roman"/>
              </w:rPr>
              <w:t xml:space="preserve">oplnkové dôchodkové spoločnosti </w:t>
            </w:r>
            <w:r w:rsidRPr="00B304D2" w:rsidR="007D6056">
              <w:rPr>
                <w:rFonts w:ascii="Times New Roman" w:hAnsi="Times New Roman"/>
              </w:rPr>
              <w:t>–</w:t>
            </w:r>
            <w:r w:rsidRPr="00B304D2" w:rsidR="00222DFC">
              <w:rPr>
                <w:rFonts w:ascii="Times New Roman" w:hAnsi="Times New Roman"/>
              </w:rPr>
              <w:t xml:space="preserve"> DDS</w:t>
            </w:r>
          </w:p>
          <w:p w:rsidR="00104F8A" w:rsidRPr="00B304D2" w:rsidP="00106D9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D6056" w:rsidRPr="00B304D2" w:rsidP="007D6056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Pozn.: J</w:t>
            </w:r>
            <w:r w:rsidRPr="00B304D2" w:rsidR="000267E2">
              <w:rPr>
                <w:rFonts w:ascii="Times New Roman" w:hAnsi="Times New Roman"/>
                <w:i/>
              </w:rPr>
              <w:t>ednotlivé DD</w:t>
            </w:r>
            <w:r w:rsidRPr="00B304D2">
              <w:rPr>
                <w:rFonts w:ascii="Times New Roman" w:hAnsi="Times New Roman"/>
                <w:i/>
              </w:rPr>
              <w:t>S by spĺňali kritériá pre malé a stredné podniky (MSP) ako samostatné podnikateľské subjekty. V súlade s odporúčaním Európskej komisie 2003/361/EC sa však pre potreby analýzy vybraných vplyvov posudzujú kritériá MSP vrátane počtu zam</w:t>
            </w:r>
            <w:r w:rsidRPr="00B304D2" w:rsidR="000267E2">
              <w:rPr>
                <w:rFonts w:ascii="Times New Roman" w:hAnsi="Times New Roman"/>
                <w:i/>
              </w:rPr>
              <w:t>estnancov a obratu akcionárov DD</w:t>
            </w:r>
            <w:r w:rsidRPr="00B304D2">
              <w:rPr>
                <w:rFonts w:ascii="Times New Roman" w:hAnsi="Times New Roman"/>
                <w:i/>
              </w:rPr>
              <w:t>S. Z tohto dôvodu bude mať legislatívna úprava vplyv len na veľké podniky.</w:t>
            </w:r>
          </w:p>
          <w:p w:rsidR="007D6056" w:rsidRPr="00B304D2" w:rsidP="00B304D2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B304D2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B304D2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b/>
              </w:rPr>
            </w:pPr>
            <w:r w:rsidRPr="00B304D2">
              <w:rPr>
                <w:rFonts w:ascii="Times New Roman" w:hAnsi="Times New Roman"/>
                <w:sz w:val="24"/>
              </w:rPr>
              <w:t xml:space="preserve">       - </w:t>
            </w:r>
            <w:r w:rsidRPr="00B304D2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  <w:p w:rsidR="00945E0E" w:rsidRPr="00B304D2" w:rsidP="001B724A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5E0E" w:rsidP="00C91CB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F3D8E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</w:rPr>
              <w:t>Informácia o začatí konzultácií  s podnikateľským prostredím bola zverejnená</w:t>
            </w:r>
            <w:r w:rsidR="003653C5">
              <w:rPr>
                <w:rFonts w:ascii="Times New Roman" w:hAnsi="Times New Roman"/>
              </w:rPr>
              <w:t xml:space="preserve"> v</w:t>
            </w:r>
            <w:r w:rsidRPr="00B304D2">
              <w:rPr>
                <w:rFonts w:ascii="Times New Roman" w:hAnsi="Times New Roman"/>
              </w:rPr>
              <w:t xml:space="preserve"> dň</w:t>
            </w:r>
            <w:r w:rsidR="003653C5">
              <w:rPr>
                <w:rFonts w:ascii="Times New Roman" w:hAnsi="Times New Roman"/>
              </w:rPr>
              <w:t>och</w:t>
            </w:r>
            <w:r w:rsidRPr="00B304D2">
              <w:rPr>
                <w:rFonts w:ascii="Times New Roman" w:hAnsi="Times New Roman"/>
              </w:rPr>
              <w:t xml:space="preserve"> 24. </w:t>
            </w:r>
            <w:r w:rsidR="007D36E8">
              <w:rPr>
                <w:rFonts w:ascii="Times New Roman" w:hAnsi="Times New Roman"/>
              </w:rPr>
              <w:t>augusta</w:t>
            </w:r>
            <w:r w:rsidRPr="00B304D2">
              <w:rPr>
                <w:rFonts w:ascii="Times New Roman" w:hAnsi="Times New Roman"/>
              </w:rPr>
              <w:t xml:space="preserve">  2017   </w:t>
            </w:r>
            <w:r w:rsidR="003653C5">
              <w:rPr>
                <w:rFonts w:ascii="Times New Roman" w:hAnsi="Times New Roman"/>
              </w:rPr>
              <w:t>až</w:t>
            </w:r>
            <w:r w:rsidRPr="00B304D2">
              <w:rPr>
                <w:rFonts w:ascii="Times New Roman" w:hAnsi="Times New Roman"/>
              </w:rPr>
              <w:t xml:space="preserve">  8. </w:t>
            </w:r>
            <w:r w:rsidR="007D36E8">
              <w:rPr>
                <w:rFonts w:ascii="Times New Roman" w:hAnsi="Times New Roman"/>
              </w:rPr>
              <w:t>septembra</w:t>
            </w:r>
            <w:r w:rsidRPr="00B304D2">
              <w:rPr>
                <w:rFonts w:ascii="Times New Roman" w:hAnsi="Times New Roman"/>
              </w:rPr>
              <w:t> 2017. O konzultácie v súvislosti so zverejnenou informáciou neprejavil záujem žiadny subjekt.</w:t>
            </w:r>
          </w:p>
          <w:p w:rsidR="00DF3D8E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F3D8E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</w:rPr>
              <w:t xml:space="preserve">Pri príprave predloženého </w:t>
            </w:r>
            <w:r w:rsidR="00F6414B">
              <w:rPr>
                <w:rFonts w:ascii="Times New Roman" w:hAnsi="Times New Roman"/>
              </w:rPr>
              <w:t xml:space="preserve">vládneho </w:t>
            </w:r>
            <w:r w:rsidRPr="00B304D2">
              <w:rPr>
                <w:rFonts w:ascii="Times New Roman" w:hAnsi="Times New Roman"/>
              </w:rPr>
              <w:t xml:space="preserve">návrhu zákona boli s cieľom konzultácie oslovené priamo </w:t>
            </w:r>
            <w:r w:rsidR="00DE0611">
              <w:rPr>
                <w:rFonts w:ascii="Times New Roman" w:hAnsi="Times New Roman"/>
              </w:rPr>
              <w:t>d</w:t>
            </w:r>
            <w:r w:rsidRPr="00B304D2" w:rsidR="00DE0611">
              <w:rPr>
                <w:rFonts w:ascii="Times New Roman" w:hAnsi="Times New Roman"/>
              </w:rPr>
              <w:t xml:space="preserve">oplnkové </w:t>
            </w:r>
            <w:r w:rsidRPr="00B304D2">
              <w:rPr>
                <w:rFonts w:ascii="Times New Roman" w:hAnsi="Times New Roman"/>
              </w:rPr>
              <w:t>dôchodkové spoločnosti.</w:t>
            </w:r>
          </w:p>
          <w:p w:rsidR="00B94CE2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91CB2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</w:rPr>
              <w:t>Zástupcovia podnikateľského prostredia – z </w:t>
            </w:r>
            <w:r w:rsidR="00DE0611">
              <w:rPr>
                <w:rFonts w:ascii="Times New Roman" w:hAnsi="Times New Roman"/>
              </w:rPr>
              <w:t>A</w:t>
            </w:r>
            <w:r w:rsidRPr="00B304D2" w:rsidR="00DE0611">
              <w:rPr>
                <w:rFonts w:ascii="Times New Roman" w:hAnsi="Times New Roman"/>
              </w:rPr>
              <w:t xml:space="preserve">sociácie </w:t>
            </w:r>
            <w:r w:rsidRPr="00B304D2">
              <w:rPr>
                <w:rFonts w:ascii="Times New Roman" w:hAnsi="Times New Roman"/>
              </w:rPr>
              <w:t xml:space="preserve">doplnkových dôchodkových spoločností (ADDS) sa stretli na pôde </w:t>
            </w:r>
            <w:r w:rsidR="007D36E8">
              <w:rPr>
                <w:rFonts w:ascii="Times New Roman" w:hAnsi="Times New Roman"/>
              </w:rPr>
              <w:t>M</w:t>
            </w:r>
            <w:r w:rsidRPr="00B304D2">
              <w:rPr>
                <w:rFonts w:ascii="Times New Roman" w:hAnsi="Times New Roman"/>
              </w:rPr>
              <w:t>inisterstva</w:t>
            </w:r>
            <w:r w:rsidR="007D36E8">
              <w:rPr>
                <w:rFonts w:ascii="Times New Roman" w:hAnsi="Times New Roman"/>
              </w:rPr>
              <w:t xml:space="preserve"> práce sociálnych vecí a rodiny SR (ďalej len „ministerstvo“)</w:t>
            </w:r>
            <w:r w:rsidRPr="00B304D2">
              <w:rPr>
                <w:rFonts w:ascii="Times New Roman" w:hAnsi="Times New Roman"/>
              </w:rPr>
              <w:t xml:space="preserve"> dňa 14.7.2017 za účelom konzultácií k obsahu pripravovanej novely zákona č. 650/2004 Z. z. o doplnkovom dôchodkovom sporení a o zmene a doplnení niektorých zákonov</w:t>
            </w:r>
            <w:r w:rsidR="00552E18">
              <w:rPr>
                <w:rFonts w:ascii="Times New Roman" w:hAnsi="Times New Roman"/>
              </w:rPr>
              <w:t xml:space="preserve"> v znení neskorších predpisov</w:t>
            </w:r>
            <w:r w:rsidRPr="00B304D2">
              <w:rPr>
                <w:rFonts w:ascii="Times New Roman" w:hAnsi="Times New Roman"/>
              </w:rPr>
              <w:t xml:space="preserve"> (novela zákona).</w:t>
            </w:r>
          </w:p>
          <w:p w:rsidR="00C91CB2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91CB2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</w:rPr>
              <w:t>Ministerstvo na stretnutí zástupcov ADDS informovalo o obsahu novely zákona:</w:t>
            </w:r>
          </w:p>
          <w:p w:rsidR="00C91CB2" w:rsidRPr="00B304D2" w:rsidP="00C91CB2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transpozícia smernice EP a Rady 2014/50/EÚ o minimálnych požiadavkách na posilnenie mobility pracovníkov medzi členskými štátmi zlepšením nadobúdania a zachovávania doplnkových dôchodkových práv (ďalej len „smernica 2014/50/EÚ“), </w:t>
            </w:r>
          </w:p>
          <w:p w:rsidR="00C91CB2" w:rsidRPr="00B304D2" w:rsidP="00C91CB2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transpozícia smernice EP a Rady (EÚ) 2016/2341 o činnostiach inštitúcií zamestnaneckého dôchodkového zabezpečenia a o dohľade nad nimi (ďalej len „smernica IORP II“) a  </w:t>
            </w:r>
          </w:p>
          <w:p w:rsidR="00C91CB2" w:rsidRPr="00B304D2" w:rsidP="00C91CB2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zavedenie novej dávky z doplnkového dôchodkového sporenia, ktorá umožní účastníkom tohto systému odísť skôr z pracovného trhu a financovať svoje životné náklady súkromnými prostriedkami z osobného účtu, tzv. preddôchodok. </w:t>
            </w:r>
          </w:p>
          <w:p w:rsidR="00C91CB2" w:rsidRPr="00B304D2" w:rsidP="00C91CB2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zrušenie povinnosti uzatvoriť účastnícku zmluvu zamestnancom, ktorý vykonáva rizikovú prácu (zamestnávateľ bude prispievať automaticky) spolu so zrušením daňovo-odvodového zaťaženia pri príspevkoch zamestnávateľa platených za rizikára (daň z príjmov a poistné na zdravotné poistenie)</w:t>
            </w:r>
          </w:p>
          <w:p w:rsidR="00C91CB2" w:rsidRPr="00B304D2" w:rsidP="00C91CB2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ďalšie zmeny právnej úpravy doplnkového dôchodkového sporenia na základe podnetov z aplikačnej praxe.</w:t>
            </w:r>
          </w:p>
          <w:p w:rsidR="009F2DFA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  <w:r w:rsidRPr="00B304D2" w:rsidR="00C91CB2">
              <w:rPr>
                <w:rFonts w:ascii="Times New Roman" w:hAnsi="Times New Roman"/>
              </w:rPr>
              <w:t xml:space="preserve">Predmetom rokovania boli aj podnety ADDS na zmenu </w:t>
            </w:r>
            <w:r w:rsidR="00F6414B">
              <w:rPr>
                <w:rFonts w:ascii="Times New Roman" w:hAnsi="Times New Roman"/>
              </w:rPr>
              <w:t xml:space="preserve">vládneho návrhu </w:t>
            </w:r>
            <w:r w:rsidRPr="00B304D2" w:rsidR="00C91CB2">
              <w:rPr>
                <w:rFonts w:ascii="Times New Roman" w:hAnsi="Times New Roman"/>
              </w:rPr>
              <w:t>zákona.</w:t>
            </w:r>
          </w:p>
          <w:p w:rsidR="00C91CB2" w:rsidRPr="00B304D2" w:rsidP="00C91CB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91CB2" w:rsidRPr="00B304D2" w:rsidP="00F6414B">
            <w:pPr>
              <w:bidi w:val="0"/>
              <w:jc w:val="both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</w:rPr>
              <w:t xml:space="preserve">Ministerstvo a zástupcovia ADDS sa dohodli na spolupráci pri príprave </w:t>
            </w:r>
            <w:r w:rsidR="00F6414B">
              <w:rPr>
                <w:rFonts w:ascii="Times New Roman" w:hAnsi="Times New Roman"/>
              </w:rPr>
              <w:t xml:space="preserve"> </w:t>
            </w:r>
            <w:r w:rsidRPr="00B304D2">
              <w:rPr>
                <w:rFonts w:ascii="Times New Roman" w:hAnsi="Times New Roman"/>
              </w:rPr>
              <w:t>novely zákona</w:t>
            </w:r>
            <w:r w:rsidR="00F6414B">
              <w:rPr>
                <w:rFonts w:ascii="Times New Roman" w:hAnsi="Times New Roman"/>
              </w:rPr>
              <w:t>,</w:t>
            </w:r>
            <w:r w:rsidRPr="00B304D2">
              <w:rPr>
                <w:rFonts w:ascii="Times New Roman" w:hAnsi="Times New Roman"/>
              </w:rPr>
              <w:t xml:space="preserve"> ako aj pri kvantifikácií vplyvov na podnikateľské prostredie.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B304D2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B304D2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b/>
              </w:rPr>
            </w:pPr>
            <w:r w:rsidRPr="00B304D2">
              <w:rPr>
                <w:rFonts w:ascii="Times New Roman" w:hAnsi="Times New Roman"/>
                <w:sz w:val="24"/>
              </w:rPr>
              <w:t xml:space="preserve">      - </w:t>
            </w:r>
            <w:r w:rsidRPr="00B304D2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i/>
              </w:rPr>
            </w:pPr>
            <w:r w:rsidRPr="00B304D2" w:rsidR="002B1108">
              <w:rPr>
                <w:rFonts w:ascii="Times New Roman" w:hAnsi="Times New Roman"/>
                <w:b/>
                <w:i/>
              </w:rPr>
              <w:t>3</w:t>
            </w:r>
            <w:r w:rsidRPr="00B304D2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5ED3" w:rsidP="00B304D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77E01" w:rsidP="00B304D2">
            <w:pPr>
              <w:bidi w:val="0"/>
              <w:jc w:val="both"/>
              <w:rPr>
                <w:rFonts w:ascii="Times New Roman" w:hAnsi="Times New Roman"/>
              </w:rPr>
            </w:pPr>
            <w:r w:rsidR="00AA357F">
              <w:rPr>
                <w:rFonts w:ascii="Times New Roman" w:hAnsi="Times New Roman"/>
              </w:rPr>
              <w:t>U</w:t>
            </w:r>
            <w:r w:rsidRPr="00B304D2" w:rsidR="009D691B">
              <w:rPr>
                <w:rFonts w:ascii="Times New Roman" w:hAnsi="Times New Roman"/>
              </w:rPr>
              <w:t xml:space="preserve"> niektorých </w:t>
            </w:r>
            <w:r w:rsidRPr="00B304D2" w:rsidR="00D02D68">
              <w:rPr>
                <w:rFonts w:ascii="Times New Roman" w:hAnsi="Times New Roman"/>
              </w:rPr>
              <w:t>zamestnávateľov</w:t>
            </w:r>
            <w:r w:rsidRPr="00B304D2" w:rsidR="008A19AE">
              <w:rPr>
                <w:rFonts w:ascii="Times New Roman" w:hAnsi="Times New Roman"/>
              </w:rPr>
              <w:t xml:space="preserve"> s uzavretými účastníckymi zmluvami</w:t>
            </w:r>
            <w:r w:rsidR="00AA357F">
              <w:rPr>
                <w:rFonts w:ascii="Times New Roman" w:hAnsi="Times New Roman"/>
              </w:rPr>
              <w:t xml:space="preserve"> </w:t>
            </w:r>
            <w:r w:rsidRPr="008F5ED3" w:rsidR="00AA357F">
              <w:rPr>
                <w:rFonts w:ascii="Times New Roman" w:hAnsi="Times New Roman"/>
                <w:u w:val="single"/>
              </w:rPr>
              <w:t>môže dôjsť k zvýšeniu priamych finančných nákladov</w:t>
            </w:r>
            <w:r w:rsidRPr="00B304D2" w:rsidR="008A19AE">
              <w:rPr>
                <w:rFonts w:ascii="Times New Roman" w:hAnsi="Times New Roman"/>
              </w:rPr>
              <w:t>. Kým pri aktuálne platnom legislatívnom nastavení si zamestnávateľ mohol dohodnúť v kolektívnej zmluve obdobie od vzniku zamestnania, počas ktorého nemusel platiť príspevky (ďalej len „čakacie obdobie“) bez obmedzení</w:t>
            </w:r>
            <w:r w:rsidRPr="00B304D2" w:rsidR="00C826A8">
              <w:rPr>
                <w:rFonts w:ascii="Times New Roman" w:hAnsi="Times New Roman"/>
              </w:rPr>
              <w:t>,</w:t>
            </w:r>
            <w:r w:rsidRPr="00B304D2" w:rsidR="008A19AE">
              <w:rPr>
                <w:rFonts w:ascii="Times New Roman" w:hAnsi="Times New Roman"/>
              </w:rPr>
              <w:t xml:space="preserve"> po schválení novely zákona dĺžka čakacieho obdobia nebude môcť p</w:t>
            </w:r>
            <w:r w:rsidR="00B5075C">
              <w:rPr>
                <w:rFonts w:ascii="Times New Roman" w:hAnsi="Times New Roman"/>
              </w:rPr>
              <w:t xml:space="preserve">resiahnuť 1 rok. </w:t>
            </w:r>
            <w:r w:rsidRPr="00B304D2" w:rsidR="0072658F">
              <w:rPr>
                <w:rFonts w:ascii="Times New Roman" w:hAnsi="Times New Roman"/>
              </w:rPr>
              <w:t xml:space="preserve">Toto obmedzenie dĺžky čakacieho obdobia môže spôsobiť dodatočné náklady zamestnávateľom spojené s povinnosťou platiť príspevky na DDS za svojich zamestnancov. </w:t>
            </w:r>
            <w:r w:rsidR="00FF7EF1">
              <w:rPr>
                <w:rFonts w:ascii="Times New Roman" w:hAnsi="Times New Roman"/>
              </w:rPr>
              <w:t>Vzhľadom k tomu</w:t>
            </w:r>
            <w:r w:rsidRPr="00B304D2" w:rsidR="00FF7EF1">
              <w:rPr>
                <w:rFonts w:ascii="Times New Roman" w:hAnsi="Times New Roman"/>
              </w:rPr>
              <w:t>, že ministerstvo nedisponuje údajmi o zamestnávateľských zmluvách</w:t>
            </w:r>
            <w:r w:rsidR="00F6414B">
              <w:rPr>
                <w:rFonts w:ascii="Times New Roman" w:hAnsi="Times New Roman"/>
              </w:rPr>
              <w:t>,</w:t>
            </w:r>
            <w:r w:rsidRPr="00B304D2" w:rsidR="00FF7EF1">
              <w:rPr>
                <w:rFonts w:ascii="Times New Roman" w:hAnsi="Times New Roman"/>
              </w:rPr>
              <w:t xml:space="preserve"> nevieme </w:t>
            </w:r>
            <w:r w:rsidR="007D36E8">
              <w:rPr>
                <w:rFonts w:ascii="Times New Roman" w:hAnsi="Times New Roman"/>
              </w:rPr>
              <w:t xml:space="preserve"> odhadnúť</w:t>
            </w:r>
            <w:r w:rsidRPr="00B304D2" w:rsidR="00FF7EF1">
              <w:rPr>
                <w:rFonts w:ascii="Times New Roman" w:hAnsi="Times New Roman"/>
              </w:rPr>
              <w:t xml:space="preserve"> koľkých zamestnávateľov a v akej miere sa táto úprava dotkne</w:t>
            </w:r>
            <w:r w:rsidR="00FF7EF1">
              <w:rPr>
                <w:rFonts w:ascii="Times New Roman" w:hAnsi="Times New Roman"/>
              </w:rPr>
              <w:t>.</w:t>
            </w:r>
            <w:r w:rsidRPr="00B304D2" w:rsidR="0072658F">
              <w:rPr>
                <w:rFonts w:ascii="Times New Roman" w:hAnsi="Times New Roman"/>
              </w:rPr>
              <w:t xml:space="preserve"> </w:t>
            </w:r>
            <w:r w:rsidRPr="0068302D" w:rsidR="0068302D">
              <w:rPr>
                <w:rFonts w:ascii="Times New Roman" w:hAnsi="Times New Roman"/>
              </w:rPr>
              <w:t xml:space="preserve">Podľa informácií poskytnutých na rozporových konaniach zo strany KOZ a ADDS by predmetná úprava čakacieho obdobia nemala </w:t>
            </w:r>
            <w:r w:rsidR="0068302D">
              <w:rPr>
                <w:rFonts w:ascii="Times New Roman" w:hAnsi="Times New Roman"/>
              </w:rPr>
              <w:t xml:space="preserve">zamestnávateľov signifikantne ovplyvniť, </w:t>
            </w:r>
            <w:r w:rsidRPr="0068302D" w:rsidR="0068302D">
              <w:rPr>
                <w:rFonts w:ascii="Times New Roman" w:hAnsi="Times New Roman"/>
              </w:rPr>
              <w:t>vzhľadom na to, ako sú už dnes podmienky v zamestn</w:t>
            </w:r>
            <w:r w:rsidR="0068302D">
              <w:rPr>
                <w:rFonts w:ascii="Times New Roman" w:hAnsi="Times New Roman"/>
              </w:rPr>
              <w:t>ávateľských zmluvách definované</w:t>
            </w:r>
            <w:r w:rsidRPr="0068302D" w:rsidR="0068302D">
              <w:rPr>
                <w:rFonts w:ascii="Times New Roman" w:hAnsi="Times New Roman"/>
              </w:rPr>
              <w:t>.</w:t>
            </w:r>
            <w:r w:rsidR="0068302D">
              <w:rPr>
                <w:rFonts w:ascii="Times New Roman" w:hAnsi="Times New Roman"/>
              </w:rPr>
              <w:t xml:space="preserve"> Zamestnávatelia majú</w:t>
            </w:r>
            <w:r w:rsidRPr="00B304D2" w:rsidR="0068302D">
              <w:rPr>
                <w:rFonts w:ascii="Times New Roman" w:hAnsi="Times New Roman"/>
              </w:rPr>
              <w:t xml:space="preserve"> </w:t>
            </w:r>
            <w:r w:rsidR="0068302D">
              <w:rPr>
                <w:rFonts w:ascii="Times New Roman" w:hAnsi="Times New Roman"/>
              </w:rPr>
              <w:t>taktiež možnosť</w:t>
            </w:r>
            <w:r w:rsidRPr="00B304D2" w:rsidR="0068302D">
              <w:rPr>
                <w:rFonts w:ascii="Times New Roman" w:hAnsi="Times New Roman"/>
              </w:rPr>
              <w:t xml:space="preserve"> bližšie špecifikovať podmienky zamestnávateľských zmlúv, na základe ktorých budú platiť príspevky za svojich zamestnancov</w:t>
            </w:r>
            <w:r w:rsidR="0068302D">
              <w:rPr>
                <w:rFonts w:ascii="Times New Roman" w:hAnsi="Times New Roman"/>
              </w:rPr>
              <w:t xml:space="preserve">, prípadne môžu zamestnávatelia svoje zmluvy úplne zrušiť. </w:t>
            </w:r>
            <w:r w:rsidRPr="0068302D" w:rsidR="0068302D">
              <w:rPr>
                <w:rFonts w:ascii="Times New Roman" w:hAnsi="Times New Roman"/>
              </w:rPr>
              <w:t>Pozn.: Čakacie obdobie bolo v novele upravené z dôvodu požiadaviek smernice o portabilite (</w:t>
            </w:r>
            <w:r w:rsidRPr="00D84CF2" w:rsidR="0068302D">
              <w:rPr>
                <w:rFonts w:ascii="Times New Roman" w:hAnsi="Times New Roman"/>
              </w:rPr>
              <w:t>Smernica EP a Rady 2014/50/EÚ</w:t>
            </w:r>
            <w:r w:rsidR="00C86DDC">
              <w:rPr>
                <w:rFonts w:ascii="Times New Roman" w:hAnsi="Times New Roman"/>
              </w:rPr>
              <w:t>) a po rozporový</w:t>
            </w:r>
            <w:r w:rsidRPr="0068302D" w:rsidR="0068302D">
              <w:rPr>
                <w:rFonts w:ascii="Times New Roman" w:hAnsi="Times New Roman"/>
              </w:rPr>
              <w:t>ch konaniach skrátené na 1 rok na základe zásadnej pripomienky KOZ.</w:t>
            </w:r>
          </w:p>
          <w:p w:rsidR="00D02D68" w:rsidRPr="00B304D2" w:rsidP="00D47E66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i/>
              </w:rPr>
            </w:pPr>
            <w:r w:rsidRPr="00B304D2" w:rsidR="002B1108">
              <w:rPr>
                <w:rFonts w:ascii="Times New Roman" w:hAnsi="Times New Roman"/>
                <w:b/>
                <w:i/>
              </w:rPr>
              <w:t>3</w:t>
            </w:r>
            <w:r w:rsidRPr="00B304D2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B304D2" w:rsidP="00B31A8E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Pr="00B304D2"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B304D2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60B5" w:rsidRPr="00B304D2" w:rsidP="003660B5">
            <w:pPr>
              <w:bidi w:val="0"/>
              <w:rPr>
                <w:rFonts w:ascii="Times New Roman" w:hAnsi="Times New Roman"/>
              </w:rPr>
            </w:pPr>
          </w:p>
          <w:p w:rsidR="007B506C" w:rsidRPr="00B304D2" w:rsidP="007B506C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  <w:r w:rsidRPr="00B304D2">
              <w:rPr>
                <w:rFonts w:ascii="Times New Roman" w:hAnsi="Times New Roman"/>
                <w:u w:val="single"/>
              </w:rPr>
              <w:t>Novelou zákona vznikajú nové nepriame finančné náklady na strane doplnkových dôchodkových spoločností.</w:t>
            </w:r>
          </w:p>
          <w:p w:rsidR="007B506C" w:rsidRPr="00B304D2" w:rsidP="008817D4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</w:p>
          <w:p w:rsidR="003660B5" w:rsidRPr="00B304D2" w:rsidP="008817D4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  <w:r w:rsidRPr="00B304D2" w:rsidR="008817D4">
              <w:rPr>
                <w:rFonts w:ascii="Times New Roman" w:hAnsi="Times New Roman"/>
                <w:u w:val="single"/>
              </w:rPr>
              <w:t>Náklady na zmenu informačného systému z dôvodu:</w:t>
            </w:r>
          </w:p>
          <w:p w:rsidR="008817D4" w:rsidRPr="00B304D2" w:rsidP="008817D4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</w:p>
          <w:p w:rsidR="008817D4" w:rsidRPr="00B304D2" w:rsidP="008817D4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rozšírenia informačn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ých povinností: </w:t>
            </w:r>
            <w:r w:rsidRPr="00B304D2" w:rsidR="007B2E7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cca 302 tis. eur</w:t>
            </w:r>
          </w:p>
          <w:p w:rsidR="008817D4" w:rsidRPr="00D47E66" w:rsidP="00D47E66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úpravy klientského portálu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  <w:r w:rsidRPr="00B304D2" w:rsidR="007B2E7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cca 37 tis. eur</w:t>
            </w:r>
          </w:p>
          <w:p w:rsidR="008817D4" w:rsidRPr="00B304D2" w:rsidP="008817D4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implementácia týkajúca sa zmeny v prevode cezhraničných fondov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  <w:r w:rsidRPr="00B304D2" w:rsidR="007B2E7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cca 80 tis. eur</w:t>
            </w:r>
          </w:p>
          <w:p w:rsidR="008817D4" w:rsidRPr="00B304D2" w:rsidP="003660B5">
            <w:pPr>
              <w:bidi w:val="0"/>
              <w:rPr>
                <w:rFonts w:ascii="Times New Roman" w:hAnsi="Times New Roman"/>
                <w:u w:val="single"/>
              </w:rPr>
            </w:pPr>
            <w:r w:rsidRPr="00B304D2">
              <w:rPr>
                <w:rFonts w:ascii="Times New Roman" w:hAnsi="Times New Roman"/>
                <w:u w:val="single"/>
              </w:rPr>
              <w:t>Náklady súvisiace so zamestnávaním : </w:t>
            </w:r>
          </w:p>
          <w:p w:rsidR="008817D4" w:rsidRPr="00B304D2" w:rsidP="003660B5">
            <w:pPr>
              <w:bidi w:val="0"/>
              <w:rPr>
                <w:rFonts w:ascii="Times New Roman" w:hAnsi="Times New Roman"/>
                <w:u w:val="single"/>
              </w:rPr>
            </w:pPr>
          </w:p>
          <w:p w:rsidR="008817D4" w:rsidRPr="00B304D2" w:rsidP="008817D4">
            <w:pPr>
              <w:pStyle w:val="ListParagraph"/>
              <w:numPr>
                <w:numId w:val="27"/>
              </w:numPr>
              <w:bidi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04D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Personálne náklady súvisiace s vytvorením nových pracovných pozícií, resp. rozšírením pracovnej náplne zamestnancov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304D2" w:rsidR="007B2E7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cca 150 tis. eur ročne</w:t>
            </w:r>
          </w:p>
          <w:p w:rsidR="00D47E66" w:rsidP="00F82FD2">
            <w:pPr>
              <w:pStyle w:val="NoSpacing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D2" w:rsidR="007B2E79">
              <w:rPr>
                <w:rFonts w:ascii="Times New Roman" w:hAnsi="Times New Roman" w:cs="Times New Roman"/>
                <w:sz w:val="20"/>
                <w:szCs w:val="20"/>
              </w:rPr>
              <w:t xml:space="preserve">Uvedené sumy sú odhadmi </w:t>
            </w: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</w:rPr>
              <w:t>oplnkových dôchodkových spoločností na základe reálnych nákladov podobných zmien realizovaných v</w:t>
            </w:r>
            <w:r w:rsidRPr="00B304D2" w:rsidR="00977F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</w:rPr>
              <w:t>minulosti</w:t>
            </w:r>
            <w:r w:rsidRPr="00B304D2" w:rsidR="00977FA1">
              <w:rPr>
                <w:rFonts w:ascii="Times New Roman" w:hAnsi="Times New Roman" w:cs="Times New Roman"/>
                <w:sz w:val="20"/>
                <w:szCs w:val="20"/>
              </w:rPr>
              <w:t>. V prípade, že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4D2" w:rsidR="00977FA1">
              <w:rPr>
                <w:rFonts w:ascii="Times New Roman" w:hAnsi="Times New Roman" w:cs="Times New Roman"/>
                <w:sz w:val="20"/>
                <w:szCs w:val="20"/>
              </w:rPr>
              <w:t>zmeny vyplývajúce z novely zákona</w:t>
            </w:r>
            <w:r w:rsidRPr="00B304D2" w:rsidR="007B2E79">
              <w:rPr>
                <w:rFonts w:ascii="Times New Roman" w:hAnsi="Times New Roman" w:cs="Times New Roman"/>
                <w:sz w:val="20"/>
                <w:szCs w:val="20"/>
              </w:rPr>
              <w:t xml:space="preserve"> nebolo m</w:t>
            </w:r>
            <w:r w:rsidRPr="00B304D2" w:rsidR="00977FA1">
              <w:rPr>
                <w:rFonts w:ascii="Times New Roman" w:hAnsi="Times New Roman" w:cs="Times New Roman"/>
                <w:sz w:val="20"/>
                <w:szCs w:val="20"/>
              </w:rPr>
              <w:t>ožné prirovnať k minulým zmenám</w:t>
            </w:r>
            <w:r w:rsidR="00DE06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04D2" w:rsidR="00977FA1">
              <w:rPr>
                <w:rFonts w:ascii="Times New Roman" w:hAnsi="Times New Roman" w:cs="Times New Roman"/>
                <w:sz w:val="20"/>
                <w:szCs w:val="20"/>
              </w:rPr>
              <w:t xml:space="preserve"> sú uvedené čísla expertnými odhadmi </w:t>
            </w: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304D2" w:rsidR="00977FA1">
              <w:rPr>
                <w:rFonts w:ascii="Times New Roman" w:hAnsi="Times New Roman" w:cs="Times New Roman"/>
                <w:sz w:val="20"/>
                <w:szCs w:val="20"/>
              </w:rPr>
              <w:t>oplnkových dôchodkových spoločností.</w:t>
            </w:r>
          </w:p>
          <w:p w:rsidR="00D47E66" w:rsidP="00F82FD2">
            <w:pPr>
              <w:pStyle w:val="NoSpacing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FA" w:rsidP="00945E0E">
            <w:pPr>
              <w:pStyle w:val="NoSpacing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>Sumy sú uvádzané za celé odvetvie – t.j. ide o súhrnný údaj za všetky štyri doplnkové dôchodkové spoločnosti.</w:t>
            </w:r>
          </w:p>
          <w:p w:rsidR="00945E0E" w:rsidRPr="00B304D2" w:rsidP="00945E0E">
            <w:pPr>
              <w:pStyle w:val="NoSpacing"/>
              <w:bidi w:val="0"/>
              <w:jc w:val="both"/>
              <w:rPr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i/>
              </w:rPr>
            </w:pPr>
            <w:r w:rsidRPr="00B304D2" w:rsidR="002B1108">
              <w:rPr>
                <w:rFonts w:ascii="Times New Roman" w:hAnsi="Times New Roman"/>
                <w:b/>
                <w:i/>
              </w:rPr>
              <w:t>3</w:t>
            </w:r>
            <w:r w:rsidRPr="00B304D2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5E71" w:rsidRPr="00B304D2" w:rsidP="001B724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7B506C" w:rsidRPr="00B304D2" w:rsidP="00B304D2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  <w:r w:rsidRPr="00B304D2">
              <w:rPr>
                <w:rFonts w:ascii="Times New Roman" w:hAnsi="Times New Roman"/>
                <w:u w:val="single"/>
              </w:rPr>
              <w:t>Novelou zákona vznikajú nové administratívne náklady na strane doplnkových dôchodkových spoločností.</w:t>
            </w:r>
          </w:p>
          <w:p w:rsidR="007B506C" w:rsidRPr="00B304D2" w:rsidP="001B724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2B5E71" w:rsidRPr="00B304D2" w:rsidP="001B724A">
            <w:pPr>
              <w:bidi w:val="0"/>
              <w:rPr>
                <w:rFonts w:ascii="Times New Roman" w:hAnsi="Times New Roman"/>
                <w:u w:val="single"/>
              </w:rPr>
            </w:pPr>
            <w:r w:rsidRPr="00B304D2" w:rsidR="00977FA1">
              <w:rPr>
                <w:rFonts w:ascii="Times New Roman" w:hAnsi="Times New Roman"/>
                <w:u w:val="single"/>
              </w:rPr>
              <w:t>Náklady súvisiace s informačnou povinnosťou voči účastníkom doplnkového dôchodkového sporenia:</w:t>
            </w:r>
          </w:p>
          <w:p w:rsidR="003660B5" w:rsidRPr="00B304D2" w:rsidP="00977FA1">
            <w:pPr>
              <w:pStyle w:val="ListParagraph"/>
              <w:numPr>
                <w:numId w:val="28"/>
              </w:numPr>
              <w:bidi w:val="0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04D2" w:rsidR="00977FA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cca 15 000 eur ročne</w:t>
            </w:r>
          </w:p>
          <w:p w:rsidR="00D47E66" w:rsidP="00F82FD2">
            <w:pPr>
              <w:pStyle w:val="NoSpacing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>Uvedené sumy sú odhadmi d</w:t>
            </w:r>
            <w:r w:rsidRPr="00B304D2" w:rsidR="0066559E">
              <w:rPr>
                <w:rFonts w:ascii="Times New Roman" w:hAnsi="Times New Roman" w:cs="Times New Roman"/>
                <w:sz w:val="20"/>
                <w:szCs w:val="20"/>
              </w:rPr>
              <w:t xml:space="preserve">oplnkových dôchodkových spoločností na základe reálnych nákladov podobných zmien realizovaných v minulosti. V prípade, že zmeny vyplývajúce z novely zákona nebolo možné prirovnať k minulým zmenám sú uvedené čísla expertnými odhadmi </w:t>
            </w: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304D2" w:rsidR="0066559E">
              <w:rPr>
                <w:rFonts w:ascii="Times New Roman" w:hAnsi="Times New Roman" w:cs="Times New Roman"/>
                <w:sz w:val="20"/>
                <w:szCs w:val="20"/>
              </w:rPr>
              <w:t>oplnkových dôchodkových spoločností.</w:t>
            </w: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E66" w:rsidP="00F82FD2">
            <w:pPr>
              <w:pStyle w:val="NoSpacing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DFA" w:rsidRPr="00B304D2" w:rsidP="00945E0E">
            <w:pPr>
              <w:pStyle w:val="NoSpacing"/>
              <w:bidi w:val="0"/>
              <w:jc w:val="both"/>
              <w:rPr>
                <w:b/>
                <w:i/>
              </w:rPr>
            </w:pPr>
            <w:r w:rsidRPr="00B304D2" w:rsidR="00B94CE2">
              <w:rPr>
                <w:rFonts w:ascii="Times New Roman" w:hAnsi="Times New Roman" w:cs="Times New Roman"/>
                <w:sz w:val="20"/>
                <w:szCs w:val="20"/>
              </w:rPr>
              <w:t>Sumy sú uvádzané za celé odvetvie – t.j. ide o súhrnný údaj za všetky štyri doplnkové dôchodkové spoločnosti.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 w:rsidR="002B1108">
              <w:rPr>
                <w:rFonts w:ascii="Times New Roman" w:hAnsi="Times New Roman"/>
                <w:b/>
                <w:i/>
              </w:rPr>
              <w:t>3</w:t>
            </w:r>
            <w:r w:rsidRPr="00B304D2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rPr>
                <w:trHeight w:val="184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304D2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304D2" w:rsidP="001B724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304D2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304D2" w:rsidP="00D47E66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B304D2">
                    <w:rPr>
                      <w:rFonts w:ascii="Times New Roman" w:hAnsi="Times New Roman"/>
                      <w:i/>
                    </w:rPr>
                    <w:t>Priame finančné náklady</w:t>
                  </w:r>
                  <w:r w:rsidRPr="00B304D2" w:rsidR="000B37E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B304D2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8F5ED3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B304D2" w:rsidP="00C930E8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8F5ED3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304D2" w:rsidP="008F5ED3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B304D2">
                    <w:rPr>
                      <w:rFonts w:ascii="Times New Roman" w:hAnsi="Times New Roman"/>
                      <w:i/>
                    </w:rPr>
                    <w:t>Nepriame finančné náklady</w:t>
                  </w:r>
                  <w:r w:rsidRPr="00B304D2" w:rsidR="00977FA1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B304D2" w:rsidR="00C97544">
                    <w:rPr>
                      <w:rFonts w:ascii="Times New Roman" w:hAnsi="Times New Roman"/>
                      <w:i/>
                    </w:rPr>
                    <w:t>–</w:t>
                  </w:r>
                  <w:r w:rsidRPr="00B304D2" w:rsidR="00977FA1">
                    <w:rPr>
                      <w:rFonts w:ascii="Times New Roman" w:hAnsi="Times New Roman"/>
                      <w:i/>
                    </w:rPr>
                    <w:t xml:space="preserve"> jednorazové</w:t>
                  </w:r>
                  <w:r w:rsidR="008F5ED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F5ED3" w:rsidR="008F5ED3">
                    <w:rPr>
                      <w:rFonts w:ascii="Times New Roman" w:hAnsi="Times New Roman"/>
                      <w:i/>
                    </w:rPr>
                    <w:t>105</w:t>
                  </w:r>
                  <w:r w:rsidRPr="008F5ED3" w:rsidR="00977FA1">
                    <w:rPr>
                      <w:rFonts w:ascii="Times New Roman" w:hAnsi="Times New Roman"/>
                      <w:i/>
                    </w:rPr>
                    <w:t xml:space="preserve"> tis.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F5ED3" w:rsidR="008F5ED3">
                    <w:rPr>
                      <w:rFonts w:ascii="Times New Roman" w:hAnsi="Times New Roman"/>
                      <w:i/>
                    </w:rPr>
                    <w:t>419</w:t>
                  </w:r>
                  <w:r w:rsidRPr="008F5ED3" w:rsidR="00977FA1">
                    <w:rPr>
                      <w:rFonts w:ascii="Times New Roman" w:hAnsi="Times New Roman"/>
                      <w:i/>
                    </w:rPr>
                    <w:t xml:space="preserve"> tis. eur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77FA1" w:rsidRPr="00B304D2" w:rsidP="008F5ED3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B304D2">
                    <w:rPr>
                      <w:rFonts w:ascii="Times New Roman" w:hAnsi="Times New Roman"/>
                      <w:i/>
                    </w:rPr>
                    <w:t xml:space="preserve">Nepriame finančné náklady </w:t>
                  </w:r>
                  <w:r w:rsidRPr="00B304D2" w:rsidR="00C97544">
                    <w:rPr>
                      <w:rFonts w:ascii="Times New Roman" w:hAnsi="Times New Roman"/>
                      <w:i/>
                    </w:rPr>
                    <w:t>–</w:t>
                  </w:r>
                  <w:r w:rsidRPr="00B304D2">
                    <w:rPr>
                      <w:rFonts w:ascii="Times New Roman" w:hAnsi="Times New Roman"/>
                      <w:i/>
                    </w:rPr>
                    <w:t xml:space="preserve">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77FA1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F5ED3" w:rsidR="0066559E">
                    <w:rPr>
                      <w:rFonts w:ascii="Times New Roman" w:hAnsi="Times New Roman"/>
                      <w:i/>
                    </w:rPr>
                    <w:t>38</w:t>
                  </w:r>
                  <w:r w:rsidRPr="008F5ED3">
                    <w:rPr>
                      <w:rFonts w:ascii="Times New Roman" w:hAnsi="Times New Roman"/>
                      <w:i/>
                    </w:rPr>
                    <w:t xml:space="preserve"> tis.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77FA1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F5ED3">
                    <w:rPr>
                      <w:rFonts w:ascii="Times New Roman" w:hAnsi="Times New Roman"/>
                      <w:i/>
                    </w:rPr>
                    <w:t>150 tis. eur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B304D2" w:rsidP="008F5ED3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B304D2">
                    <w:rPr>
                      <w:rFonts w:ascii="Times New Roman" w:hAnsi="Times New Roman"/>
                      <w:i/>
                    </w:rPr>
                    <w:t>Administratívne náklady</w:t>
                  </w:r>
                  <w:r w:rsidRPr="00B304D2" w:rsidR="00977FA1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B304D2" w:rsidR="00C97544">
                    <w:rPr>
                      <w:rFonts w:ascii="Times New Roman" w:hAnsi="Times New Roman"/>
                      <w:i/>
                    </w:rPr>
                    <w:t>–</w:t>
                  </w:r>
                  <w:r w:rsidRPr="00B304D2" w:rsidR="00977FA1">
                    <w:rPr>
                      <w:rFonts w:ascii="Times New Roman" w:hAnsi="Times New Roman"/>
                      <w:i/>
                    </w:rPr>
                    <w:t xml:space="preserve"> ročne</w:t>
                  </w:r>
                  <w:r w:rsidRPr="00B304D2" w:rsidR="00C97544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F5ED3" w:rsidR="0066559E">
                    <w:rPr>
                      <w:rFonts w:ascii="Times New Roman" w:hAnsi="Times New Roman"/>
                      <w:i/>
                    </w:rPr>
                    <w:t>4</w:t>
                  </w:r>
                  <w:r w:rsidRPr="008F5ED3" w:rsidR="00977FA1">
                    <w:rPr>
                      <w:rFonts w:ascii="Times New Roman" w:hAnsi="Times New Roman"/>
                      <w:i/>
                    </w:rPr>
                    <w:t xml:space="preserve"> tis.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F5ED3" w:rsidR="00977FA1">
                    <w:rPr>
                      <w:rFonts w:ascii="Times New Roman" w:hAnsi="Times New Roman"/>
                      <w:i/>
                    </w:rPr>
                    <w:t>15 tis. eur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77FA1" w:rsidRPr="00B304D2" w:rsidP="008F5ED3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B304D2">
                    <w:rPr>
                      <w:rFonts w:ascii="Times New Roman" w:hAnsi="Times New Roman"/>
                      <w:b/>
                      <w:i/>
                    </w:rPr>
                    <w:t xml:space="preserve">Celkové náklady regulácie </w:t>
                  </w:r>
                  <w:r w:rsidRPr="00B304D2" w:rsidR="00C97544">
                    <w:rPr>
                      <w:rFonts w:ascii="Times New Roman" w:hAnsi="Times New Roman"/>
                      <w:b/>
                      <w:i/>
                    </w:rPr>
                    <w:t>–</w:t>
                  </w:r>
                  <w:r w:rsidRPr="00B304D2">
                    <w:rPr>
                      <w:rFonts w:ascii="Times New Roman" w:hAnsi="Times New Roman"/>
                      <w:b/>
                      <w:i/>
                    </w:rPr>
                    <w:t xml:space="preserve"> jednorazové</w:t>
                  </w:r>
                  <w:r w:rsidR="008F5ED3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77FA1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8F5ED3" w:rsidR="008F5ED3">
                    <w:rPr>
                      <w:rFonts w:ascii="Times New Roman" w:hAnsi="Times New Roman"/>
                      <w:b/>
                      <w:i/>
                    </w:rPr>
                    <w:t>105</w:t>
                  </w:r>
                  <w:r w:rsidRPr="008F5ED3">
                    <w:rPr>
                      <w:rFonts w:ascii="Times New Roman" w:hAnsi="Times New Roman"/>
                      <w:b/>
                      <w:i/>
                    </w:rPr>
                    <w:t xml:space="preserve"> tis.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77FA1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8F5ED3" w:rsidR="008F5ED3">
                    <w:rPr>
                      <w:rFonts w:ascii="Times New Roman" w:hAnsi="Times New Roman"/>
                      <w:b/>
                      <w:i/>
                    </w:rPr>
                    <w:t>419</w:t>
                  </w:r>
                  <w:r w:rsidRPr="008F5ED3">
                    <w:rPr>
                      <w:rFonts w:ascii="Times New Roman" w:hAnsi="Times New Roman"/>
                      <w:b/>
                      <w:i/>
                    </w:rPr>
                    <w:t xml:space="preserve"> tis. eur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97544" w:rsidRPr="00B304D2" w:rsidP="001B724A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B304D2" w:rsidR="009F2DFA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  <w:r w:rsidRPr="00B304D2" w:rsidR="00977FA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B304D2">
                    <w:rPr>
                      <w:rFonts w:ascii="Times New Roman" w:hAnsi="Times New Roman"/>
                      <w:b/>
                      <w:i/>
                    </w:rPr>
                    <w:t>–</w:t>
                  </w:r>
                  <w:r w:rsidRPr="00B304D2" w:rsidR="00977FA1">
                    <w:rPr>
                      <w:rFonts w:ascii="Times New Roman" w:hAnsi="Times New Roman"/>
                      <w:b/>
                      <w:i/>
                    </w:rPr>
                    <w:t xml:space="preserve">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8F5ED3" w:rsidR="00C97544">
                    <w:rPr>
                      <w:rFonts w:ascii="Times New Roman" w:hAnsi="Times New Roman"/>
                      <w:b/>
                      <w:i/>
                    </w:rPr>
                    <w:t>41 tis.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9F2DFA" w:rsidRPr="008F5ED3" w:rsidP="00106D9E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8F5ED3" w:rsidR="00C97544">
                    <w:rPr>
                      <w:rFonts w:ascii="Times New Roman" w:hAnsi="Times New Roman"/>
                      <w:b/>
                      <w:i/>
                    </w:rPr>
                    <w:t>165 tis. eur</w:t>
                  </w:r>
                </w:p>
              </w:tc>
            </w:tr>
          </w:tbl>
          <w:p w:rsidR="00D85DD3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Ide o pozitívne dopady uvedené v časti 3.3.1. bod A).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B304D2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B304D2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B304D2">
              <w:rPr>
                <w:rFonts w:ascii="Times New Roman" w:hAnsi="Times New Roman"/>
                <w:sz w:val="24"/>
              </w:rPr>
              <w:t xml:space="preserve">- </w:t>
            </w:r>
            <w:r w:rsidRPr="00B304D2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6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06D9E">
            <w:pPr>
              <w:bidi w:val="0"/>
              <w:rPr>
                <w:rFonts w:ascii="Times New Roman" w:hAnsi="Times New Roman"/>
                <w:i/>
              </w:rPr>
            </w:pPr>
            <w:r w:rsidRPr="00B304D2" w:rsidR="00106D9E">
              <w:rPr>
                <w:rFonts w:ascii="Times New Roman" w:hAnsi="Times New Roman"/>
                <w:i/>
              </w:rPr>
              <w:t>Novela zákona nebude mať vplyv na konkurencieschopnosť a správanie sa podnikov na trhu.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B304D2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B304D2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B304D2" w:rsidP="001B724A">
            <w:pPr>
              <w:bidi w:val="0"/>
              <w:rPr>
                <w:rFonts w:ascii="Times New Roman" w:hAnsi="Times New Roman"/>
                <w:b/>
              </w:rPr>
            </w:pPr>
            <w:r w:rsidRPr="00B304D2">
              <w:rPr>
                <w:rFonts w:ascii="Times New Roman" w:hAnsi="Times New Roman"/>
                <w:sz w:val="24"/>
              </w:rPr>
              <w:t xml:space="preserve">       - </w:t>
            </w:r>
            <w:r w:rsidRPr="00B304D2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B304D2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Pr="00B304D2" w:rsidR="00904C9B">
              <w:rPr>
                <w:rFonts w:ascii="Times New Roman" w:hAnsi="Times New Roman"/>
                <w:i/>
              </w:rPr>
              <w:t xml:space="preserve">jednotlivé </w:t>
            </w:r>
            <w:r w:rsidRPr="00B304D2">
              <w:rPr>
                <w:rFonts w:ascii="Times New Roman" w:hAnsi="Times New Roman"/>
                <w:i/>
              </w:rPr>
              <w:t>práva duševného vlastníctva (</w:t>
            </w:r>
            <w:r w:rsidRPr="00B304D2" w:rsidR="00904C9B">
              <w:rPr>
                <w:rFonts w:ascii="Times New Roman" w:hAnsi="Times New Roman"/>
                <w:i/>
              </w:rPr>
              <w:t xml:space="preserve">napr. </w:t>
            </w:r>
            <w:r w:rsidRPr="00B304D2">
              <w:rPr>
                <w:rFonts w:ascii="Times New Roman" w:hAnsi="Times New Roman"/>
                <w:i/>
              </w:rPr>
              <w:t xml:space="preserve">patenty, ochranné známky, </w:t>
            </w:r>
            <w:r w:rsidRPr="00B304D2" w:rsidR="00904C9B">
              <w:rPr>
                <w:rFonts w:ascii="Times New Roman" w:hAnsi="Times New Roman"/>
                <w:i/>
              </w:rPr>
              <w:t>autorské práva</w:t>
            </w:r>
            <w:r w:rsidRPr="00B304D2">
              <w:rPr>
                <w:rFonts w:ascii="Times New Roman" w:hAnsi="Times New Roman"/>
                <w:i/>
              </w:rPr>
              <w:t>, vlastníctvo know-how).</w:t>
            </w:r>
          </w:p>
          <w:p w:rsidR="009F2DFA" w:rsidRPr="00B304D2" w:rsidP="008824F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B304D2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B304D2" w:rsidP="008824FF">
            <w:pPr>
              <w:bidi w:val="0"/>
              <w:jc w:val="both"/>
              <w:rPr>
                <w:rFonts w:ascii="Times New Roman" w:hAnsi="Times New Roman"/>
              </w:rPr>
            </w:pPr>
            <w:r w:rsidRPr="00B304D2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7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1B724A">
            <w:pPr>
              <w:bidi w:val="0"/>
              <w:rPr>
                <w:rFonts w:ascii="Times New Roman" w:hAnsi="Times New Roman"/>
                <w:i/>
              </w:rPr>
            </w:pPr>
            <w:r w:rsidRPr="00B304D2" w:rsidR="000A5F23">
              <w:rPr>
                <w:rFonts w:ascii="Times New Roman" w:hAnsi="Times New Roman"/>
                <w:i/>
              </w:rPr>
              <w:t>Novela zákona nebude mať vplyv na inovácie.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ƒSƒVƒbƒ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0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81E5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447E0"/>
    <w:multiLevelType w:val="hybridMultilevel"/>
    <w:tmpl w:val="48B0F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1F3"/>
    <w:multiLevelType w:val="hybridMultilevel"/>
    <w:tmpl w:val="6CE05A6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F46BFA"/>
    <w:multiLevelType w:val="hybridMultilevel"/>
    <w:tmpl w:val="80DE5486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CD7044"/>
    <w:multiLevelType w:val="hybridMultilevel"/>
    <w:tmpl w:val="75A00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1D0"/>
    <w:multiLevelType w:val="hybridMultilevel"/>
    <w:tmpl w:val="C778F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75558AF"/>
    <w:multiLevelType w:val="hybridMultilevel"/>
    <w:tmpl w:val="3BFA6DE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96C41"/>
    <w:multiLevelType w:val="hybridMultilevel"/>
    <w:tmpl w:val="2A7A0F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AD6392"/>
    <w:multiLevelType w:val="hybridMultilevel"/>
    <w:tmpl w:val="71A2E42E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851190"/>
    <w:multiLevelType w:val="hybridMultilevel"/>
    <w:tmpl w:val="EADA63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34CA5"/>
    <w:multiLevelType w:val="hybridMultilevel"/>
    <w:tmpl w:val="081EBFA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233997"/>
    <w:multiLevelType w:val="hybridMultilevel"/>
    <w:tmpl w:val="08920BD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3680"/>
    <w:multiLevelType w:val="hybridMultilevel"/>
    <w:tmpl w:val="1FA204A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F2852"/>
    <w:multiLevelType w:val="hybridMultilevel"/>
    <w:tmpl w:val="212E2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4A2"/>
    <w:multiLevelType w:val="hybridMultilevel"/>
    <w:tmpl w:val="2D5690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75840"/>
    <w:multiLevelType w:val="hybridMultilevel"/>
    <w:tmpl w:val="40521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B46E6C"/>
    <w:multiLevelType w:val="hybridMultilevel"/>
    <w:tmpl w:val="0A48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58A2"/>
    <w:multiLevelType w:val="hybridMultilevel"/>
    <w:tmpl w:val="D6B2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37C09"/>
    <w:multiLevelType w:val="hybridMultilevel"/>
    <w:tmpl w:val="91B09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587E"/>
    <w:multiLevelType w:val="hybridMultilevel"/>
    <w:tmpl w:val="AEBE3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85B19"/>
    <w:multiLevelType w:val="hybridMultilevel"/>
    <w:tmpl w:val="1C928C9C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7F20"/>
    <w:multiLevelType w:val="hybridMultilevel"/>
    <w:tmpl w:val="99C6EBE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20477F3"/>
    <w:multiLevelType w:val="hybridMultilevel"/>
    <w:tmpl w:val="EDA0D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62790"/>
    <w:multiLevelType w:val="hybridMultilevel"/>
    <w:tmpl w:val="CE44A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54107D"/>
    <w:multiLevelType w:val="hybridMultilevel"/>
    <w:tmpl w:val="321A7500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28"/>
  </w:num>
  <w:num w:numId="5">
    <w:abstractNumId w:val="6"/>
  </w:num>
  <w:num w:numId="6">
    <w:abstractNumId w:val="21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25"/>
  </w:num>
  <w:num w:numId="12">
    <w:abstractNumId w:val="16"/>
  </w:num>
  <w:num w:numId="13">
    <w:abstractNumId w:val="22"/>
  </w:num>
  <w:num w:numId="14">
    <w:abstractNumId w:val="15"/>
  </w:num>
  <w:num w:numId="15">
    <w:abstractNumId w:val="32"/>
  </w:num>
  <w:num w:numId="16">
    <w:abstractNumId w:val="27"/>
  </w:num>
  <w:num w:numId="17">
    <w:abstractNumId w:val="13"/>
  </w:num>
  <w:num w:numId="18">
    <w:abstractNumId w:val="24"/>
  </w:num>
  <w:num w:numId="19">
    <w:abstractNumId w:val="4"/>
  </w:num>
  <w:num w:numId="20">
    <w:abstractNumId w:val="1"/>
  </w:num>
  <w:num w:numId="21">
    <w:abstractNumId w:val="9"/>
  </w:num>
  <w:num w:numId="22">
    <w:abstractNumId w:val="8"/>
  </w:num>
  <w:num w:numId="23">
    <w:abstractNumId w:val="11"/>
  </w:num>
  <w:num w:numId="24">
    <w:abstractNumId w:val="2"/>
  </w:num>
  <w:num w:numId="25">
    <w:abstractNumId w:val="30"/>
  </w:num>
  <w:num w:numId="26">
    <w:abstractNumId w:val="31"/>
  </w:num>
  <w:num w:numId="27">
    <w:abstractNumId w:val="23"/>
  </w:num>
  <w:num w:numId="28">
    <w:abstractNumId w:val="20"/>
  </w:num>
  <w:num w:numId="29">
    <w:abstractNumId w:val="35"/>
  </w:num>
  <w:num w:numId="30">
    <w:abstractNumId w:val="3"/>
  </w:num>
  <w:num w:numId="31">
    <w:abstractNumId w:val="18"/>
  </w:num>
  <w:num w:numId="32">
    <w:abstractNumId w:val="10"/>
  </w:num>
  <w:num w:numId="33">
    <w:abstractNumId w:val="19"/>
  </w:num>
  <w:num w:numId="34">
    <w:abstractNumId w:val="5"/>
  </w:num>
  <w:num w:numId="35">
    <w:abstractNumId w:val="1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5C13"/>
    <w:rsid w:val="000267E2"/>
    <w:rsid w:val="00040232"/>
    <w:rsid w:val="00070EFB"/>
    <w:rsid w:val="00076AD0"/>
    <w:rsid w:val="00086661"/>
    <w:rsid w:val="000A5F23"/>
    <w:rsid w:val="000B37E3"/>
    <w:rsid w:val="00104F8A"/>
    <w:rsid w:val="00106D9E"/>
    <w:rsid w:val="00140C9F"/>
    <w:rsid w:val="00153A97"/>
    <w:rsid w:val="00154881"/>
    <w:rsid w:val="001B1C9B"/>
    <w:rsid w:val="001B724A"/>
    <w:rsid w:val="001F223C"/>
    <w:rsid w:val="002036BF"/>
    <w:rsid w:val="00222DFC"/>
    <w:rsid w:val="0023669B"/>
    <w:rsid w:val="002426E3"/>
    <w:rsid w:val="00257961"/>
    <w:rsid w:val="002B1108"/>
    <w:rsid w:val="002B2A03"/>
    <w:rsid w:val="002B5E71"/>
    <w:rsid w:val="00340731"/>
    <w:rsid w:val="003653C5"/>
    <w:rsid w:val="003660B5"/>
    <w:rsid w:val="00366453"/>
    <w:rsid w:val="003956B7"/>
    <w:rsid w:val="003D6CF0"/>
    <w:rsid w:val="00413367"/>
    <w:rsid w:val="004248DB"/>
    <w:rsid w:val="004733AA"/>
    <w:rsid w:val="00481E54"/>
    <w:rsid w:val="00483A95"/>
    <w:rsid w:val="004A116A"/>
    <w:rsid w:val="004C298B"/>
    <w:rsid w:val="004E0B32"/>
    <w:rsid w:val="0052297F"/>
    <w:rsid w:val="00552E18"/>
    <w:rsid w:val="00552E2A"/>
    <w:rsid w:val="005D0262"/>
    <w:rsid w:val="005D06CC"/>
    <w:rsid w:val="005E7FAD"/>
    <w:rsid w:val="00652063"/>
    <w:rsid w:val="0066559E"/>
    <w:rsid w:val="0068302D"/>
    <w:rsid w:val="006B0F53"/>
    <w:rsid w:val="0072658F"/>
    <w:rsid w:val="0075467D"/>
    <w:rsid w:val="00771BEB"/>
    <w:rsid w:val="00780BA6"/>
    <w:rsid w:val="007A1A2F"/>
    <w:rsid w:val="007B2E79"/>
    <w:rsid w:val="007B506C"/>
    <w:rsid w:val="007B6C05"/>
    <w:rsid w:val="007C487C"/>
    <w:rsid w:val="007D36E8"/>
    <w:rsid w:val="007D6056"/>
    <w:rsid w:val="007D613E"/>
    <w:rsid w:val="0082268F"/>
    <w:rsid w:val="00837639"/>
    <w:rsid w:val="0087475F"/>
    <w:rsid w:val="00877E01"/>
    <w:rsid w:val="00880A01"/>
    <w:rsid w:val="008817D4"/>
    <w:rsid w:val="008824FF"/>
    <w:rsid w:val="008A1252"/>
    <w:rsid w:val="008A19AE"/>
    <w:rsid w:val="008D46C0"/>
    <w:rsid w:val="008F5ED3"/>
    <w:rsid w:val="00904C9B"/>
    <w:rsid w:val="00945E0E"/>
    <w:rsid w:val="00963C65"/>
    <w:rsid w:val="00977FA1"/>
    <w:rsid w:val="009B5C69"/>
    <w:rsid w:val="009D691B"/>
    <w:rsid w:val="009F2DFA"/>
    <w:rsid w:val="00A16D86"/>
    <w:rsid w:val="00A4222F"/>
    <w:rsid w:val="00A6221A"/>
    <w:rsid w:val="00A81F53"/>
    <w:rsid w:val="00A82E22"/>
    <w:rsid w:val="00AA357F"/>
    <w:rsid w:val="00AB2A4F"/>
    <w:rsid w:val="00AC40E4"/>
    <w:rsid w:val="00B304D2"/>
    <w:rsid w:val="00B31A8E"/>
    <w:rsid w:val="00B361A8"/>
    <w:rsid w:val="00B43F28"/>
    <w:rsid w:val="00B44844"/>
    <w:rsid w:val="00B5075C"/>
    <w:rsid w:val="00B77769"/>
    <w:rsid w:val="00B94CE2"/>
    <w:rsid w:val="00BA073A"/>
    <w:rsid w:val="00BA0BC3"/>
    <w:rsid w:val="00C0642B"/>
    <w:rsid w:val="00C2107C"/>
    <w:rsid w:val="00C826A8"/>
    <w:rsid w:val="00C86DDC"/>
    <w:rsid w:val="00C9087F"/>
    <w:rsid w:val="00C90AAF"/>
    <w:rsid w:val="00C91CB2"/>
    <w:rsid w:val="00C930E8"/>
    <w:rsid w:val="00C931A1"/>
    <w:rsid w:val="00C97544"/>
    <w:rsid w:val="00CB3623"/>
    <w:rsid w:val="00CB50A2"/>
    <w:rsid w:val="00CD55A4"/>
    <w:rsid w:val="00D02D68"/>
    <w:rsid w:val="00D37C5D"/>
    <w:rsid w:val="00D44891"/>
    <w:rsid w:val="00D47E66"/>
    <w:rsid w:val="00D848E2"/>
    <w:rsid w:val="00D84CF2"/>
    <w:rsid w:val="00D85DD3"/>
    <w:rsid w:val="00DE0611"/>
    <w:rsid w:val="00DF3D8E"/>
    <w:rsid w:val="00E14B8F"/>
    <w:rsid w:val="00E86AD1"/>
    <w:rsid w:val="00EB1EBC"/>
    <w:rsid w:val="00F01642"/>
    <w:rsid w:val="00F04CCD"/>
    <w:rsid w:val="00F41620"/>
    <w:rsid w:val="00F6414B"/>
    <w:rsid w:val="00F72163"/>
    <w:rsid w:val="00F7450F"/>
    <w:rsid w:val="00F82FD2"/>
    <w:rsid w:val="00FA3F51"/>
    <w:rsid w:val="00FB5C13"/>
    <w:rsid w:val="00FB7E52"/>
    <w:rsid w:val="00FF7E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3660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026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D0262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D026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D026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D0262"/>
    <w:rPr>
      <w:b/>
      <w:bCs/>
    </w:rPr>
  </w:style>
  <w:style w:type="paragraph" w:styleId="Title">
    <w:name w:val="Title"/>
    <w:basedOn w:val="Normal"/>
    <w:link w:val="NzovChar"/>
    <w:uiPriority w:val="10"/>
    <w:qFormat/>
    <w:rsid w:val="00366453"/>
    <w:pPr>
      <w:jc w:val="center"/>
    </w:pPr>
    <w:rPr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36645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8747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D6F4-2F59-435C-AEDA-42AB504E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1311</Words>
  <Characters>7474</Characters>
  <Application>Microsoft Office Word</Application>
  <DocSecurity>0</DocSecurity>
  <Lines>0</Lines>
  <Paragraphs>0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dcterms:created xsi:type="dcterms:W3CDTF">2018-01-12T10:29:00Z</dcterms:created>
  <dcterms:modified xsi:type="dcterms:W3CDTF">2018-01-12T10:29:00Z</dcterms:modified>
</cp:coreProperties>
</file>