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Názov materiálu</w:t>
            </w:r>
            <w:r w:rsidR="00D84CF2">
              <w:rPr>
                <w:rFonts w:ascii="Times New Roman" w:hAnsi="Times New Roman"/>
                <w:b/>
              </w:rPr>
              <w:t xml:space="preserve">: </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P="00F35D23">
            <w:pPr>
              <w:bidi w:val="0"/>
              <w:jc w:val="both"/>
              <w:rPr>
                <w:rFonts w:ascii="Times New Roman" w:hAnsi="Times New Roman"/>
              </w:rPr>
            </w:pPr>
            <w:r w:rsidR="008D2077">
              <w:rPr>
                <w:rFonts w:ascii="Times New Roman" w:hAnsi="Times New Roman"/>
              </w:rPr>
              <w:t>Vládny n</w:t>
            </w:r>
            <w:r w:rsidRPr="00D84CF2" w:rsidR="00D84CF2">
              <w:rPr>
                <w:rFonts w:ascii="Times New Roman" w:hAnsi="Times New Roman"/>
              </w:rPr>
              <w:t>ávrh zákona, ktorým sa mení a dopĺňa zákon č. 650/2004 Z. z. o doplnkovom dôchodkovom sporení a o zmene a doplnení niektorých zákonov v znení neskorších predpisov</w:t>
            </w:r>
            <w:r w:rsidR="001473E7">
              <w:rPr>
                <w:rFonts w:ascii="Times New Roman" w:hAnsi="Times New Roman"/>
              </w:rPr>
              <w:t xml:space="preserve"> </w:t>
            </w:r>
            <w:r w:rsidRPr="001473E7" w:rsidR="001473E7">
              <w:rPr>
                <w:rFonts w:ascii="Times New Roman" w:hAnsi="Times New Roman"/>
                <w:bCs/>
              </w:rPr>
              <w:t>a ktorým sa menia a dopĺňajú niektoré zákony</w:t>
            </w:r>
            <w:r w:rsidRPr="00D84CF2" w:rsidR="00D84CF2">
              <w:rPr>
                <w:rFonts w:ascii="Times New Roman" w:hAnsi="Times New Roman"/>
              </w:rPr>
              <w:t xml:space="preserve">.     </w:t>
            </w:r>
          </w:p>
          <w:p w:rsidR="00D84CF2" w:rsidRPr="00A179AE" w:rsidP="00B014B9">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r w:rsidR="00D84CF2">
              <w:rPr>
                <w:rFonts w:ascii="Times New Roman" w:hAnsi="Times New Roman"/>
                <w:b/>
              </w:rPr>
              <w:t xml:space="preserve">: </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EA54B7" w:rsidR="00D84CF2">
              <w:rPr>
                <w:rFonts w:ascii="Times New Roman" w:hAnsi="Times New Roman"/>
              </w:rPr>
              <w:t>minister práce, sociálnych vecí a rodiny Slovenskej republiky</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B014B9">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503EEB" w:rsidP="007B71A4">
            <w:pPr>
              <w:bidi w:val="0"/>
              <w:ind w:left="175" w:hanging="175"/>
              <w:rPr>
                <w:rFonts w:ascii="Times New Roman" w:hAnsi="Times New Roman"/>
              </w:rPr>
            </w:pPr>
            <w:r w:rsidRPr="00503EEB">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503EEB">
              <w:rPr>
                <w:rFonts w:ascii="MS Gothic" w:eastAsia="MS Gothic" w:hAnsi="MS Gothic"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503EEB" w:rsidP="007B71A4">
            <w:pPr>
              <w:bidi w:val="0"/>
              <w:rPr>
                <w:rFonts w:ascii="Times New Roman" w:hAnsi="Times New Roman"/>
              </w:rPr>
            </w:pPr>
            <w:r w:rsidRPr="00503EEB">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D84CF2" w:rsidRPr="00D84CF2" w:rsidP="00D84CF2">
            <w:pPr>
              <w:pStyle w:val="ListParagraph"/>
              <w:numPr>
                <w:numId w:val="3"/>
              </w:numPr>
              <w:bidi w:val="0"/>
              <w:jc w:val="both"/>
              <w:rPr>
                <w:rFonts w:ascii="Times New Roman" w:hAnsi="Times New Roman"/>
                <w:sz w:val="20"/>
                <w:szCs w:val="20"/>
                <w:lang w:eastAsia="sk-SK"/>
              </w:rPr>
            </w:pPr>
            <w:r w:rsidRPr="00D84CF2">
              <w:rPr>
                <w:rFonts w:ascii="Times New Roman" w:hAnsi="Times New Roman"/>
                <w:sz w:val="20"/>
                <w:szCs w:val="20"/>
                <w:lang w:eastAsia="sk-SK"/>
              </w:rPr>
              <w:t>Smernica EP a Rady 2014/50/EÚ o minimálnych požiadavkách na posilnenie mobility pracovníkov medzi členskými štátmi zlepšením nadobúdania a zachovávania doplnkových dôchodkových pr</w:t>
            </w:r>
            <w:r w:rsidR="005A3202">
              <w:rPr>
                <w:rFonts w:ascii="Times New Roman" w:hAnsi="Times New Roman"/>
                <w:sz w:val="20"/>
                <w:szCs w:val="20"/>
                <w:lang w:eastAsia="sk-SK"/>
              </w:rPr>
              <w:t xml:space="preserve">áv (ďalej </w:t>
            </w:r>
            <w:r w:rsidRPr="00E00C7C" w:rsidR="005A3202">
              <w:rPr>
                <w:rFonts w:ascii="Times New Roman" w:hAnsi="Times New Roman"/>
                <w:sz w:val="20"/>
                <w:szCs w:val="20"/>
                <w:lang w:eastAsia="sk-SK"/>
              </w:rPr>
              <w:t>len „smernica o portabilite</w:t>
            </w:r>
            <w:r w:rsidRPr="00E00C7C">
              <w:rPr>
                <w:rFonts w:ascii="Times New Roman" w:hAnsi="Times New Roman"/>
                <w:sz w:val="20"/>
                <w:szCs w:val="20"/>
                <w:lang w:eastAsia="sk-SK"/>
              </w:rPr>
              <w:t>“),</w:t>
            </w:r>
            <w:r w:rsidRPr="001F076E" w:rsidR="001F076E">
              <w:rPr>
                <w:rFonts w:ascii="Times New Roman" w:hAnsi="Times New Roman"/>
                <w:sz w:val="20"/>
                <w:szCs w:val="20"/>
                <w:lang w:eastAsia="sk-SK"/>
              </w:rPr>
              <w:t xml:space="preserve"> termín transpozície 21.5. 2018</w:t>
            </w:r>
          </w:p>
          <w:p w:rsidR="00D84CF2" w:rsidRPr="00D84CF2" w:rsidP="00D84CF2">
            <w:pPr>
              <w:pStyle w:val="ListParagraph"/>
              <w:numPr>
                <w:numId w:val="3"/>
              </w:numPr>
              <w:bidi w:val="0"/>
              <w:jc w:val="both"/>
              <w:rPr>
                <w:rFonts w:ascii="Times New Roman" w:hAnsi="Times New Roman"/>
                <w:sz w:val="20"/>
                <w:szCs w:val="20"/>
                <w:lang w:eastAsia="sk-SK"/>
              </w:rPr>
            </w:pPr>
            <w:r w:rsidRPr="00D84CF2">
              <w:rPr>
                <w:rFonts w:ascii="Times New Roman" w:hAnsi="Times New Roman"/>
                <w:sz w:val="20"/>
                <w:szCs w:val="20"/>
                <w:lang w:eastAsia="sk-SK"/>
              </w:rPr>
              <w:t>Smernica EP a Rady (EÚ) 2016/2341 o činnostiach inštitúcií zamestnaneckého dôchodkového zabezpečenia a o dohľade nad nimi (ďalej len „smernica IORP II</w:t>
            </w:r>
            <w:r w:rsidRPr="001F076E">
              <w:rPr>
                <w:rFonts w:ascii="Times New Roman" w:hAnsi="Times New Roman"/>
                <w:sz w:val="20"/>
                <w:szCs w:val="20"/>
                <w:lang w:eastAsia="sk-SK"/>
              </w:rPr>
              <w:t>“)</w:t>
            </w:r>
            <w:r w:rsidRPr="001F076E" w:rsidR="001F076E">
              <w:rPr>
                <w:rFonts w:ascii="Times New Roman" w:hAnsi="Times New Roman"/>
                <w:sz w:val="20"/>
                <w:szCs w:val="20"/>
                <w:lang w:eastAsia="sk-SK"/>
              </w:rPr>
              <w:t>,</w:t>
            </w:r>
            <w:r w:rsidRPr="007437EA" w:rsidR="001F076E">
              <w:rPr>
                <w:rFonts w:ascii="Times New Roman" w:hAnsi="Times New Roman"/>
                <w:sz w:val="20"/>
                <w:szCs w:val="20"/>
                <w:lang w:eastAsia="sk-SK"/>
              </w:rPr>
              <w:t xml:space="preserve"> termín transpozície 13.1.2019</w:t>
            </w: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P="007B71A4">
            <w:pPr>
              <w:bidi w:val="0"/>
              <w:rPr>
                <w:rFonts w:ascii="Times New Roman" w:hAnsi="Times New Roman"/>
                <w:i/>
              </w:rPr>
            </w:pPr>
            <w:r w:rsidR="00D84CF2">
              <w:rPr>
                <w:rFonts w:ascii="Times New Roman" w:hAnsi="Times New Roman"/>
                <w:i/>
              </w:rPr>
              <w:t>9.10.2017</w:t>
            </w:r>
          </w:p>
          <w:p w:rsidR="00D84CF2" w:rsidRPr="00A179AE" w:rsidP="007B71A4">
            <w:pPr>
              <w:bidi w:val="0"/>
              <w:rPr>
                <w:rFonts w:ascii="Times New Roman" w:hAnsi="Times New Roman"/>
                <w:i/>
              </w:rPr>
            </w:pPr>
            <w:r>
              <w:rPr>
                <w:rFonts w:ascii="Times New Roman" w:hAnsi="Times New Roman"/>
                <w:i/>
              </w:rPr>
              <w:t>20.10.2017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P="007B71A4">
            <w:pPr>
              <w:bidi w:val="0"/>
              <w:rPr>
                <w:rFonts w:ascii="Times New Roman" w:hAnsi="Times New Roman"/>
                <w:i/>
              </w:rPr>
            </w:pPr>
            <w:r w:rsidR="00D84CF2">
              <w:rPr>
                <w:rFonts w:ascii="Times New Roman" w:hAnsi="Times New Roman"/>
                <w:i/>
              </w:rPr>
              <w:t>23.10.2017</w:t>
            </w:r>
          </w:p>
          <w:p w:rsidR="00D84CF2" w:rsidRPr="00A179AE" w:rsidP="007B71A4">
            <w:pPr>
              <w:bidi w:val="0"/>
              <w:rPr>
                <w:rFonts w:ascii="Times New Roman" w:hAnsi="Times New Roman"/>
                <w:i/>
              </w:rPr>
            </w:pPr>
            <w:r>
              <w:rPr>
                <w:rFonts w:ascii="Times New Roman" w:hAnsi="Times New Roman"/>
                <w:i/>
              </w:rPr>
              <w:t>13.11.2017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4B515E" w:rsidP="007B71A4">
            <w:pPr>
              <w:bidi w:val="0"/>
              <w:rPr>
                <w:rFonts w:ascii="Times New Roman" w:hAnsi="Times New Roman"/>
                <w:i/>
                <w:highlight w:val="yellow"/>
              </w:rPr>
            </w:pPr>
            <w:r w:rsidRPr="00503EEB" w:rsidR="00D84CF2">
              <w:rPr>
                <w:rFonts w:ascii="Times New Roman" w:hAnsi="Times New Roman"/>
                <w:i/>
              </w:rPr>
              <w:t>15.1.2018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základné problémy, na ktoré navrhovaná regulácia reaguje.</w:t>
            </w:r>
          </w:p>
          <w:p w:rsidR="00DC1FD2" w:rsidP="007B71A4">
            <w:pPr>
              <w:bidi w:val="0"/>
              <w:rPr>
                <w:rFonts w:ascii="Times New Roman" w:hAnsi="Times New Roman"/>
                <w:i/>
              </w:rPr>
            </w:pPr>
          </w:p>
          <w:p w:rsidR="008D63F0" w:rsidP="008D63F0">
            <w:pPr>
              <w:pStyle w:val="ListParagraph"/>
              <w:numPr>
                <w:numId w:val="4"/>
              </w:numPr>
              <w:bidi w:val="0"/>
              <w:jc w:val="both"/>
              <w:rPr>
                <w:rFonts w:ascii="Times New Roman" w:hAnsi="Times New Roman"/>
                <w:sz w:val="20"/>
                <w:szCs w:val="20"/>
                <w:lang w:eastAsia="sk-SK"/>
              </w:rPr>
            </w:pPr>
            <w:r w:rsidR="00E64B41">
              <w:rPr>
                <w:rFonts w:ascii="Times New Roman" w:hAnsi="Times New Roman"/>
                <w:sz w:val="20"/>
                <w:szCs w:val="20"/>
                <w:lang w:eastAsia="sk-SK"/>
              </w:rPr>
              <w:t>potreba transpozície</w:t>
            </w:r>
            <w:r w:rsidRPr="008D63F0" w:rsidR="00D84CF2">
              <w:rPr>
                <w:rFonts w:ascii="Times New Roman" w:hAnsi="Times New Roman"/>
                <w:sz w:val="20"/>
                <w:szCs w:val="20"/>
                <w:lang w:eastAsia="sk-SK"/>
              </w:rPr>
              <w:t xml:space="preserve"> smernice </w:t>
            </w:r>
            <w:r w:rsidR="00E00C7C">
              <w:rPr>
                <w:rFonts w:ascii="Times New Roman" w:hAnsi="Times New Roman"/>
                <w:sz w:val="20"/>
                <w:szCs w:val="20"/>
                <w:lang w:eastAsia="sk-SK"/>
              </w:rPr>
              <w:t>o</w:t>
            </w:r>
            <w:r w:rsidR="00E05E16">
              <w:rPr>
                <w:rFonts w:ascii="Times New Roman" w:hAnsi="Times New Roman"/>
                <w:sz w:val="20"/>
                <w:szCs w:val="20"/>
                <w:lang w:eastAsia="sk-SK"/>
              </w:rPr>
              <w:t> </w:t>
            </w:r>
            <w:r w:rsidR="00E00C7C">
              <w:rPr>
                <w:rFonts w:ascii="Times New Roman" w:hAnsi="Times New Roman"/>
                <w:sz w:val="20"/>
                <w:szCs w:val="20"/>
                <w:lang w:eastAsia="sk-SK"/>
              </w:rPr>
              <w:t>portabilite</w:t>
            </w:r>
            <w:r w:rsidR="00E05E16">
              <w:rPr>
                <w:rFonts w:ascii="Times New Roman" w:hAnsi="Times New Roman"/>
                <w:sz w:val="20"/>
                <w:szCs w:val="20"/>
                <w:lang w:eastAsia="sk-SK"/>
              </w:rPr>
              <w:t>,</w:t>
            </w:r>
          </w:p>
          <w:p w:rsidR="008D63F0" w:rsidP="008D63F0">
            <w:pPr>
              <w:pStyle w:val="ListParagraph"/>
              <w:numPr>
                <w:numId w:val="4"/>
              </w:numPr>
              <w:bidi w:val="0"/>
              <w:jc w:val="both"/>
              <w:rPr>
                <w:rFonts w:ascii="Times New Roman" w:hAnsi="Times New Roman"/>
                <w:sz w:val="20"/>
                <w:szCs w:val="20"/>
                <w:lang w:eastAsia="sk-SK"/>
              </w:rPr>
            </w:pPr>
            <w:r w:rsidR="00E64B41">
              <w:rPr>
                <w:rFonts w:ascii="Times New Roman" w:hAnsi="Times New Roman"/>
                <w:sz w:val="20"/>
                <w:szCs w:val="20"/>
                <w:lang w:eastAsia="sk-SK"/>
              </w:rPr>
              <w:t>potreba transpozície</w:t>
            </w:r>
            <w:r w:rsidRPr="008D63F0" w:rsidR="00D84CF2">
              <w:rPr>
                <w:rFonts w:ascii="Times New Roman" w:hAnsi="Times New Roman"/>
                <w:sz w:val="20"/>
                <w:szCs w:val="20"/>
                <w:lang w:eastAsia="sk-SK"/>
              </w:rPr>
              <w:t xml:space="preserve"> smernice </w:t>
            </w:r>
            <w:r w:rsidR="00E00C7C">
              <w:rPr>
                <w:rFonts w:ascii="Times New Roman" w:hAnsi="Times New Roman"/>
                <w:sz w:val="20"/>
                <w:szCs w:val="20"/>
                <w:lang w:eastAsia="sk-SK"/>
              </w:rPr>
              <w:t>IORP II</w:t>
            </w:r>
            <w:r w:rsidR="00E05E16">
              <w:rPr>
                <w:rFonts w:ascii="Times New Roman" w:hAnsi="Times New Roman"/>
                <w:sz w:val="20"/>
                <w:szCs w:val="20"/>
                <w:lang w:eastAsia="sk-SK"/>
              </w:rPr>
              <w:t>,</w:t>
            </w:r>
          </w:p>
          <w:p w:rsidR="008D63F0" w:rsidRPr="008D63F0" w:rsidP="008D63F0">
            <w:pPr>
              <w:pStyle w:val="ListParagraph"/>
              <w:numPr>
                <w:numId w:val="4"/>
              </w:numPr>
              <w:bidi w:val="0"/>
              <w:jc w:val="both"/>
              <w:rPr>
                <w:rFonts w:ascii="Times New Roman" w:hAnsi="Times New Roman"/>
                <w:sz w:val="20"/>
                <w:szCs w:val="20"/>
                <w:lang w:eastAsia="sk-SK"/>
              </w:rPr>
            </w:pPr>
            <w:r w:rsidR="009912B5">
              <w:rPr>
                <w:rFonts w:ascii="Times New Roman" w:hAnsi="Times New Roman"/>
                <w:sz w:val="20"/>
                <w:szCs w:val="20"/>
                <w:lang w:eastAsia="sk-SK"/>
              </w:rPr>
              <w:t>problémy</w:t>
            </w:r>
            <w:r>
              <w:rPr>
                <w:rFonts w:ascii="Times New Roman" w:hAnsi="Times New Roman"/>
                <w:sz w:val="20"/>
                <w:szCs w:val="20"/>
                <w:lang w:eastAsia="sk-SK"/>
              </w:rPr>
              <w:t xml:space="preserve"> </w:t>
            </w:r>
            <w:r w:rsidR="00E64B41">
              <w:rPr>
                <w:rFonts w:ascii="Times New Roman" w:hAnsi="Times New Roman"/>
                <w:sz w:val="20"/>
                <w:szCs w:val="20"/>
                <w:lang w:eastAsia="sk-SK"/>
              </w:rPr>
              <w:t>vyplývajúc</w:t>
            </w:r>
            <w:r w:rsidR="009912B5">
              <w:rPr>
                <w:rFonts w:ascii="Times New Roman" w:hAnsi="Times New Roman"/>
                <w:sz w:val="20"/>
                <w:szCs w:val="20"/>
                <w:lang w:eastAsia="sk-SK"/>
              </w:rPr>
              <w:t>e</w:t>
            </w:r>
            <w:r>
              <w:rPr>
                <w:rFonts w:ascii="Times New Roman" w:hAnsi="Times New Roman"/>
                <w:sz w:val="20"/>
                <w:szCs w:val="20"/>
                <w:lang w:eastAsia="sk-SK"/>
              </w:rPr>
              <w:t xml:space="preserve"> z aplikačnej praxe</w:t>
            </w:r>
            <w:r w:rsidR="00E64B41">
              <w:rPr>
                <w:rFonts w:ascii="Times New Roman" w:hAnsi="Times New Roman"/>
                <w:sz w:val="20"/>
                <w:szCs w:val="20"/>
                <w:lang w:eastAsia="sk-SK"/>
              </w:rPr>
              <w:t>.</w:t>
            </w:r>
          </w:p>
          <w:p w:rsidR="003501A1" w:rsidRPr="00A179AE" w:rsidP="007B71A4">
            <w:pPr>
              <w:bidi w:val="0"/>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hlavné ciele navrhovaného predpisu (aký výsledný stav chcete reguláciou dosiahnuť)</w:t>
            </w:r>
            <w:r w:rsidR="00163CE5">
              <w:rPr>
                <w:rFonts w:ascii="Times New Roman" w:hAnsi="Times New Roman"/>
                <w:i/>
              </w:rPr>
              <w:t>:</w:t>
            </w:r>
          </w:p>
          <w:p w:rsidR="00163CE5" w:rsidRPr="00A179AE" w:rsidP="007B71A4">
            <w:pPr>
              <w:bidi w:val="0"/>
              <w:rPr>
                <w:rFonts w:ascii="Times New Roman" w:hAnsi="Times New Roman"/>
                <w:i/>
              </w:rPr>
            </w:pPr>
          </w:p>
          <w:p w:rsidR="006D7D37" w:rsidRPr="006D7D37" w:rsidP="006D7D37">
            <w:pPr>
              <w:pStyle w:val="ListParagraph"/>
              <w:numPr>
                <w:numId w:val="5"/>
              </w:numPr>
              <w:bidi w:val="0"/>
              <w:rPr>
                <w:rFonts w:ascii="Times New Roman" w:hAnsi="Times New Roman"/>
                <w:sz w:val="20"/>
                <w:szCs w:val="20"/>
                <w:lang w:eastAsia="sk-SK"/>
              </w:rPr>
            </w:pPr>
            <w:r w:rsidR="00E64B41">
              <w:rPr>
                <w:rFonts w:ascii="Times New Roman" w:hAnsi="Times New Roman"/>
                <w:sz w:val="20"/>
                <w:szCs w:val="20"/>
                <w:lang w:eastAsia="sk-SK"/>
              </w:rPr>
              <w:t>t</w:t>
            </w:r>
            <w:r w:rsidRPr="00E64B41" w:rsidR="00E64B41">
              <w:rPr>
                <w:rFonts w:ascii="Times New Roman" w:hAnsi="Times New Roman"/>
                <w:sz w:val="20"/>
                <w:szCs w:val="20"/>
                <w:lang w:eastAsia="sk-SK"/>
              </w:rPr>
              <w:t>ranspozícia vyššie uvedených smerníc</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subjekty, ktorých sa zmeny návrhu dotknú priamo aj nepriamo:</w:t>
            </w:r>
          </w:p>
          <w:p w:rsidR="00163CE5" w:rsidP="007B71A4">
            <w:pPr>
              <w:bidi w:val="0"/>
              <w:rPr>
                <w:rFonts w:ascii="Times New Roman" w:hAnsi="Times New Roman"/>
              </w:rPr>
            </w:pPr>
          </w:p>
          <w:p w:rsidR="009232EC" w:rsidP="007437EA">
            <w:pPr>
              <w:pStyle w:val="ListParagraph"/>
              <w:numPr>
                <w:numId w:val="8"/>
              </w:numPr>
              <w:bidi w:val="0"/>
            </w:pPr>
            <w:r w:rsidRPr="00163CE5" w:rsidR="00163CE5">
              <w:rPr>
                <w:rFonts w:ascii="Times New Roman" w:hAnsi="Times New Roman"/>
                <w:sz w:val="20"/>
                <w:szCs w:val="20"/>
                <w:lang w:eastAsia="sk-SK"/>
              </w:rPr>
              <w:t>ú</w:t>
            </w:r>
            <w:r w:rsidRPr="00163CE5">
              <w:rPr>
                <w:rFonts w:ascii="Times New Roman" w:hAnsi="Times New Roman"/>
                <w:sz w:val="20"/>
                <w:szCs w:val="20"/>
                <w:lang w:eastAsia="sk-SK"/>
              </w:rPr>
              <w:t>častníci a </w:t>
            </w:r>
            <w:r w:rsidRPr="00163CE5" w:rsidR="001473E7">
              <w:rPr>
                <w:rFonts w:ascii="Times New Roman" w:hAnsi="Times New Roman"/>
                <w:sz w:val="20"/>
                <w:szCs w:val="20"/>
                <w:lang w:eastAsia="sk-SK"/>
              </w:rPr>
              <w:t>potenciáln</w:t>
            </w:r>
            <w:r w:rsidR="001473E7">
              <w:rPr>
                <w:rFonts w:ascii="Times New Roman" w:hAnsi="Times New Roman"/>
                <w:sz w:val="20"/>
                <w:szCs w:val="20"/>
                <w:lang w:eastAsia="sk-SK"/>
              </w:rPr>
              <w:t>i</w:t>
            </w:r>
            <w:r w:rsidRPr="00163CE5" w:rsidR="001473E7">
              <w:rPr>
                <w:rFonts w:ascii="Times New Roman" w:hAnsi="Times New Roman"/>
                <w:sz w:val="20"/>
                <w:szCs w:val="20"/>
                <w:lang w:eastAsia="sk-SK"/>
              </w:rPr>
              <w:t xml:space="preserve"> </w:t>
            </w:r>
            <w:r w:rsidRPr="00163CE5">
              <w:rPr>
                <w:rFonts w:ascii="Times New Roman" w:hAnsi="Times New Roman"/>
                <w:sz w:val="20"/>
                <w:szCs w:val="20"/>
                <w:lang w:eastAsia="sk-SK"/>
              </w:rPr>
              <w:t>účastníci doplnkového dôchodkového sporenia</w:t>
            </w:r>
            <w:r w:rsidR="00474EDD">
              <w:rPr>
                <w:rFonts w:ascii="Times New Roman" w:hAnsi="Times New Roman"/>
                <w:sz w:val="20"/>
                <w:szCs w:val="20"/>
                <w:lang w:eastAsia="sk-SK"/>
              </w:rPr>
              <w:t>,</w:t>
            </w:r>
          </w:p>
          <w:p w:rsidR="00163CE5" w:rsidP="007437EA">
            <w:pPr>
              <w:pStyle w:val="ListParagraph"/>
              <w:numPr>
                <w:numId w:val="8"/>
              </w:numPr>
              <w:bidi w:val="0"/>
            </w:pPr>
            <w:r>
              <w:rPr>
                <w:rFonts w:ascii="Times New Roman" w:hAnsi="Times New Roman"/>
                <w:sz w:val="20"/>
                <w:szCs w:val="20"/>
                <w:lang w:eastAsia="sk-SK"/>
              </w:rPr>
              <w:t>d</w:t>
            </w:r>
            <w:r w:rsidR="00474EDD">
              <w:rPr>
                <w:rFonts w:ascii="Times New Roman" w:hAnsi="Times New Roman"/>
                <w:sz w:val="20"/>
                <w:szCs w:val="20"/>
                <w:lang w:eastAsia="sk-SK"/>
              </w:rPr>
              <w:t>oplnkové dôchodkové spoločnosti.</w:t>
            </w:r>
          </w:p>
          <w:p w:rsidR="003501A1" w:rsidRPr="00A179AE" w:rsidP="006D7D37">
            <w:pPr>
              <w:pStyle w:val="ListParagraph"/>
              <w:bidi w:val="0"/>
              <w:rPr>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Aké alternatívne riešenia boli posudzované?</w:t>
            </w:r>
          </w:p>
          <w:p w:rsidR="003501A1" w:rsidP="007B71A4">
            <w:pPr>
              <w:bidi w:val="0"/>
              <w:rPr>
                <w:rFonts w:ascii="Times New Roman" w:hAnsi="Times New Roman"/>
                <w:i/>
              </w:rPr>
            </w:pPr>
            <w:r w:rsidRPr="00A179AE">
              <w:rPr>
                <w:rFonts w:ascii="Times New Roman" w:hAnsi="Times New Roman"/>
                <w:i/>
              </w:rPr>
              <w:t>Uveďte, aké alternatívne spôsoby na odstránenie definovaného problému boli identifikované a posudzované.</w:t>
            </w:r>
          </w:p>
          <w:p w:rsidR="00163CE5" w:rsidP="007437EA">
            <w:pPr>
              <w:bidi w:val="0"/>
              <w:jc w:val="both"/>
              <w:rPr>
                <w:rFonts w:ascii="Times New Roman" w:hAnsi="Times New Roman"/>
              </w:rPr>
            </w:pPr>
          </w:p>
          <w:p w:rsidR="004B515E" w:rsidP="006D7D37">
            <w:pPr>
              <w:bidi w:val="0"/>
              <w:jc w:val="both"/>
              <w:rPr>
                <w:rFonts w:ascii="Times New Roman" w:hAnsi="Times New Roman"/>
              </w:rPr>
            </w:pPr>
            <w:r w:rsidRPr="009232EC" w:rsidR="009232EC">
              <w:rPr>
                <w:rFonts w:ascii="Times New Roman" w:hAnsi="Times New Roman"/>
              </w:rPr>
              <w:t>V prípade transpozície smerníc sú alternatívne riešenia bezpredmetné</w:t>
            </w:r>
            <w:r w:rsidR="000D2664">
              <w:rPr>
                <w:rFonts w:ascii="Times New Roman" w:hAnsi="Times New Roman"/>
              </w:rPr>
              <w:t>.</w:t>
            </w:r>
          </w:p>
          <w:p w:rsidR="005B5AAD" w:rsidP="006D7D37">
            <w:pPr>
              <w:bidi w:val="0"/>
              <w:jc w:val="both"/>
              <w:rPr>
                <w:rFonts w:ascii="Times New Roman" w:hAnsi="Times New Roman"/>
              </w:rPr>
            </w:pPr>
          </w:p>
          <w:p w:rsidR="005B5AAD" w:rsidP="006D7D37">
            <w:pPr>
              <w:bidi w:val="0"/>
              <w:jc w:val="both"/>
              <w:rPr>
                <w:rFonts w:ascii="Times New Roman" w:hAnsi="Times New Roman"/>
              </w:rPr>
            </w:pPr>
            <w:r>
              <w:rPr>
                <w:rFonts w:ascii="Times New Roman" w:hAnsi="Times New Roman"/>
              </w:rPr>
              <w:t xml:space="preserve">Podľa platnej právnej úpravy majú prístup k jednorazovému vyrovnaniu iba účastníci z dôvodu </w:t>
            </w:r>
            <w:r>
              <w:rPr>
                <w:rFonts w:ascii="Times New Roman" w:hAnsi="Times New Roman"/>
                <w:color w:val="000000"/>
              </w:rPr>
              <w:t>vyplácania invalidného dôchodku zo systému sociálneho poistenia, na ktorý vznikol nárok po uzatvorení účastníckej zmluvy pre pokles schopnosti vykonávať zárobkovú činnosť o viac ako 70 %.</w:t>
            </w:r>
            <w:r>
              <w:rPr>
                <w:rFonts w:ascii="Times New Roman" w:hAnsi="Times New Roman"/>
              </w:rPr>
              <w:t xml:space="preserve"> Navrhovanou právnou úpravou sa u</w:t>
            </w:r>
            <w:r w:rsidRPr="005B5AAD">
              <w:rPr>
                <w:rFonts w:ascii="Times New Roman" w:hAnsi="Times New Roman"/>
              </w:rPr>
              <w:t>možní prístup k jednorazovému vyrovnaniu aj osobám s mierou poklesu vykonávať zárobkovú činnosť o viac ako 70 %, ktorým n</w:t>
            </w:r>
            <w:r>
              <w:rPr>
                <w:rFonts w:ascii="Times New Roman" w:hAnsi="Times New Roman"/>
              </w:rPr>
              <w:t>ebol priznaný invalidný dôchodok</w:t>
            </w:r>
            <w:r w:rsidRPr="005B5AAD">
              <w:rPr>
                <w:rFonts w:ascii="Times New Roman" w:hAnsi="Times New Roman"/>
              </w:rPr>
              <w:t>.</w:t>
            </w:r>
          </w:p>
          <w:p w:rsidR="005B5AAD" w:rsidP="006D7D37">
            <w:pPr>
              <w:bidi w:val="0"/>
              <w:jc w:val="both"/>
              <w:rPr>
                <w:rFonts w:ascii="Times New Roman" w:hAnsi="Times New Roman"/>
              </w:rPr>
            </w:pPr>
          </w:p>
          <w:p w:rsidR="00516B9C" w:rsidRPr="004B515E" w:rsidP="00A51D91">
            <w:pPr>
              <w:bidi w:val="0"/>
              <w:jc w:val="both"/>
              <w:rPr>
                <w:rFonts w:ascii="Times New Roman" w:hAnsi="Times New Roman"/>
              </w:rPr>
            </w:pPr>
            <w:r w:rsidR="004F754C">
              <w:rPr>
                <w:rFonts w:ascii="Times New Roman" w:hAnsi="Times New Roman"/>
                <w:color w:val="000000"/>
              </w:rPr>
              <w:t>V zmysle platnej právnej úpravy môže dochádzať k duplicitnému uzatváraniu</w:t>
            </w:r>
            <w:r w:rsidRPr="004F754C" w:rsidR="004F754C">
              <w:rPr>
                <w:rFonts w:ascii="Times New Roman" w:hAnsi="Times New Roman"/>
                <w:color w:val="000000"/>
              </w:rPr>
              <w:t xml:space="preserve"> účastníckych zmlúv </w:t>
            </w:r>
            <w:r w:rsidR="004F754C">
              <w:rPr>
                <w:rFonts w:ascii="Times New Roman" w:hAnsi="Times New Roman"/>
                <w:color w:val="000000"/>
              </w:rPr>
              <w:t xml:space="preserve">zo strany </w:t>
            </w:r>
            <w:r w:rsidRPr="004F754C" w:rsidR="004F754C">
              <w:rPr>
                <w:rFonts w:ascii="Times New Roman" w:hAnsi="Times New Roman"/>
                <w:color w:val="000000"/>
              </w:rPr>
              <w:t>jedného účastníka v tej istej doplnkovej dôchodkovej spoločnosti</w:t>
            </w:r>
            <w:r w:rsidR="004F754C">
              <w:rPr>
                <w:rFonts w:ascii="Times New Roman" w:hAnsi="Times New Roman"/>
                <w:color w:val="000000"/>
              </w:rPr>
              <w:t>, napríklad</w:t>
            </w:r>
            <w:r w:rsidRPr="004F754C" w:rsidR="004F754C">
              <w:rPr>
                <w:rFonts w:ascii="Times New Roman" w:hAnsi="Times New Roman"/>
                <w:color w:val="000000"/>
              </w:rPr>
              <w:t xml:space="preserve"> nedopatrením, keď si účastník nie je vedomý, že už v minulosti zmluvu uzatváral. Dochádza tým k zbytočnému drobeniu úspor </w:t>
            </w:r>
            <w:r w:rsidR="00491D44">
              <w:rPr>
                <w:rFonts w:ascii="Times New Roman" w:hAnsi="Times New Roman"/>
                <w:color w:val="000000"/>
              </w:rPr>
              <w:t>a následne</w:t>
            </w:r>
            <w:r w:rsidRPr="00491D44" w:rsidR="00491D44">
              <w:rPr>
                <w:rFonts w:ascii="Times New Roman" w:hAnsi="Times New Roman"/>
                <w:color w:val="000000"/>
              </w:rPr>
              <w:t xml:space="preserve"> k ťažšiemu naplneniu podmienok pre výplatu</w:t>
            </w:r>
            <w:r w:rsidR="00491D44">
              <w:rPr>
                <w:rFonts w:ascii="Times New Roman" w:hAnsi="Times New Roman"/>
                <w:color w:val="000000"/>
              </w:rPr>
              <w:t xml:space="preserve"> určitých dávok z III. piliera</w:t>
            </w:r>
            <w:r w:rsidR="00071263">
              <w:rPr>
                <w:rFonts w:ascii="Times New Roman" w:hAnsi="Times New Roman"/>
                <w:color w:val="000000"/>
              </w:rPr>
              <w:t>,</w:t>
            </w:r>
            <w:r w:rsidR="00491D44">
              <w:rPr>
                <w:rFonts w:ascii="Times New Roman" w:hAnsi="Times New Roman"/>
                <w:color w:val="000000"/>
              </w:rPr>
              <w:t xml:space="preserve"> </w:t>
            </w:r>
            <w:r w:rsidR="004F754C">
              <w:rPr>
                <w:rFonts w:ascii="Times New Roman" w:hAnsi="Times New Roman"/>
                <w:color w:val="000000"/>
              </w:rPr>
              <w:t>a</w:t>
            </w:r>
            <w:r w:rsidR="00491D44">
              <w:rPr>
                <w:rFonts w:ascii="Times New Roman" w:hAnsi="Times New Roman"/>
                <w:color w:val="000000"/>
              </w:rPr>
              <w:t>ko aj</w:t>
            </w:r>
            <w:r w:rsidR="004F754C">
              <w:rPr>
                <w:rFonts w:ascii="Times New Roman" w:hAnsi="Times New Roman"/>
                <w:color w:val="000000"/>
              </w:rPr>
              <w:t xml:space="preserve"> k zvýšenej administratívnej záťaži pre doplnkové dôchodkové spoločnosti. </w:t>
            </w:r>
            <w:r w:rsidR="00491D44">
              <w:rPr>
                <w:rFonts w:ascii="Times New Roman" w:hAnsi="Times New Roman"/>
                <w:color w:val="000000"/>
              </w:rPr>
              <w:t>Navrhovanou právnou úpravou sa umožní zlučovanie účastníckych zmlúv uzatvorených v tej istej doplnkovej dôchodkovej spoločnosti za určitých podmienok.</w:t>
            </w:r>
          </w:p>
          <w:p w:rsidR="009232EC" w:rsidRPr="009232EC"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8D63F0">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8D63F0">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D63F0" w:rsidP="007B71A4">
            <w:pPr>
              <w:bidi w:val="0"/>
              <w:rPr>
                <w:rFonts w:ascii="Times New Roman" w:hAnsi="Times New Roman"/>
                <w:i/>
              </w:rPr>
            </w:pPr>
            <w:r w:rsidRPr="00A179AE" w:rsidR="003501A1">
              <w:rPr>
                <w:rFonts w:ascii="Times New Roman" w:hAnsi="Times New Roman"/>
                <w:i/>
              </w:rPr>
              <w:t>Ak áno, uveďte ktoré oblasti budú nimi upravené, resp. ktorých vykonávacích predpisov sa zmena dotkne:</w:t>
            </w:r>
          </w:p>
          <w:p w:rsidR="006655B8" w:rsidP="006655B8">
            <w:pPr>
              <w:autoSpaceDE w:val="0"/>
              <w:autoSpaceDN w:val="0"/>
              <w:bidi w:val="0"/>
              <w:jc w:val="both"/>
              <w:rPr>
                <w:rFonts w:ascii="Times New Roman" w:hAnsi="Times New Roman"/>
              </w:rPr>
            </w:pPr>
          </w:p>
          <w:p w:rsidR="006655B8" w:rsidP="006655B8">
            <w:pPr>
              <w:autoSpaceDE w:val="0"/>
              <w:autoSpaceDN w:val="0"/>
              <w:bidi w:val="0"/>
              <w:jc w:val="both"/>
              <w:rPr>
                <w:rFonts w:ascii="Times New Roman" w:hAnsi="Times New Roman"/>
                <w:u w:val="single"/>
              </w:rPr>
            </w:pPr>
            <w:r w:rsidRPr="006655B8">
              <w:rPr>
                <w:rFonts w:ascii="Times New Roman" w:hAnsi="Times New Roman"/>
                <w:u w:val="single"/>
              </w:rPr>
              <w:t>Oblasti, ktoré budú upravované prijatím nových vykonávacích predpisov:</w:t>
            </w:r>
          </w:p>
          <w:p w:rsidR="002F4D4B" w:rsidP="006655B8">
            <w:pPr>
              <w:autoSpaceDE w:val="0"/>
              <w:autoSpaceDN w:val="0"/>
              <w:bidi w:val="0"/>
              <w:jc w:val="both"/>
              <w:rPr>
                <w:rFonts w:ascii="Times New Roman" w:hAnsi="Times New Roman"/>
              </w:rPr>
            </w:pPr>
            <w:r>
              <w:rPr>
                <w:rFonts w:ascii="Times New Roman" w:hAnsi="Times New Roman"/>
              </w:rPr>
              <w:t>Doplnková dôchodková spoločnosť bude povinná zostaviť</w:t>
            </w:r>
            <w:r>
              <w:rPr>
                <w:rFonts w:ascii="Times New Roman" w:hAnsi="Times New Roman"/>
                <w:b/>
                <w:bCs/>
              </w:rPr>
              <w:t xml:space="preserve"> informáciu o dávkach z doplnkového dôchodkového sporenia. Obsah, štruktúru, formu, podmienky, spôsob jej priebežnej aktualizácie a lehoty na jej poskytovanie </w:t>
            </w:r>
            <w:r>
              <w:rPr>
                <w:rFonts w:ascii="Times New Roman" w:hAnsi="Times New Roman"/>
              </w:rPr>
              <w:t>ustanoví opatrenie.</w:t>
            </w:r>
          </w:p>
          <w:p w:rsidR="002F4D4B" w:rsidP="006655B8">
            <w:pPr>
              <w:autoSpaceDE w:val="0"/>
              <w:autoSpaceDN w:val="0"/>
              <w:bidi w:val="0"/>
              <w:jc w:val="both"/>
              <w:rPr>
                <w:rFonts w:ascii="Times New Roman" w:hAnsi="Times New Roman"/>
              </w:rPr>
            </w:pPr>
          </w:p>
          <w:p w:rsidR="002F4D4B" w:rsidRPr="006655B8" w:rsidP="006655B8">
            <w:pPr>
              <w:autoSpaceDE w:val="0"/>
              <w:autoSpaceDN w:val="0"/>
              <w:bidi w:val="0"/>
              <w:jc w:val="both"/>
              <w:rPr>
                <w:rFonts w:ascii="Times New Roman" w:hAnsi="Times New Roman"/>
                <w:u w:val="single"/>
              </w:rPr>
            </w:pPr>
            <w:r>
              <w:rPr>
                <w:rFonts w:ascii="Times New Roman" w:hAnsi="Times New Roman"/>
              </w:rPr>
              <w:t xml:space="preserve">Vzor </w:t>
            </w:r>
            <w:r>
              <w:rPr>
                <w:rFonts w:ascii="Times New Roman" w:hAnsi="Times New Roman"/>
                <w:b/>
                <w:bCs/>
              </w:rPr>
              <w:t>výpisu z osobného účtu a výkazu predpokladaných dôchodkových dávok účastníka a poberateľa dávky, ktorý obsahuje pravidlá na stanovenie predpokladov prognóz</w:t>
            </w:r>
            <w:r w:rsidR="008D4627">
              <w:rPr>
                <w:rFonts w:ascii="Times New Roman" w:hAnsi="Times New Roman"/>
              </w:rPr>
              <w:t>.</w:t>
            </w:r>
          </w:p>
          <w:p w:rsidR="006655B8" w:rsidRPr="006655B8" w:rsidP="006655B8">
            <w:pPr>
              <w:autoSpaceDE w:val="0"/>
              <w:autoSpaceDN w:val="0"/>
              <w:bidi w:val="0"/>
              <w:jc w:val="both"/>
              <w:rPr>
                <w:rFonts w:ascii="Times New Roman" w:hAnsi="Times New Roman"/>
              </w:rPr>
            </w:pPr>
          </w:p>
          <w:p w:rsidR="002F4D4B" w:rsidRPr="006655B8" w:rsidP="002F4D4B">
            <w:pPr>
              <w:bidi w:val="0"/>
              <w:rPr>
                <w:rFonts w:ascii="Times New Roman" w:hAnsi="Times New Roman"/>
                <w:u w:val="single"/>
              </w:rPr>
            </w:pPr>
            <w:r>
              <w:rPr>
                <w:rFonts w:ascii="Times New Roman" w:hAnsi="Times New Roman"/>
                <w:u w:val="single"/>
              </w:rPr>
              <w:t>Nasledujúce opatrenia sa vydaním nových opatrení zrušia:</w:t>
            </w:r>
          </w:p>
          <w:p w:rsidR="008D4627" w:rsidP="002F4D4B">
            <w:pPr>
              <w:autoSpaceDE w:val="0"/>
              <w:autoSpaceDN w:val="0"/>
              <w:bidi w:val="0"/>
              <w:jc w:val="both"/>
              <w:rPr>
                <w:rFonts w:ascii="Times New Roman" w:hAnsi="Times New Roman"/>
              </w:rPr>
            </w:pPr>
          </w:p>
          <w:p w:rsidR="002F4D4B" w:rsidP="002F4D4B">
            <w:pPr>
              <w:autoSpaceDE w:val="0"/>
              <w:autoSpaceDN w:val="0"/>
              <w:bidi w:val="0"/>
              <w:jc w:val="both"/>
              <w:rPr>
                <w:rFonts w:ascii="Times New Roman" w:hAnsi="Times New Roman"/>
              </w:rPr>
            </w:pPr>
            <w:r w:rsidRPr="006655B8">
              <w:rPr>
                <w:rFonts w:ascii="Times New Roman" w:hAnsi="Times New Roman"/>
              </w:rPr>
              <w:t>Opatrenie č. 15/2014 Z. z. Opatrenie Ministerstva práce, sociálnych vecí a rodiny Slovenskej republiky, ktorým sa ustanovuje obsah, štruktúra, forma, podmienky a spôsob priebežnej aktualizácie a lehoty na zverejnenie kľúčových informácií o príspevkovom doplnkovom dôchodkovom fonde.</w:t>
            </w:r>
          </w:p>
          <w:p w:rsidR="002F4D4B" w:rsidP="002F4D4B">
            <w:pPr>
              <w:autoSpaceDE w:val="0"/>
              <w:autoSpaceDN w:val="0"/>
              <w:bidi w:val="0"/>
              <w:jc w:val="both"/>
              <w:rPr>
                <w:rFonts w:ascii="Times New Roman" w:hAnsi="Times New Roman"/>
              </w:rPr>
            </w:pPr>
          </w:p>
          <w:p w:rsidR="008D63F0" w:rsidRPr="00A179AE" w:rsidP="00A51D91">
            <w:pPr>
              <w:autoSpaceDE w:val="0"/>
              <w:autoSpaceDN w:val="0"/>
              <w:bidi w:val="0"/>
              <w:jc w:val="both"/>
              <w:rPr>
                <w:rFonts w:ascii="Times New Roman" w:hAnsi="Times New Roman"/>
                <w:i/>
              </w:rPr>
            </w:pPr>
            <w:r w:rsidRPr="002F4D4B" w:rsidR="002F4D4B">
              <w:rPr>
                <w:rFonts w:ascii="Times New Roman" w:hAnsi="Times New Roman"/>
              </w:rPr>
              <w:t>Opatrenie č. 504/2013 Z. z. Opatrenie Ministerstva práce, sociálnych vecí a rodiny Slovenskej republiky, ktorým sa ustanovuje obsah, forma a štruktúra výpisu z osobného účtu účastníka doplnkového dôchodkového sporenia a poberateľa dávky doplnkového dôchodkového sporenia</w:t>
            </w:r>
            <w:r w:rsidR="002F4D4B">
              <w:rPr>
                <w:rFonts w:ascii="Times New Roman" w:hAnsi="Times New Roman"/>
              </w:rPr>
              <w:t>.</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v ktorých ustanoveniach ide národná právna úprava nad rámec minimálnych požiadaviek EÚ spolu s odôvodnením.</w:t>
            </w:r>
          </w:p>
          <w:p w:rsidR="008D4627" w:rsidP="007B71A4">
            <w:pPr>
              <w:bidi w:val="0"/>
              <w:rPr>
                <w:rFonts w:ascii="Times New Roman" w:hAnsi="Times New Roman"/>
                <w:i/>
              </w:rPr>
            </w:pPr>
          </w:p>
          <w:p w:rsidR="00B014B9" w:rsidRPr="00A179AE" w:rsidP="005F4E7C">
            <w:pPr>
              <w:bidi w:val="0"/>
              <w:jc w:val="both"/>
              <w:rPr>
                <w:rFonts w:ascii="Times New Roman" w:hAnsi="Times New Roman"/>
                <w:i/>
              </w:rPr>
            </w:pPr>
            <w:r w:rsidR="002924FE">
              <w:rPr>
                <w:rFonts w:ascii="Times New Roman" w:hAnsi="Times New Roman"/>
              </w:rPr>
              <w:t>V</w:t>
            </w:r>
            <w:r w:rsidR="008D2077">
              <w:rPr>
                <w:rFonts w:ascii="Times New Roman" w:hAnsi="Times New Roman"/>
              </w:rPr>
              <w:t xml:space="preserve">o vládnom </w:t>
            </w:r>
            <w:r w:rsidR="002924FE">
              <w:rPr>
                <w:rFonts w:ascii="Times New Roman" w:hAnsi="Times New Roman"/>
              </w:rPr>
              <w:t xml:space="preserve"> návrhu zákona sa v § 64b a § 64c umožňuje tzv. portabilita alebo prevoditeľnosť dôchodkových práv jednotlivých </w:t>
            </w:r>
            <w:r w:rsidR="005F4E7C">
              <w:rPr>
                <w:rFonts w:ascii="Times New Roman" w:hAnsi="Times New Roman"/>
              </w:rPr>
              <w:t xml:space="preserve">účastníkov </w:t>
            </w:r>
            <w:r w:rsidR="002924FE">
              <w:rPr>
                <w:rFonts w:ascii="Times New Roman" w:hAnsi="Times New Roman"/>
              </w:rPr>
              <w:t xml:space="preserve">v rámci inštitúcií zamestnaneckého dôchodkového zabezpečenia, ktoré podliehajú regulácii smernice EP a Rady 2016/2341. V tomto ohľade ide SR nad rámec minimálnych požiadaviek smernice </w:t>
            </w:r>
            <w:r w:rsidRPr="00D84CF2" w:rsidR="002924FE">
              <w:rPr>
                <w:rFonts w:ascii="Times New Roman" w:hAnsi="Times New Roman"/>
              </w:rPr>
              <w:t>EP a Rady 2014/50/EÚ</w:t>
            </w:r>
            <w:r w:rsidR="002924FE">
              <w:rPr>
                <w:rFonts w:ascii="Times New Roman" w:hAnsi="Times New Roman"/>
              </w:rPr>
              <w:t>, ktorá požaduje len zachovávanie dôchodkových práv pracovníkov, ktorí sa pohybujú medzi členskými štátmi EÚ, keďže na úrovni EÚ nebolo možné dosiahnuť dohodu na pôvodnom návrhu Európskej komisie a umožniť tak prevoditeľnosť dôchodkových práv v rámci všetkých členských štátov.  SR v</w:t>
            </w:r>
            <w:r w:rsidRPr="0084495D" w:rsidR="002924FE">
              <w:rPr>
                <w:rFonts w:ascii="Times New Roman" w:hAnsi="Times New Roman"/>
              </w:rPr>
              <w:t xml:space="preserve"> snahe uľahčiť mobilitu zamestnancov medzi členskými štátmi</w:t>
            </w:r>
            <w:r w:rsidR="002924FE">
              <w:rPr>
                <w:rFonts w:ascii="Times New Roman" w:hAnsi="Times New Roman"/>
              </w:rPr>
              <w:t xml:space="preserve"> v tomto prípade využíva možnosť vytvoriť vhodnejšie prostredie pre pracovníkov pohybujúcich sa v rámci EÚ a nad rámec smernice </w:t>
            </w:r>
            <w:r w:rsidRPr="00D84CF2" w:rsidR="002924FE">
              <w:rPr>
                <w:rFonts w:ascii="Times New Roman" w:hAnsi="Times New Roman"/>
              </w:rPr>
              <w:t>EP a Rady 2014/50/EÚ</w:t>
            </w:r>
            <w:r w:rsidRPr="0084495D" w:rsidR="002924FE">
              <w:rPr>
                <w:rFonts w:ascii="Times New Roman" w:hAnsi="Times New Roman"/>
              </w:rPr>
              <w:t xml:space="preserve"> zavádza možnosť a podmienky individuálneho prevodu majetku účastníka zo systému doplnkového dôchodkového sporenia do zamestnaneckej dôchodkovej spoločnosti, v prípade ak skončí vykonávanie zárobkovej činnosti na území Slovenskej republiky a odchádza pracovať do iného členského štátu.</w:t>
            </w:r>
            <w:r w:rsidR="002924FE">
              <w:rPr>
                <w:rFonts w:ascii="Times New Roman" w:hAnsi="Times New Roman"/>
              </w:rPr>
              <w:t xml:space="preserve"> </w:t>
            </w:r>
            <w:r w:rsidRPr="0084495D" w:rsidR="002924FE">
              <w:rPr>
                <w:rFonts w:ascii="Times New Roman" w:hAnsi="Times New Roman"/>
              </w:rPr>
              <w:t>Rovnako bude umožnené členovi zamestnaneckej dôchodkovej spoločnosti previesť jeho dôchodkové nároky do doplnkovej dôchodkovej spoločnosti, ak o takýto prevod už ako účastník v systéme doplnkového dôchodkového sporenia požiada. Vzhľadom na to, že pôvodný zámer umožniť tzv. portabilitu alebo prenositeľnosť dôchodkových práv nebolo možné ustanoviť vo všetkých krajinách Európskej únie, neexistuje prostriedok, ktorým by bolo možné zamestnaneckú dôchodkovú spoločnosť donútiť k takémuto prevodu. Predpokladom vykonania individuálneho prevodu zo zamestnaneckej dôchodkovej spoločnosti do doplnkovej dôchodkovej spoločnosti je teda súhlas s takýmto prevodom zo strany zamestnaneckej dôchodkovej spoločnosti, ktorá môže vyžadovať splnenie podmienok v súlade s právom jej domovského členského štátu.</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503EEB">
              <w:rPr>
                <w:rFonts w:ascii="Times New Roman" w:hAnsi="Times New Roman"/>
                <w:b/>
              </w:rPr>
              <w:t>Preskúmanie účelnosti</w:t>
            </w:r>
            <w:r w:rsidR="00503EEB">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3501A1" w:rsidP="007B71A4">
            <w:pPr>
              <w:bidi w:val="0"/>
              <w:rPr>
                <w:rFonts w:ascii="Times New Roman" w:hAnsi="Times New Roman"/>
                <w:i/>
              </w:rPr>
            </w:pPr>
            <w:r w:rsidRPr="00A179AE">
              <w:rPr>
                <w:rFonts w:ascii="Times New Roman" w:hAnsi="Times New Roman"/>
                <w:i/>
              </w:rPr>
              <w:t>Uveďte kritériá, na základe ktorých bude preskúmanie vykonané.</w:t>
            </w:r>
          </w:p>
          <w:p w:rsidR="003501A1" w:rsidRPr="00A179AE" w:rsidP="008D63F0">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D13B6F" w:rsidP="007E63DB">
            <w:pPr>
              <w:bidi w:val="0"/>
              <w:rPr>
                <w:rFonts w:ascii="Times New Roman" w:hAnsi="Times New Roman"/>
              </w:rPr>
            </w:pPr>
          </w:p>
          <w:p w:rsidR="003501A1" w:rsidP="007E63DB">
            <w:pPr>
              <w:bidi w:val="0"/>
              <w:ind w:left="142" w:hanging="142"/>
              <w:rPr>
                <w:rFonts w:ascii="Times New Roman" w:hAnsi="Times New Roman"/>
              </w:rPr>
            </w:pPr>
            <w:r w:rsidR="00F62771">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sidR="00F62771">
              <w:rPr>
                <w:rFonts w:ascii="Times New Roman" w:hAnsi="Times New Roman"/>
              </w:rPr>
              <w:t xml:space="preserve"> </w:t>
            </w:r>
            <w:r w:rsidRPr="004C60B8" w:rsidR="004C60B8">
              <w:rPr>
                <w:rFonts w:ascii="Times New Roman" w:hAnsi="Times New Roman"/>
              </w:rPr>
              <w:t xml:space="preserve">materiál </w:t>
            </w:r>
            <w:r w:rsidRPr="004C60B8" w:rsidR="00F62771">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sidR="00F62771">
              <w:rPr>
                <w:rFonts w:ascii="Times New Roman" w:hAnsi="Times New Roman"/>
              </w:rPr>
              <w:t xml:space="preserve"> </w:t>
            </w:r>
          </w:p>
          <w:p w:rsidR="00503EEB" w:rsidRPr="00A179AE" w:rsidP="007E63DB">
            <w:pPr>
              <w:bidi w:val="0"/>
              <w:ind w:left="142" w:hanging="142"/>
              <w:rPr>
                <w:rFonts w:ascii="Times New Roman" w:hAnsi="Times New Roman"/>
              </w:rPr>
            </w:pPr>
            <w:r>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D7D37">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D7D37">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00E05E16">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6D7D37">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D7D37">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9232EC">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9232EC">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6D7D37">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E00C7C" w:rsidP="007B71A4">
            <w:pPr>
              <w:bidi w:val="0"/>
              <w:jc w:val="center"/>
              <w:rPr>
                <w:rFonts w:ascii="Times New Roman" w:hAnsi="Times New Roman"/>
              </w:rPr>
            </w:pPr>
            <w:r w:rsidRPr="00E00C7C" w:rsidR="00F70A21">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E00C7C" w:rsidP="007B71A4">
            <w:pPr>
              <w:bidi w:val="0"/>
              <w:rPr>
                <w:rFonts w:ascii="Times New Roman" w:hAnsi="Times New Roman"/>
              </w:rPr>
            </w:pPr>
            <w:r w:rsidRPr="00E00C7C">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00C7C" w:rsidP="007B71A4">
            <w:pPr>
              <w:bidi w:val="0"/>
              <w:jc w:val="center"/>
              <w:rPr>
                <w:rFonts w:ascii="Times New Roman" w:hAnsi="Times New Roman"/>
              </w:rPr>
            </w:pPr>
            <w:r w:rsidRPr="00E00C7C" w:rsidR="007437EA">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00C7C" w:rsidP="007B71A4">
            <w:pPr>
              <w:bidi w:val="0"/>
              <w:ind w:left="54"/>
              <w:rPr>
                <w:rFonts w:ascii="Times New Roman" w:hAnsi="Times New Roman"/>
              </w:rPr>
            </w:pPr>
            <w:r w:rsidRPr="00E00C7C">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B014B9">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B014B9">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B014B9">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B014B9">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B014B9">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RPr="00A179AE" w:rsidP="004F6F1F">
            <w:pPr>
              <w:bidi w:val="0"/>
              <w:rPr>
                <w:rFonts w:ascii="Times New Roman" w:hAnsi="Times New Roman"/>
                <w:i/>
              </w:rPr>
            </w:pPr>
            <w:r w:rsidRPr="00A179AE">
              <w:rPr>
                <w:rFonts w:ascii="Times New Roman" w:hAnsi="Times New Roman"/>
                <w:i/>
              </w:rPr>
              <w:t>V prípade potreby uveďte doplňujúce informácie k návrhu.</w:t>
            </w:r>
          </w:p>
          <w:p w:rsidR="002F4D4B" w:rsidP="00B267A9">
            <w:pPr>
              <w:pStyle w:val="NormalWeb"/>
              <w:bidi w:val="0"/>
              <w:spacing w:before="0" w:beforeAutospacing="0" w:after="0" w:afterAutospacing="0"/>
              <w:jc w:val="both"/>
              <w:rPr>
                <w:rFonts w:ascii="Times New Roman" w:hAnsi="Times New Roman"/>
                <w:b/>
              </w:rPr>
            </w:pPr>
          </w:p>
          <w:p w:rsidR="0089358C" w:rsidP="0089358C">
            <w:pPr>
              <w:pStyle w:val="NormalWeb"/>
              <w:bidi w:val="0"/>
              <w:spacing w:before="0" w:beforeAutospacing="0" w:after="0" w:afterAutospacing="0"/>
              <w:jc w:val="both"/>
              <w:rPr>
                <w:rFonts w:ascii="Times New Roman" w:hAnsi="Times New Roman"/>
                <w:sz w:val="20"/>
                <w:szCs w:val="20"/>
                <w:u w:val="single"/>
              </w:rPr>
            </w:pPr>
            <w:r w:rsidRPr="007437EA">
              <w:rPr>
                <w:rFonts w:ascii="Times New Roman" w:hAnsi="Times New Roman"/>
                <w:sz w:val="20"/>
                <w:szCs w:val="20"/>
                <w:u w:val="single"/>
              </w:rPr>
              <w:t>Vplyv na podnikateľské prostredie:</w:t>
            </w:r>
            <w:r>
              <w:rPr>
                <w:rFonts w:ascii="Times New Roman" w:hAnsi="Times New Roman"/>
                <w:sz w:val="20"/>
                <w:szCs w:val="20"/>
                <w:u w:val="single"/>
              </w:rPr>
              <w:t xml:space="preserve"> </w:t>
            </w:r>
          </w:p>
          <w:p w:rsidR="0089358C" w:rsidP="00B267A9">
            <w:pPr>
              <w:pStyle w:val="NormalWeb"/>
              <w:bidi w:val="0"/>
              <w:spacing w:before="0" w:beforeAutospacing="0" w:after="0" w:afterAutospacing="0"/>
              <w:jc w:val="both"/>
              <w:rPr>
                <w:rFonts w:ascii="Times New Roman" w:hAnsi="Times New Roman"/>
                <w:sz w:val="20"/>
                <w:szCs w:val="20"/>
              </w:rPr>
            </w:pPr>
            <w:r w:rsidRPr="00FF598C" w:rsidR="00716AB5">
              <w:rPr>
                <w:rFonts w:ascii="Times New Roman" w:hAnsi="Times New Roman"/>
                <w:sz w:val="20"/>
                <w:szCs w:val="20"/>
              </w:rPr>
              <w:t>Úprava informačných systémov doplnkových dôchodkových spoločností sú</w:t>
            </w:r>
            <w:r w:rsidR="006D7D37">
              <w:rPr>
                <w:rFonts w:ascii="Times New Roman" w:hAnsi="Times New Roman"/>
                <w:sz w:val="20"/>
                <w:szCs w:val="20"/>
              </w:rPr>
              <w:t>visiaca predovšetkým so zmenami</w:t>
            </w:r>
            <w:r w:rsidRPr="00FF598C" w:rsidR="00716AB5">
              <w:rPr>
                <w:rFonts w:ascii="Times New Roman" w:hAnsi="Times New Roman"/>
                <w:sz w:val="20"/>
                <w:szCs w:val="20"/>
              </w:rPr>
              <w:t xml:space="preserve"> informačných povinností, ako aj </w:t>
            </w:r>
            <w:r w:rsidRPr="00FF598C" w:rsidR="00B11406">
              <w:rPr>
                <w:rFonts w:ascii="Times New Roman" w:hAnsi="Times New Roman"/>
                <w:sz w:val="20"/>
                <w:szCs w:val="20"/>
              </w:rPr>
              <w:t xml:space="preserve">personálne zmeny, </w:t>
            </w:r>
            <w:r w:rsidRPr="00FF598C" w:rsidR="00716AB5">
              <w:rPr>
                <w:rFonts w:ascii="Times New Roman" w:hAnsi="Times New Roman"/>
                <w:sz w:val="20"/>
                <w:szCs w:val="20"/>
              </w:rPr>
              <w:t>vyvolajú jednorazové, ako aj priebežné náklady na strane doplnkových dôchodkových</w:t>
            </w:r>
            <w:r w:rsidR="00716AB5">
              <w:rPr>
                <w:rFonts w:ascii="Times New Roman" w:hAnsi="Times New Roman"/>
                <w:sz w:val="20"/>
                <w:szCs w:val="20"/>
              </w:rPr>
              <w:t xml:space="preserve"> spoločností</w:t>
            </w:r>
            <w:r w:rsidR="00B11406">
              <w:rPr>
                <w:rFonts w:ascii="Times New Roman" w:hAnsi="Times New Roman"/>
                <w:sz w:val="20"/>
                <w:szCs w:val="20"/>
              </w:rPr>
              <w:t>.</w:t>
            </w:r>
            <w:r w:rsidR="006D7D37">
              <w:rPr>
                <w:rFonts w:ascii="Times New Roman" w:hAnsi="Times New Roman"/>
                <w:sz w:val="20"/>
                <w:szCs w:val="20"/>
              </w:rPr>
              <w:t xml:space="preserve"> Kvalitnejšie informovanie účastníkov o ich </w:t>
            </w:r>
            <w:r w:rsidRPr="00FF598C" w:rsidR="006D7D37">
              <w:rPr>
                <w:rFonts w:ascii="Times New Roman" w:hAnsi="Times New Roman"/>
                <w:sz w:val="20"/>
                <w:szCs w:val="20"/>
              </w:rPr>
              <w:t xml:space="preserve">aktuálnych aj očakávaných dôchodkových nárokoch </w:t>
            </w:r>
            <w:r w:rsidR="00070E8D">
              <w:rPr>
                <w:rFonts w:ascii="Times New Roman" w:hAnsi="Times New Roman"/>
                <w:sz w:val="20"/>
                <w:szCs w:val="20"/>
              </w:rPr>
              <w:t xml:space="preserve">na druhej strane </w:t>
            </w:r>
            <w:r w:rsidRPr="00FF598C" w:rsidR="006D7D37">
              <w:rPr>
                <w:rFonts w:ascii="Times New Roman" w:hAnsi="Times New Roman"/>
                <w:sz w:val="20"/>
                <w:szCs w:val="20"/>
              </w:rPr>
              <w:t>môže zvýšiť atraktivitu sporenia na dôchodok v III. pilieri, čo sa môže pozitívne premietnuť na doplnkové dôchodkové spoločnosti cez zvýšenie objemu majetku, ktorý budú v budúcnosti spravovať.</w:t>
            </w:r>
            <w:r w:rsidR="006D7D37">
              <w:rPr>
                <w:rFonts w:ascii="Times New Roman" w:hAnsi="Times New Roman"/>
                <w:sz w:val="20"/>
                <w:szCs w:val="20"/>
              </w:rPr>
              <w:t xml:space="preserve"> Tento vplyv však v súčasnosti n</w:t>
            </w:r>
            <w:r w:rsidR="00474EDD">
              <w:rPr>
                <w:rFonts w:ascii="Times New Roman" w:hAnsi="Times New Roman"/>
                <w:sz w:val="20"/>
                <w:szCs w:val="20"/>
              </w:rPr>
              <w:t>ie je možné</w:t>
            </w:r>
            <w:r w:rsidR="006D7D37">
              <w:rPr>
                <w:rFonts w:ascii="Times New Roman" w:hAnsi="Times New Roman"/>
                <w:sz w:val="20"/>
                <w:szCs w:val="20"/>
              </w:rPr>
              <w:t xml:space="preserve"> kvantifikovať.</w:t>
            </w:r>
          </w:p>
          <w:p w:rsidR="005A4B85" w:rsidP="00B267A9">
            <w:pPr>
              <w:pStyle w:val="NormalWeb"/>
              <w:bidi w:val="0"/>
              <w:spacing w:before="0" w:beforeAutospacing="0" w:after="0" w:afterAutospacing="0"/>
              <w:jc w:val="both"/>
              <w:rPr>
                <w:rFonts w:ascii="Times New Roman" w:hAnsi="Times New Roman"/>
                <w:sz w:val="20"/>
                <w:szCs w:val="20"/>
              </w:rPr>
            </w:pPr>
          </w:p>
          <w:p w:rsidR="005A4B85" w:rsidP="005A4B85">
            <w:pPr>
              <w:pStyle w:val="NormalWeb"/>
              <w:bidi w:val="0"/>
              <w:spacing w:before="0" w:beforeAutospacing="0" w:after="0" w:afterAutospacing="0"/>
              <w:jc w:val="both"/>
              <w:rPr>
                <w:rFonts w:ascii="Times New Roman" w:hAnsi="Times New Roman"/>
                <w:sz w:val="20"/>
                <w:szCs w:val="20"/>
                <w:u w:val="single"/>
              </w:rPr>
            </w:pPr>
            <w:r>
              <w:rPr>
                <w:rFonts w:ascii="Times New Roman" w:hAnsi="Times New Roman"/>
                <w:sz w:val="20"/>
                <w:szCs w:val="20"/>
                <w:u w:val="single"/>
              </w:rPr>
              <w:t>Sociálne vplyvy:</w:t>
            </w:r>
          </w:p>
          <w:p w:rsidR="002F4D4B" w:rsidP="009044B2">
            <w:pPr>
              <w:pStyle w:val="NormalWeb"/>
              <w:bidi w:val="0"/>
              <w:spacing w:before="0" w:beforeAutospacing="0" w:after="0" w:afterAutospacing="0"/>
              <w:jc w:val="both"/>
              <w:rPr>
                <w:rFonts w:ascii="Times New Roman" w:hAnsi="Times New Roman"/>
                <w:sz w:val="20"/>
                <w:szCs w:val="20"/>
              </w:rPr>
            </w:pPr>
            <w:r w:rsidRPr="00E00C7C" w:rsidR="005A4B85">
              <w:rPr>
                <w:rFonts w:ascii="Times New Roman" w:hAnsi="Times New Roman"/>
                <w:sz w:val="20"/>
                <w:szCs w:val="20"/>
              </w:rPr>
              <w:t xml:space="preserve">V súvislosti s novelou zákona sa predpokladajú </w:t>
            </w:r>
            <w:r w:rsidR="006D7D37">
              <w:rPr>
                <w:rFonts w:ascii="Times New Roman" w:hAnsi="Times New Roman"/>
                <w:sz w:val="20"/>
                <w:szCs w:val="20"/>
              </w:rPr>
              <w:t>pozitívne sociálne vplyvy týkajúce sa</w:t>
            </w:r>
            <w:r w:rsidRPr="00E00C7C" w:rsidR="005A4B85">
              <w:rPr>
                <w:rFonts w:ascii="Times New Roman" w:hAnsi="Times New Roman"/>
                <w:sz w:val="20"/>
                <w:szCs w:val="20"/>
              </w:rPr>
              <w:t xml:space="preserve"> </w:t>
            </w:r>
            <w:r w:rsidR="00070E8D">
              <w:rPr>
                <w:rFonts w:ascii="Times New Roman" w:hAnsi="Times New Roman"/>
                <w:sz w:val="20"/>
                <w:szCs w:val="20"/>
              </w:rPr>
              <w:t xml:space="preserve">hlavne </w:t>
            </w:r>
            <w:r w:rsidR="006D7D37">
              <w:rPr>
                <w:rFonts w:ascii="Times New Roman" w:hAnsi="Times New Roman"/>
                <w:sz w:val="20"/>
                <w:szCs w:val="20"/>
              </w:rPr>
              <w:t>skvalitnenia</w:t>
            </w:r>
            <w:r w:rsidRPr="00E00C7C" w:rsidR="005408B4">
              <w:rPr>
                <w:rFonts w:ascii="Times New Roman" w:hAnsi="Times New Roman"/>
                <w:sz w:val="20"/>
                <w:szCs w:val="20"/>
              </w:rPr>
              <w:t xml:space="preserve"> informačných povinností doplnkových dôchodkových spoločností voči účastníkom </w:t>
            </w:r>
            <w:r w:rsidR="00E15FEF">
              <w:rPr>
                <w:rFonts w:ascii="Times New Roman" w:hAnsi="Times New Roman"/>
                <w:sz w:val="20"/>
                <w:szCs w:val="20"/>
              </w:rPr>
              <w:t>doplnkového dôchodkového sporenia</w:t>
            </w:r>
            <w:r w:rsidR="00070E8D">
              <w:rPr>
                <w:rFonts w:ascii="Times New Roman" w:hAnsi="Times New Roman"/>
                <w:sz w:val="20"/>
                <w:szCs w:val="20"/>
              </w:rPr>
              <w:t xml:space="preserve"> a uvoľnenia podmienok</w:t>
            </w:r>
            <w:r w:rsidRPr="00070E8D" w:rsidR="00070E8D">
              <w:rPr>
                <w:rFonts w:ascii="Times New Roman" w:hAnsi="Times New Roman"/>
                <w:sz w:val="20"/>
                <w:szCs w:val="20"/>
              </w:rPr>
              <w:t xml:space="preserve"> výplaty jednorazového vyrovnania </w:t>
            </w:r>
            <w:r w:rsidR="00070E8D">
              <w:rPr>
                <w:rFonts w:ascii="Times New Roman" w:hAnsi="Times New Roman"/>
                <w:sz w:val="20"/>
                <w:szCs w:val="20"/>
              </w:rPr>
              <w:t>pre osoby</w:t>
            </w:r>
            <w:r w:rsidRPr="00070E8D" w:rsidR="00070E8D">
              <w:rPr>
                <w:rFonts w:ascii="Times New Roman" w:hAnsi="Times New Roman"/>
                <w:sz w:val="20"/>
                <w:szCs w:val="20"/>
              </w:rPr>
              <w:t xml:space="preserve"> s poklesom schopnosti vykonávať zárobkovú činnosť o viac ako 70 %</w:t>
            </w:r>
            <w:r w:rsidRPr="00E00C7C" w:rsidR="005408B4">
              <w:rPr>
                <w:rFonts w:ascii="Times New Roman" w:hAnsi="Times New Roman"/>
                <w:sz w:val="20"/>
                <w:szCs w:val="20"/>
              </w:rPr>
              <w:t>.</w:t>
            </w:r>
          </w:p>
          <w:p w:rsidR="00A51D91" w:rsidRPr="00B014B9" w:rsidP="009044B2">
            <w:pPr>
              <w:pStyle w:val="NormalWeb"/>
              <w:bidi w:val="0"/>
              <w:spacing w:before="0" w:beforeAutospacing="0" w:after="0" w:afterAutospacing="0"/>
              <w:jc w:val="both"/>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pPr>
              <w:bidi w:val="0"/>
              <w:rPr>
                <w:rFonts w:ascii="Times New Roman" w:hAnsi="Times New Roman"/>
                <w:i/>
              </w:rPr>
            </w:pPr>
            <w:r w:rsidR="00D13B6F">
              <w:rPr>
                <w:rFonts w:ascii="Times New Roman" w:hAnsi="Times New Roman"/>
                <w:i/>
              </w:rPr>
              <w:t>Uveďte</w:t>
            </w:r>
            <w:r w:rsidRPr="00D13B6F" w:rsidR="00D13B6F">
              <w:rPr>
                <w:rFonts w:ascii="Times New Roman" w:hAnsi="Times New Roman"/>
                <w:i/>
              </w:rPr>
              <w:t xml:space="preserve"> údaje na kontaktnú osobu, ktorú je možné kontaktovať v súvislosti s posúdením vybraných vplyvov</w:t>
            </w:r>
          </w:p>
          <w:p w:rsidR="009232EC">
            <w:pPr>
              <w:bidi w:val="0"/>
              <w:rPr>
                <w:rFonts w:ascii="Times New Roman" w:hAnsi="Times New Roman"/>
                <w:i/>
              </w:rPr>
            </w:pPr>
          </w:p>
          <w:p w:rsidR="009232EC" w:rsidRPr="005C1717" w:rsidP="009232EC">
            <w:pPr>
              <w:bidi w:val="0"/>
              <w:rPr>
                <w:rFonts w:ascii="Times New Roman" w:hAnsi="Times New Roman"/>
                <w:i/>
              </w:rPr>
            </w:pPr>
            <w:r>
              <w:rPr>
                <w:rFonts w:ascii="Times New Roman" w:hAnsi="Times New Roman"/>
                <w:i/>
              </w:rPr>
              <w:t xml:space="preserve">Mgr. Mária </w:t>
            </w:r>
            <w:r w:rsidR="003D607B">
              <w:rPr>
                <w:rFonts w:ascii="Times New Roman" w:hAnsi="Times New Roman"/>
                <w:i/>
              </w:rPr>
              <w:t>Dančeková (</w:t>
            </w:r>
            <w:r>
              <w:rPr>
                <w:rFonts w:ascii="Times New Roman" w:hAnsi="Times New Roman"/>
                <w:i/>
              </w:rPr>
              <w:t>Žižáková</w:t>
            </w:r>
            <w:r w:rsidR="003D607B">
              <w:rPr>
                <w:rFonts w:ascii="Times New Roman" w:hAnsi="Times New Roman"/>
                <w:i/>
              </w:rPr>
              <w:t>)</w:t>
            </w:r>
            <w:r>
              <w:rPr>
                <w:rFonts w:ascii="Times New Roman" w:hAnsi="Times New Roman"/>
                <w:i/>
              </w:rPr>
              <w:t xml:space="preserve">, </w:t>
            </w:r>
          </w:p>
          <w:p w:rsidR="009232EC" w:rsidRPr="005C1717" w:rsidP="009232EC">
            <w:pPr>
              <w:bidi w:val="0"/>
              <w:rPr>
                <w:rFonts w:ascii="Times New Roman" w:hAnsi="Times New Roman"/>
                <w:i/>
              </w:rPr>
            </w:pPr>
            <w:r w:rsidRPr="005C1717">
              <w:rPr>
                <w:rFonts w:ascii="Times New Roman" w:hAnsi="Times New Roman"/>
                <w:i/>
              </w:rPr>
              <w:t xml:space="preserve">email: </w:t>
            </w:r>
            <w:hyperlink r:id="rId5" w:history="1">
              <w:r w:rsidR="003334E4">
                <w:rPr>
                  <w:rStyle w:val="Hyperlink"/>
                  <w:rFonts w:ascii="Times New Roman" w:hAnsi="Times New Roman"/>
                  <w:i/>
                </w:rPr>
                <w:t>maria.dancekova</w:t>
              </w:r>
              <w:r w:rsidRPr="006B72EF">
                <w:rPr>
                  <w:rStyle w:val="Hyperlink"/>
                  <w:rFonts w:ascii="Times New Roman" w:hAnsi="Times New Roman"/>
                  <w:i/>
                </w:rPr>
                <w:t>@employment.gov.sk</w:t>
              </w:r>
            </w:hyperlink>
            <w:r>
              <w:rPr>
                <w:rFonts w:ascii="Times New Roman" w:hAnsi="Times New Roman"/>
                <w:i/>
              </w:rPr>
              <w:t xml:space="preserve"> , </w:t>
            </w:r>
          </w:p>
          <w:p w:rsidR="00E35E57" w:rsidP="009044B2">
            <w:pPr>
              <w:bidi w:val="0"/>
              <w:rPr>
                <w:rFonts w:ascii="Times New Roman" w:hAnsi="Times New Roman"/>
                <w:i/>
              </w:rPr>
            </w:pPr>
            <w:r w:rsidRPr="005C1717" w:rsidR="009232EC">
              <w:rPr>
                <w:rFonts w:ascii="Times New Roman" w:hAnsi="Times New Roman"/>
                <w:i/>
              </w:rPr>
              <w:t>tel</w:t>
            </w:r>
            <w:r w:rsidR="009232EC">
              <w:rPr>
                <w:rFonts w:ascii="Times New Roman" w:hAnsi="Times New Roman"/>
                <w:i/>
              </w:rPr>
              <w:t>.: 02/2046</w:t>
            </w:r>
            <w:r w:rsidR="00BC709E">
              <w:rPr>
                <w:rFonts w:ascii="Times New Roman" w:hAnsi="Times New Roman"/>
                <w:i/>
              </w:rPr>
              <w:t xml:space="preserve"> </w:t>
            </w:r>
            <w:r w:rsidR="00046001">
              <w:rPr>
                <w:rFonts w:ascii="Times New Roman" w:hAnsi="Times New Roman"/>
                <w:i/>
              </w:rPr>
              <w:t>1915</w:t>
            </w:r>
          </w:p>
          <w:p w:rsidR="00A51D91" w:rsidRPr="00D13B6F" w:rsidP="009044B2">
            <w:pPr>
              <w:bidi w:val="0"/>
              <w:rPr>
                <w:rFonts w:ascii="Times New Roman" w:hAnsi="Times New Roman"/>
                <w:i/>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zdroje</w:t>
            </w:r>
            <w:r w:rsidR="00EB59E3">
              <w:rPr>
                <w:rFonts w:ascii="Times New Roman" w:hAnsi="Times New Roman"/>
                <w:i/>
              </w:rPr>
              <w:t xml:space="preserve"> </w:t>
            </w:r>
            <w:r w:rsidR="00D75D35">
              <w:rPr>
                <w:rFonts w:ascii="Times New Roman" w:hAnsi="Times New Roman"/>
                <w:i/>
              </w:rPr>
              <w:t>(štatistiky, prieskumy, spoluprácu s odborníkmi a iné)</w:t>
            </w:r>
            <w:r w:rsidRPr="00A179AE">
              <w:rPr>
                <w:rFonts w:ascii="Times New Roman" w:hAnsi="Times New Roman"/>
                <w:i/>
              </w:rPr>
              <w:t>, z ktorých ste pri vypracovávaní doložky, príp. analýz vplyvov vychádzali.</w:t>
            </w:r>
          </w:p>
          <w:p w:rsidR="00B11406" w:rsidRPr="002F4D4B" w:rsidP="007437EA">
            <w:pPr>
              <w:bidi w:val="0"/>
              <w:jc w:val="both"/>
              <w:rPr>
                <w:rFonts w:ascii="Times New Roman" w:hAnsi="Times New Roman"/>
              </w:rPr>
            </w:pPr>
          </w:p>
          <w:p w:rsidR="00F21359" w:rsidRPr="002F4D4B" w:rsidP="007437EA">
            <w:pPr>
              <w:bidi w:val="0"/>
              <w:jc w:val="both"/>
              <w:rPr>
                <w:rFonts w:ascii="Times New Roman" w:hAnsi="Times New Roman"/>
              </w:rPr>
            </w:pPr>
            <w:r w:rsidRPr="002F4D4B" w:rsidR="00BC709E">
              <w:rPr>
                <w:rFonts w:ascii="Times New Roman" w:hAnsi="Times New Roman"/>
              </w:rPr>
              <w:t xml:space="preserve">Odhad výšky nákladov spojených so zavedením nových informačných povinností </w:t>
            </w:r>
            <w:r w:rsidR="00474EDD">
              <w:rPr>
                <w:rFonts w:ascii="Times New Roman" w:hAnsi="Times New Roman"/>
              </w:rPr>
              <w:t>a nákladov súvisiacich</w:t>
            </w:r>
            <w:r w:rsidRPr="00B304D2" w:rsidR="00474EDD">
              <w:rPr>
                <w:rFonts w:ascii="Times New Roman" w:hAnsi="Times New Roman"/>
              </w:rPr>
              <w:t xml:space="preserve"> s vytvorením nových pracovných pozícií, resp. rozšírením pracovnej náplne zamestnancov</w:t>
            </w:r>
            <w:r w:rsidRPr="002F4D4B" w:rsidR="00474EDD">
              <w:rPr>
                <w:rFonts w:ascii="Times New Roman" w:hAnsi="Times New Roman"/>
              </w:rPr>
              <w:t xml:space="preserve"> </w:t>
            </w:r>
            <w:r w:rsidR="00070E8D">
              <w:rPr>
                <w:rFonts w:ascii="Times New Roman" w:hAnsi="Times New Roman"/>
                <w:b/>
              </w:rPr>
              <w:t>bol poskytnutý jednotlivými doplnkovými dôchodkovými spoločnosťami</w:t>
            </w:r>
            <w:r w:rsidRPr="00474EDD" w:rsidR="00433881">
              <w:rPr>
                <w:rFonts w:ascii="Times New Roman" w:hAnsi="Times New Roman"/>
                <w:b/>
              </w:rPr>
              <w:t>.</w:t>
            </w:r>
          </w:p>
          <w:p w:rsidR="003501A1" w:rsidRPr="00474EDD" w:rsidP="007B71A4">
            <w:pPr>
              <w:bidi w:val="0"/>
              <w:rPr>
                <w:rFonts w:ascii="Times New Roman" w:hAnsi="Times New Roman"/>
              </w:rPr>
            </w:pP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 xml:space="preserve">Uveďte stanovisko </w:t>
            </w:r>
            <w:r>
              <w:rPr>
                <w:rFonts w:ascii="Times New Roman" w:hAnsi="Times New Roman"/>
                <w:i/>
              </w:rPr>
              <w:t>Komisie pre posudzovanie vybraných vplyvov</w:t>
            </w:r>
            <w:r w:rsidRPr="00A179AE">
              <w:rPr>
                <w:rFonts w:ascii="Times New Roman" w:hAnsi="Times New Roman"/>
                <w:i/>
              </w:rPr>
              <w:t>, ktoré Vám bolo zaslané v rámci predbežného pripomienkového konania</w:t>
            </w:r>
          </w:p>
          <w:p w:rsidR="003501A1" w:rsidP="007B71A4">
            <w:pPr>
              <w:bidi w:val="0"/>
              <w:rPr>
                <w:rFonts w:ascii="Times New Roman" w:hAnsi="Times New Roman"/>
                <w:b/>
              </w:rPr>
            </w:pPr>
          </w:p>
          <w:p w:rsidR="006D22FE" w:rsidRPr="006D22FE" w:rsidP="006D22FE">
            <w:pPr>
              <w:pStyle w:val="Heading4"/>
              <w:bidi w:val="0"/>
              <w:ind w:left="0" w:firstLine="0"/>
              <w:rPr>
                <w:rFonts w:ascii="Times New Roman" w:hAnsi="Times New Roman"/>
                <w:sz w:val="18"/>
              </w:rPr>
            </w:pPr>
            <w:r w:rsidRPr="006D22FE">
              <w:rPr>
                <w:rFonts w:ascii="Times New Roman" w:hAnsi="Times New Roman"/>
                <w:spacing w:val="20"/>
                <w:sz w:val="24"/>
              </w:rPr>
              <w:t>stanovisko komisie</w:t>
            </w:r>
            <w:r w:rsidRPr="006D22FE">
              <w:rPr>
                <w:rFonts w:ascii="Times New Roman" w:hAnsi="Times New Roman"/>
                <w:sz w:val="18"/>
              </w:rPr>
              <w:t xml:space="preserve"> </w:t>
            </w:r>
          </w:p>
          <w:p w:rsidR="006D22FE" w:rsidRPr="006D22FE" w:rsidP="006D22FE">
            <w:pPr>
              <w:bidi w:val="0"/>
              <w:ind w:right="-2"/>
              <w:jc w:val="center"/>
              <w:rPr>
                <w:rFonts w:ascii="Times New Roman" w:hAnsi="Times New Roman"/>
                <w:b/>
                <w:smallCaps/>
                <w:sz w:val="18"/>
              </w:rPr>
            </w:pPr>
          </w:p>
          <w:p w:rsidR="006D22FE" w:rsidRPr="006D22FE" w:rsidP="006D22FE">
            <w:pPr>
              <w:bidi w:val="0"/>
              <w:ind w:right="-2"/>
              <w:jc w:val="center"/>
              <w:rPr>
                <w:rFonts w:ascii="Times New Roman" w:hAnsi="Times New Roman"/>
                <w:b/>
                <w:smallCaps/>
                <w:sz w:val="18"/>
              </w:rPr>
            </w:pPr>
            <w:r w:rsidRPr="006D22FE">
              <w:rPr>
                <w:rFonts w:ascii="Times New Roman" w:hAnsi="Times New Roman"/>
                <w:b/>
                <w:smallCaps/>
                <w:sz w:val="18"/>
              </w:rPr>
              <w:t>(predbežné pripomienkové konanie)</w:t>
            </w:r>
          </w:p>
          <w:p w:rsidR="006D22FE" w:rsidRPr="006D22FE" w:rsidP="006D22FE">
            <w:pPr>
              <w:bidi w:val="0"/>
              <w:ind w:right="-2"/>
              <w:jc w:val="center"/>
              <w:rPr>
                <w:rFonts w:ascii="Times New Roman" w:hAnsi="Times New Roman"/>
                <w:b/>
                <w:smallCaps/>
                <w:sz w:val="22"/>
              </w:rPr>
            </w:pPr>
          </w:p>
          <w:p w:rsidR="006D22FE" w:rsidRPr="006D22FE" w:rsidP="006D22FE">
            <w:pPr>
              <w:bidi w:val="0"/>
              <w:ind w:right="-2"/>
              <w:jc w:val="center"/>
              <w:rPr>
                <w:rFonts w:ascii="Times New Roman" w:hAnsi="Times New Roman"/>
                <w:b/>
                <w:smallCaps/>
              </w:rPr>
            </w:pPr>
            <w:r w:rsidRPr="006D22FE">
              <w:rPr>
                <w:rFonts w:ascii="Times New Roman" w:hAnsi="Times New Roman"/>
                <w:b/>
                <w:smallCaps/>
              </w:rPr>
              <w:t>k návrhu</w:t>
            </w:r>
          </w:p>
          <w:p w:rsidR="006D22FE" w:rsidRPr="006D22FE" w:rsidP="006D22FE">
            <w:pPr>
              <w:bidi w:val="0"/>
              <w:ind w:right="-2"/>
              <w:jc w:val="center"/>
              <w:rPr>
                <w:rFonts w:ascii="Times New Roman" w:hAnsi="Times New Roman"/>
                <w:b/>
                <w:smallCaps/>
              </w:rPr>
            </w:pPr>
          </w:p>
          <w:p w:rsidR="006D22FE" w:rsidRPr="006D22FE" w:rsidP="006D22FE">
            <w:pPr>
              <w:pBdr>
                <w:bottom w:val="single" w:sz="4" w:space="1" w:color="000000"/>
              </w:pBdr>
              <w:bidi w:val="0"/>
              <w:ind w:right="-2"/>
              <w:jc w:val="center"/>
              <w:rPr>
                <w:rFonts w:ascii="Times New Roman" w:hAnsi="Times New Roman"/>
                <w:b/>
                <w:smallCaps/>
              </w:rPr>
            </w:pPr>
            <w:r w:rsidRPr="006D22FE">
              <w:rPr>
                <w:rFonts w:ascii="Times New Roman" w:hAnsi="Times New Roman"/>
                <w:b/>
                <w:smallCaps/>
              </w:rPr>
              <w:t>zákona, ktorým sa mení a dopĺňa zákon č. 650/2004 Z. z. o doplnkovom dôchodkovom sporení a o zmene a doplnení niektorých zákonov v znení neskorších predpisov a ktorým sa menia a dopĺňajú niektoré zákony</w:t>
            </w:r>
          </w:p>
          <w:p w:rsidR="006D22FE" w:rsidRPr="00A179AE" w:rsidP="007B71A4">
            <w:pPr>
              <w:bidi w:val="0"/>
              <w:rPr>
                <w:rFonts w:ascii="Times New Roman" w:hAnsi="Times New Roman"/>
                <w:b/>
              </w:rPr>
            </w:pPr>
          </w:p>
          <w:p w:rsidR="00510DCE" w:rsidRPr="00510DCE" w:rsidP="00510DCE">
            <w:pPr>
              <w:tabs>
                <w:tab w:val="center" w:pos="6379"/>
              </w:tabs>
              <w:bidi w:val="0"/>
              <w:ind w:right="-2"/>
              <w:jc w:val="both"/>
              <w:rPr>
                <w:rFonts w:ascii="Times New Roman" w:hAnsi="Times New Roman"/>
              </w:rPr>
            </w:pPr>
            <w:r w:rsidRPr="00510DCE">
              <w:rPr>
                <w:rFonts w:ascii="Times New Roman" w:hAnsi="Times New Roman"/>
                <w:b/>
              </w:rPr>
              <w:t>I. Úvod:</w:t>
            </w:r>
            <w:r w:rsidRPr="00510DCE">
              <w:rPr>
                <w:rFonts w:ascii="Times New Roman" w:hAnsi="Times New Roman"/>
              </w:rPr>
              <w:t xml:space="preserve"> Ministerstvo práce, sociálnych vecí a rodiny Slovenskej republiky dňa </w:t>
              <w:br/>
              <w:t xml:space="preserve">5. októbra 2017 predložil Stálej pracovnej komisii na posudzovanie vybraných vplyvov (ďalej len „Komisia“) na predbežné pripomienkové konanie materiál „Návrh zákona, ktorým sa mení a dopĺňa zákon č. 650/2004 Z. z. o doplnkovom dôchodkovom sporení a o zmene a doplnení niektorých zákonov v znení neskorších predpisov a ktorým sa menia a dopĺňajú niektoré zákony“. Materiál predpokladá pozitívno-negatívne vplyvy na rozpočet verejnej  správy, ktoré nie sú rozpočtovo zabezpečené, pozitívno-negatívne vplyvy na podnikateľské prostredie, vrátane pozitívnych vplyvov na malé a stredné podniky a pozitívne sociálne vplyvy. </w:t>
            </w:r>
          </w:p>
          <w:p w:rsidR="00510DCE" w:rsidRPr="00510DCE" w:rsidP="00510DCE">
            <w:pPr>
              <w:tabs>
                <w:tab w:val="center" w:pos="6379"/>
              </w:tabs>
              <w:bidi w:val="0"/>
              <w:ind w:right="-2"/>
              <w:jc w:val="both"/>
              <w:rPr>
                <w:rFonts w:ascii="Times New Roman" w:hAnsi="Times New Roman"/>
              </w:rPr>
            </w:pPr>
          </w:p>
          <w:p w:rsidR="00510DCE" w:rsidRPr="00510DCE" w:rsidP="00510DCE">
            <w:pPr>
              <w:tabs>
                <w:tab w:val="center" w:pos="6379"/>
              </w:tabs>
              <w:bidi w:val="0"/>
              <w:ind w:right="-2"/>
              <w:jc w:val="both"/>
              <w:rPr>
                <w:rFonts w:ascii="Times New Roman" w:hAnsi="Times New Roman"/>
                <w:b/>
              </w:rPr>
            </w:pPr>
            <w:r w:rsidRPr="00510DCE">
              <w:rPr>
                <w:rFonts w:ascii="Times New Roman" w:hAnsi="Times New Roman"/>
                <w:b/>
              </w:rPr>
              <w:t xml:space="preserve">II. Pripomienky a návrhy zmien: </w:t>
            </w:r>
            <w:r w:rsidRPr="00510DCE">
              <w:rPr>
                <w:rFonts w:ascii="Times New Roman" w:hAnsi="Times New Roman"/>
              </w:rPr>
              <w:t>Komisia uplatňuje k materiálu nasledovné pripomienky a odporúčania:</w:t>
            </w:r>
          </w:p>
          <w:p w:rsidR="00510DCE" w:rsidRPr="00510DCE" w:rsidP="00510DCE">
            <w:pPr>
              <w:tabs>
                <w:tab w:val="center" w:pos="6379"/>
              </w:tabs>
              <w:bidi w:val="0"/>
              <w:ind w:right="-2"/>
              <w:jc w:val="both"/>
              <w:rPr>
                <w:rFonts w:ascii="Times New Roman" w:hAnsi="Times New Roman"/>
              </w:rPr>
            </w:pPr>
          </w:p>
          <w:p w:rsidR="00510DCE" w:rsidRPr="00510DCE" w:rsidP="00510DCE">
            <w:pPr>
              <w:bidi w:val="0"/>
              <w:ind w:right="-2"/>
              <w:rPr>
                <w:rFonts w:ascii="Times New Roman" w:hAnsi="Times New Roman"/>
                <w:b/>
              </w:rPr>
            </w:pPr>
            <w:r w:rsidRPr="00510DCE">
              <w:rPr>
                <w:rFonts w:ascii="Times New Roman" w:hAnsi="Times New Roman"/>
                <w:b/>
              </w:rPr>
              <w:t>K analýze vplyvov na podnikateľské prostredie</w:t>
            </w:r>
          </w:p>
          <w:p w:rsidR="00510DCE" w:rsidRPr="00510DCE" w:rsidP="00510DCE">
            <w:pPr>
              <w:bidi w:val="0"/>
              <w:ind w:right="-2"/>
              <w:jc w:val="both"/>
              <w:rPr>
                <w:rFonts w:ascii="Times New Roman" w:hAnsi="Times New Roman"/>
              </w:rPr>
            </w:pPr>
            <w:r w:rsidRPr="00510DCE">
              <w:rPr>
                <w:rFonts w:ascii="Times New Roman" w:hAnsi="Times New Roman"/>
              </w:rPr>
              <w:t xml:space="preserve">Predkladateľ v Analýze vplyvov na PP uvádza v bode 3.3.4 Súhrnnú tabuľku nákladov regulácie, kde popisuje jednotlivé položky a druhy priamych a nepriamych nákladov. Komisia upozorňuje predkladateľa, že chýba v závere tabuľky konečný sumár – súhrn priamych, nepriamych a administratívnych nákladov, čiže výsledná suma súčtu týchto nákladov. </w:t>
            </w:r>
          </w:p>
          <w:p w:rsidR="00510DCE" w:rsidRPr="00510DCE" w:rsidP="00510DCE">
            <w:pPr>
              <w:bidi w:val="0"/>
              <w:ind w:right="-2"/>
              <w:jc w:val="both"/>
              <w:rPr>
                <w:rFonts w:ascii="Times New Roman" w:hAnsi="Times New Roman"/>
              </w:rPr>
            </w:pPr>
            <w:r w:rsidRPr="00510DCE">
              <w:rPr>
                <w:rFonts w:ascii="Times New Roman" w:hAnsi="Times New Roman"/>
              </w:rPr>
              <w:t>Predkladateľ uvádza v závere tabuľky ako „Celkové náklady regulácie“ identickú sumu „Priame finančné náklady“ ( -1 409 tis. eur). Komisia odporúča túto položku doplniť.</w:t>
            </w:r>
          </w:p>
          <w:p w:rsidR="004A135C" w:rsidP="00510DCE">
            <w:pPr>
              <w:bidi w:val="0"/>
              <w:ind w:right="-2"/>
              <w:jc w:val="both"/>
              <w:rPr>
                <w:rFonts w:ascii="Times New Roman" w:hAnsi="Times New Roman"/>
                <w:b/>
              </w:rPr>
            </w:pPr>
          </w:p>
          <w:p w:rsidR="0033454A" w:rsidP="00510DCE">
            <w:pPr>
              <w:bidi w:val="0"/>
              <w:ind w:right="-2"/>
              <w:jc w:val="both"/>
              <w:rPr>
                <w:rFonts w:ascii="Times New Roman" w:hAnsi="Times New Roman"/>
                <w:b/>
                <w:i/>
              </w:rPr>
            </w:pPr>
            <w:r w:rsidRPr="004A135C" w:rsidR="00510DCE">
              <w:rPr>
                <w:rFonts w:ascii="Times New Roman" w:hAnsi="Times New Roman"/>
                <w:b/>
                <w:i/>
              </w:rPr>
              <w:t>Stanovisko MPSVR SR:</w:t>
            </w:r>
            <w:r w:rsidRPr="004A135C" w:rsidR="00DF44AC">
              <w:rPr>
                <w:rFonts w:ascii="Times New Roman" w:hAnsi="Times New Roman"/>
                <w:b/>
                <w:i/>
              </w:rPr>
              <w:t xml:space="preserve"> </w:t>
            </w:r>
          </w:p>
          <w:p w:rsidR="004A135C" w:rsidP="00510DCE">
            <w:pPr>
              <w:bidi w:val="0"/>
              <w:ind w:right="-2"/>
              <w:jc w:val="both"/>
              <w:rPr>
                <w:rFonts w:ascii="Times New Roman" w:hAnsi="Times New Roman"/>
                <w:i/>
              </w:rPr>
            </w:pPr>
            <w:r w:rsidRPr="004A135C" w:rsidR="00DF44AC">
              <w:rPr>
                <w:rFonts w:ascii="Times New Roman" w:hAnsi="Times New Roman"/>
                <w:i/>
              </w:rPr>
              <w:t xml:space="preserve">Náklady regulácie sa týkajú dvoch okruhov podnikateľských subjektov a to doplnkových dôchodkových spoločností a zamestnávateľov, zamestnávajúcich osoby vykonávajúce rizikovú prácu. V prípade doplnkových dôchodkových spoločností ide o zvýšenie nepriamych finančných nákladov </w:t>
            </w:r>
            <w:r>
              <w:rPr>
                <w:rFonts w:ascii="Times New Roman" w:hAnsi="Times New Roman"/>
                <w:i/>
              </w:rPr>
              <w:t xml:space="preserve">(jednorazové aj opakujúce sa na ročnej báze) </w:t>
            </w:r>
            <w:r w:rsidRPr="004A135C" w:rsidR="00DF44AC">
              <w:rPr>
                <w:rFonts w:ascii="Times New Roman" w:hAnsi="Times New Roman"/>
                <w:i/>
              </w:rPr>
              <w:t>ako aj o zvýšenie administratívnych nákladov</w:t>
            </w:r>
            <w:r>
              <w:rPr>
                <w:rFonts w:ascii="Times New Roman" w:hAnsi="Times New Roman"/>
                <w:i/>
              </w:rPr>
              <w:t xml:space="preserve"> (opakujúce sa na ročnej báze)</w:t>
            </w:r>
            <w:r w:rsidRPr="004A135C" w:rsidR="00DF44AC">
              <w:rPr>
                <w:rFonts w:ascii="Times New Roman" w:hAnsi="Times New Roman"/>
                <w:i/>
              </w:rPr>
              <w:t>. V prípade zamestnávateľov, ktorí zamestnávajú osoby vykonávajúce rizikovú prácu sa jedná o zníženie priamych finančných nákladov</w:t>
            </w:r>
            <w:r>
              <w:rPr>
                <w:rFonts w:ascii="Times New Roman" w:hAnsi="Times New Roman"/>
                <w:i/>
              </w:rPr>
              <w:t xml:space="preserve"> (opakujúce sa na ročnej báze)</w:t>
            </w:r>
            <w:r w:rsidRPr="004A135C" w:rsidR="00DF44AC">
              <w:rPr>
                <w:rFonts w:ascii="Times New Roman" w:hAnsi="Times New Roman"/>
                <w:i/>
              </w:rPr>
              <w:t xml:space="preserve">. </w:t>
            </w:r>
          </w:p>
          <w:p w:rsidR="004A135C" w:rsidP="00510DCE">
            <w:pPr>
              <w:bidi w:val="0"/>
              <w:ind w:right="-2"/>
              <w:jc w:val="both"/>
              <w:rPr>
                <w:rFonts w:ascii="Times New Roman" w:hAnsi="Times New Roman"/>
                <w:i/>
              </w:rPr>
            </w:pPr>
          </w:p>
          <w:p w:rsidR="004A135C" w:rsidP="00510DCE">
            <w:pPr>
              <w:bidi w:val="0"/>
              <w:ind w:right="-2"/>
              <w:jc w:val="both"/>
              <w:rPr>
                <w:rFonts w:ascii="Times New Roman" w:hAnsi="Times New Roman"/>
                <w:i/>
              </w:rPr>
            </w:pPr>
            <w:r>
              <w:rPr>
                <w:rFonts w:ascii="Times New Roman" w:hAnsi="Times New Roman"/>
                <w:i/>
              </w:rPr>
              <w:t>Z uvedeného dôvodu nevnímame ako vhodné a účelné zmiešavať náklady jednorazové s nákladmi opakujúcimi sa. Rovnako tak nevnímame ako vhodné spájať vyčíslenie nákladov, ktoré vzniknú doplnkovým dôchodkovým spoločnostiam, s úsporami nákladov, ktoré vzniknú inej kategórii podnikateľov (konkrétne zamestnávateľom</w:t>
            </w:r>
            <w:r w:rsidR="00584E61">
              <w:rPr>
                <w:rFonts w:ascii="Times New Roman" w:hAnsi="Times New Roman"/>
                <w:i/>
              </w:rPr>
              <w:t>,</w:t>
            </w:r>
            <w:r>
              <w:rPr>
                <w:rFonts w:ascii="Times New Roman" w:hAnsi="Times New Roman"/>
                <w:i/>
              </w:rPr>
              <w:t xml:space="preserve"> zamestnávajúcim zamestnancov vykonávajúcich tzv. rizikové práce). Sumárny údaj by podľa nášho názoru mohol pôsobiť zmätočne a zavádzajúco a nepodával by jasný obraz o reálnych dopadoch navrhovanej regulácie na podnikateľské prostredie.</w:t>
            </w:r>
          </w:p>
          <w:p w:rsidR="00510DCE" w:rsidP="00510DCE">
            <w:pPr>
              <w:bidi w:val="0"/>
              <w:ind w:right="-2"/>
              <w:jc w:val="both"/>
              <w:rPr>
                <w:rFonts w:ascii="Times New Roman" w:hAnsi="Times New Roman"/>
              </w:rPr>
            </w:pPr>
          </w:p>
          <w:p w:rsidR="004A135C" w:rsidRPr="00510DCE" w:rsidP="00510DCE">
            <w:pPr>
              <w:bidi w:val="0"/>
              <w:ind w:right="-2"/>
              <w:jc w:val="both"/>
              <w:rPr>
                <w:rFonts w:ascii="Times New Roman" w:hAnsi="Times New Roman"/>
              </w:rPr>
            </w:pPr>
          </w:p>
          <w:p w:rsidR="00510DCE" w:rsidRPr="00510DCE" w:rsidP="00510DCE">
            <w:pPr>
              <w:bidi w:val="0"/>
              <w:ind w:right="-2"/>
              <w:jc w:val="both"/>
              <w:rPr>
                <w:rFonts w:ascii="Times New Roman" w:hAnsi="Times New Roman"/>
                <w:b/>
              </w:rPr>
            </w:pPr>
            <w:r w:rsidRPr="00510DCE">
              <w:rPr>
                <w:rFonts w:ascii="Times New Roman" w:hAnsi="Times New Roman"/>
                <w:b/>
              </w:rPr>
              <w:t>Všeobecne</w:t>
            </w:r>
          </w:p>
          <w:p w:rsidR="00FD3FFA" w:rsidP="008F748F">
            <w:pPr>
              <w:bidi w:val="0"/>
              <w:ind w:right="-2"/>
              <w:jc w:val="both"/>
              <w:rPr>
                <w:rFonts w:ascii="Times New Roman" w:hAnsi="Times New Roman"/>
              </w:rPr>
            </w:pPr>
            <w:r w:rsidRPr="006D3DE4" w:rsidR="00510DCE">
              <w:rPr>
                <w:rFonts w:ascii="Times New Roman" w:hAnsi="Times New Roman"/>
              </w:rPr>
              <w:t>V analýze vplyvov na</w:t>
            </w:r>
            <w:r w:rsidRPr="00510DCE" w:rsidR="00510DCE">
              <w:rPr>
                <w:rFonts w:ascii="Times New Roman" w:hAnsi="Times New Roman"/>
              </w:rPr>
              <w:t xml:space="preserve"> rozpočet verejnej správy je kvantifikovaný rozpočtovo nezabezpečený vplyv v roku 2019 v sume 8,3 mil. eur a v roku 2020 v sume 8,9 mil. eur, ktorý vyplýva z výpadku príjmov a nárastu výdavkov rozpočtu verejnej správy.</w:t>
            </w:r>
          </w:p>
          <w:p w:rsidR="00510DCE" w:rsidRPr="00510DCE" w:rsidP="008F748F">
            <w:pPr>
              <w:bidi w:val="0"/>
              <w:ind w:right="-2"/>
              <w:jc w:val="both"/>
              <w:rPr>
                <w:rFonts w:ascii="Times New Roman" w:hAnsi="Times New Roman"/>
              </w:rPr>
            </w:pPr>
            <w:r w:rsidRPr="00510DCE">
              <w:rPr>
                <w:rFonts w:ascii="Times New Roman" w:hAnsi="Times New Roman"/>
              </w:rPr>
              <w:br/>
              <w:t>S rozpočtovo nekrytým vplyvom zásadne Ministerstvo financií SR nesúhlasí a v zmysle § 33 zákona č. 523/2004 Z. z. o rozpočtových pravidlách verejnej správy žiada do materiálu doplniť návrhy na úhradu úbytku príjmov a návrhy na úhradu zvýšených výdavkov. Ministerstvo financií SR podotýka, že návrh rozpočtu verejnej správy na roky 2018 až 2020 bol schválený vládou SR 11. októbra 2017.</w:t>
            </w:r>
          </w:p>
          <w:p w:rsidR="004A135C" w:rsidP="00510DCE">
            <w:pPr>
              <w:bidi w:val="0"/>
              <w:ind w:right="-2"/>
              <w:jc w:val="both"/>
              <w:rPr>
                <w:rFonts w:ascii="Times New Roman" w:hAnsi="Times New Roman"/>
                <w:b/>
              </w:rPr>
            </w:pPr>
          </w:p>
          <w:p w:rsidR="0033454A" w:rsidP="00FD3FFA">
            <w:pPr>
              <w:bidi w:val="0"/>
              <w:ind w:right="-2"/>
              <w:jc w:val="both"/>
              <w:rPr>
                <w:rFonts w:ascii="Times New Roman" w:hAnsi="Times New Roman"/>
                <w:b/>
                <w:i/>
              </w:rPr>
            </w:pPr>
            <w:r w:rsidRPr="00FD3FFA" w:rsidR="00510DCE">
              <w:rPr>
                <w:rFonts w:ascii="Times New Roman" w:hAnsi="Times New Roman"/>
                <w:b/>
                <w:i/>
              </w:rPr>
              <w:t>Stanovisko MPSVR SR:</w:t>
            </w:r>
            <w:r>
              <w:rPr>
                <w:rFonts w:ascii="Times New Roman" w:hAnsi="Times New Roman"/>
                <w:b/>
                <w:i/>
              </w:rPr>
              <w:t xml:space="preserve"> </w:t>
            </w:r>
          </w:p>
          <w:p w:rsidR="00FD3FFA" w:rsidRPr="00FD3FFA" w:rsidP="00FD3FFA">
            <w:pPr>
              <w:bidi w:val="0"/>
              <w:ind w:right="-2"/>
              <w:jc w:val="both"/>
              <w:rPr>
                <w:rFonts w:ascii="Times New Roman" w:hAnsi="Times New Roman"/>
                <w:i/>
              </w:rPr>
            </w:pPr>
            <w:r w:rsidRPr="00FD3FFA">
              <w:rPr>
                <w:rFonts w:ascii="Times New Roman" w:hAnsi="Times New Roman"/>
                <w:i/>
              </w:rPr>
              <w:t>Návrh rozpočtu verejnej správy na roky 2018 až 2020, ktorý bol schválený vládou SR 11.</w:t>
            </w:r>
            <w:r w:rsidR="005F4E7C">
              <w:rPr>
                <w:rFonts w:ascii="Times New Roman" w:hAnsi="Times New Roman"/>
                <w:i/>
              </w:rPr>
              <w:t xml:space="preserve">októbra </w:t>
            </w:r>
            <w:r w:rsidRPr="00FD3FFA">
              <w:rPr>
                <w:rFonts w:ascii="Times New Roman" w:hAnsi="Times New Roman"/>
                <w:i/>
              </w:rPr>
              <w:t>2017</w:t>
            </w:r>
            <w:r w:rsidR="006D3DE4">
              <w:rPr>
                <w:rFonts w:ascii="Times New Roman" w:hAnsi="Times New Roman"/>
                <w:i/>
              </w:rPr>
              <w:t>,</w:t>
            </w:r>
            <w:r w:rsidRPr="00FD3FFA">
              <w:rPr>
                <w:rFonts w:ascii="Times New Roman" w:hAnsi="Times New Roman"/>
                <w:i/>
              </w:rPr>
              <w:t xml:space="preserve">  neumožňuje  kapitole MPSVR SR  pokryť  úbytok príjmov a nárast výdavkov  vyplývajúcich z novely zákona </w:t>
            </w:r>
            <w:r w:rsidR="008D2077">
              <w:rPr>
                <w:rFonts w:ascii="Times New Roman" w:hAnsi="Times New Roman"/>
                <w:i/>
              </w:rPr>
              <w:t xml:space="preserve">      </w:t>
            </w:r>
            <w:r w:rsidRPr="00FD3FFA">
              <w:rPr>
                <w:rFonts w:ascii="Times New Roman" w:hAnsi="Times New Roman"/>
                <w:i/>
              </w:rPr>
              <w:t>v rámci jej limitov príjmov a výdavkov. Keďže  dopad sa týka až rokov 2019 a 2020,  ktorých návrh limitov príjmov a výdavkov  bude aktualizovaný  pri  príprave návrhu rozpočtu verejnej správy na roky 2019</w:t>
            </w:r>
            <w:r w:rsidR="0058321D">
              <w:rPr>
                <w:rFonts w:ascii="Times New Roman" w:hAnsi="Times New Roman"/>
                <w:i/>
              </w:rPr>
              <w:t xml:space="preserve"> až 2021, je podľa nášho názoru priestor na zapracovanie vyčíslených dopadov</w:t>
            </w:r>
            <w:r w:rsidRPr="00FD3FFA">
              <w:rPr>
                <w:rFonts w:ascii="Times New Roman" w:hAnsi="Times New Roman"/>
                <w:i/>
              </w:rPr>
              <w:t xml:space="preserve"> po rokovaniach s MF SR do príslušných  rozpočtových kapitol.</w:t>
            </w:r>
          </w:p>
          <w:p w:rsidR="00FD3FFA" w:rsidRPr="00510DCE" w:rsidP="00510DCE">
            <w:pPr>
              <w:bidi w:val="0"/>
              <w:ind w:right="-2"/>
              <w:jc w:val="both"/>
              <w:rPr>
                <w:rFonts w:ascii="Times New Roman" w:hAnsi="Times New Roman"/>
                <w:b/>
              </w:rPr>
            </w:pPr>
          </w:p>
          <w:p w:rsidR="00510DCE" w:rsidRPr="00510DCE" w:rsidP="00510DCE">
            <w:pPr>
              <w:bidi w:val="0"/>
              <w:ind w:right="-2"/>
              <w:jc w:val="both"/>
              <w:rPr>
                <w:rFonts w:ascii="Times New Roman" w:hAnsi="Times New Roman"/>
              </w:rPr>
            </w:pPr>
          </w:p>
          <w:p w:rsidR="00510DCE" w:rsidRPr="00510DCE" w:rsidP="00510DCE">
            <w:pPr>
              <w:bidi w:val="0"/>
              <w:ind w:right="-2"/>
              <w:jc w:val="both"/>
              <w:rPr>
                <w:rFonts w:ascii="Times New Roman" w:hAnsi="Times New Roman"/>
                <w:b/>
              </w:rPr>
            </w:pPr>
            <w:r w:rsidRPr="00510DCE">
              <w:rPr>
                <w:rFonts w:ascii="Times New Roman" w:hAnsi="Times New Roman"/>
                <w:b/>
              </w:rPr>
              <w:t>K analýze vplyvov na rozpočet verejnej správy</w:t>
            </w:r>
          </w:p>
          <w:p w:rsidR="00961BAE" w:rsidP="00510DCE">
            <w:pPr>
              <w:bidi w:val="0"/>
              <w:ind w:right="-2"/>
              <w:jc w:val="both"/>
              <w:rPr>
                <w:rFonts w:ascii="Times New Roman" w:hAnsi="Times New Roman"/>
              </w:rPr>
            </w:pPr>
          </w:p>
          <w:p w:rsidR="00510DCE" w:rsidP="00510DCE">
            <w:pPr>
              <w:bidi w:val="0"/>
              <w:ind w:right="-2"/>
              <w:jc w:val="both"/>
              <w:rPr>
                <w:rFonts w:ascii="Times New Roman" w:hAnsi="Times New Roman"/>
              </w:rPr>
            </w:pPr>
            <w:r w:rsidRPr="00510DCE">
              <w:rPr>
                <w:rFonts w:ascii="Times New Roman" w:hAnsi="Times New Roman"/>
              </w:rPr>
              <w:t>Komisia žiada spresniť kvantifikáciu vplyvov na rozpočet verejnej správy podľa individ</w:t>
            </w:r>
            <w:r w:rsidR="00DF44AC">
              <w:rPr>
                <w:rFonts w:ascii="Times New Roman" w:hAnsi="Times New Roman"/>
              </w:rPr>
              <w:t>uálnych údajov účastníkov III. p</w:t>
            </w:r>
            <w:r w:rsidRPr="00510DCE">
              <w:rPr>
                <w:rFonts w:ascii="Times New Roman" w:hAnsi="Times New Roman"/>
              </w:rPr>
              <w:t>iliera.</w:t>
            </w:r>
          </w:p>
          <w:p w:rsidR="00961BAE" w:rsidP="00510DCE">
            <w:pPr>
              <w:bidi w:val="0"/>
              <w:ind w:right="-2"/>
              <w:jc w:val="both"/>
              <w:rPr>
                <w:rFonts w:ascii="Times New Roman" w:hAnsi="Times New Roman"/>
              </w:rPr>
            </w:pPr>
          </w:p>
          <w:p w:rsidR="0033454A" w:rsidP="00510DCE">
            <w:pPr>
              <w:bidi w:val="0"/>
              <w:ind w:right="-2"/>
              <w:jc w:val="both"/>
              <w:rPr>
                <w:rFonts w:ascii="Times New Roman" w:hAnsi="Times New Roman"/>
                <w:b/>
                <w:i/>
              </w:rPr>
            </w:pPr>
            <w:r w:rsidRPr="00961BAE" w:rsidR="00510DCE">
              <w:rPr>
                <w:rFonts w:ascii="Times New Roman" w:hAnsi="Times New Roman"/>
                <w:b/>
                <w:i/>
              </w:rPr>
              <w:t>Stanovisko MPSVR SR:</w:t>
            </w:r>
            <w:r w:rsidRPr="00961BAE" w:rsidR="00DF44AC">
              <w:rPr>
                <w:rFonts w:ascii="Times New Roman" w:hAnsi="Times New Roman"/>
                <w:b/>
                <w:i/>
              </w:rPr>
              <w:t xml:space="preserve"> </w:t>
            </w:r>
          </w:p>
          <w:p w:rsidR="00961BAE" w:rsidP="00510DCE">
            <w:pPr>
              <w:bidi w:val="0"/>
              <w:ind w:right="-2"/>
              <w:jc w:val="both"/>
              <w:rPr>
                <w:rFonts w:ascii="Times New Roman" w:hAnsi="Times New Roman"/>
                <w:i/>
              </w:rPr>
            </w:pPr>
            <w:r w:rsidR="00584E61">
              <w:rPr>
                <w:rFonts w:ascii="Times New Roman" w:hAnsi="Times New Roman"/>
                <w:i/>
              </w:rPr>
              <w:t>K</w:t>
            </w:r>
            <w:r w:rsidRPr="00961BAE" w:rsidR="00A40E7B">
              <w:rPr>
                <w:rFonts w:ascii="Times New Roman" w:hAnsi="Times New Roman"/>
                <w:i/>
              </w:rPr>
              <w:t>vantifikácie vplyvov na rozpočet verejnej</w:t>
            </w:r>
            <w:r w:rsidRPr="00961BAE" w:rsidR="00061DF2">
              <w:rPr>
                <w:rFonts w:ascii="Times New Roman" w:hAnsi="Times New Roman"/>
                <w:i/>
              </w:rPr>
              <w:t xml:space="preserve"> správy ako aj sociálnych vplyvov</w:t>
            </w:r>
            <w:r w:rsidRPr="00961BAE" w:rsidR="00A40E7B">
              <w:rPr>
                <w:rFonts w:ascii="Times New Roman" w:hAnsi="Times New Roman"/>
                <w:i/>
              </w:rPr>
              <w:t xml:space="preserve"> boli odhadované na základe individuálnych</w:t>
            </w:r>
            <w:r w:rsidR="0058321D">
              <w:rPr>
                <w:rFonts w:ascii="Times New Roman" w:hAnsi="Times New Roman"/>
                <w:i/>
              </w:rPr>
              <w:t>,</w:t>
            </w:r>
            <w:r w:rsidRPr="00961BAE" w:rsidR="00A40E7B">
              <w:rPr>
                <w:rFonts w:ascii="Times New Roman" w:hAnsi="Times New Roman"/>
                <w:i/>
              </w:rPr>
              <w:t xml:space="preserve"> </w:t>
            </w:r>
            <w:r>
              <w:rPr>
                <w:rFonts w:ascii="Times New Roman" w:hAnsi="Times New Roman"/>
                <w:i/>
              </w:rPr>
              <w:t xml:space="preserve">anonymizovaných </w:t>
            </w:r>
            <w:r w:rsidRPr="00961BAE" w:rsidR="00A40E7B">
              <w:rPr>
                <w:rFonts w:ascii="Times New Roman" w:hAnsi="Times New Roman"/>
                <w:i/>
              </w:rPr>
              <w:t>údajov účastníkov III. piliera</w:t>
            </w:r>
            <w:r w:rsidRPr="00961BAE" w:rsidR="00F75305">
              <w:rPr>
                <w:rFonts w:ascii="Times New Roman" w:hAnsi="Times New Roman"/>
                <w:i/>
              </w:rPr>
              <w:t xml:space="preserve"> </w:t>
            </w:r>
            <w:r>
              <w:rPr>
                <w:rFonts w:ascii="Times New Roman" w:hAnsi="Times New Roman"/>
                <w:i/>
              </w:rPr>
              <w:t xml:space="preserve">(poskytnutých doplnkovými dôchodkovým spoločnosťami ) </w:t>
            </w:r>
            <w:r w:rsidRPr="00961BAE" w:rsidR="00F75305">
              <w:rPr>
                <w:rFonts w:ascii="Times New Roman" w:hAnsi="Times New Roman"/>
                <w:i/>
              </w:rPr>
              <w:t>a to hlavne nasporenej sumy</w:t>
            </w:r>
            <w:r w:rsidRPr="00961BAE" w:rsidR="00061DF2">
              <w:rPr>
                <w:rFonts w:ascii="Times New Roman" w:hAnsi="Times New Roman"/>
                <w:i/>
              </w:rPr>
              <w:t xml:space="preserve"> účastníkov ku koncu roku 2016, príspevkov zamestnávateľa ako aj vlastných príspevkov</w:t>
            </w:r>
            <w:r w:rsidRPr="00961BAE" w:rsidR="00F75305">
              <w:rPr>
                <w:rFonts w:ascii="Times New Roman" w:hAnsi="Times New Roman"/>
                <w:i/>
              </w:rPr>
              <w:t xml:space="preserve"> a veku jednotlivých účastníkov</w:t>
            </w:r>
            <w:r w:rsidRPr="00961BAE" w:rsidR="00A40E7B">
              <w:rPr>
                <w:rFonts w:ascii="Times New Roman" w:hAnsi="Times New Roman"/>
                <w:i/>
              </w:rPr>
              <w:t>.</w:t>
            </w:r>
            <w:r>
              <w:rPr>
                <w:rFonts w:ascii="Times New Roman" w:hAnsi="Times New Roman"/>
                <w:i/>
              </w:rPr>
              <w:t xml:space="preserve"> </w:t>
            </w:r>
            <w:r w:rsidRPr="00961BAE" w:rsidR="00584E61">
              <w:rPr>
                <w:rFonts w:ascii="Times New Roman" w:hAnsi="Times New Roman"/>
                <w:i/>
              </w:rPr>
              <w:t>Výška priemerného príspevku za rizikárov, ako aj počet príspevkov za rizikárov v rokoch 2019 a 2020 bol odhadnutý z makro dát od doplnkových dôchodkových spoločností z dôvodu, že MPSVR SR v prípade tohto typu dát disponuje dlhším časovým radom údajov</w:t>
            </w:r>
            <w:r w:rsidR="00584E61">
              <w:rPr>
                <w:rFonts w:ascii="Times New Roman" w:hAnsi="Times New Roman"/>
                <w:i/>
              </w:rPr>
              <w:t>.</w:t>
            </w:r>
          </w:p>
          <w:p w:rsidR="00961BAE" w:rsidP="00510DCE">
            <w:pPr>
              <w:bidi w:val="0"/>
              <w:ind w:right="-2"/>
              <w:jc w:val="both"/>
              <w:rPr>
                <w:rFonts w:ascii="Times New Roman" w:hAnsi="Times New Roman"/>
                <w:i/>
              </w:rPr>
            </w:pPr>
          </w:p>
          <w:p w:rsidR="00607481" w:rsidP="00510DCE">
            <w:pPr>
              <w:bidi w:val="0"/>
              <w:ind w:right="-2"/>
              <w:jc w:val="both"/>
              <w:rPr>
                <w:rFonts w:ascii="Times New Roman" w:hAnsi="Times New Roman"/>
                <w:i/>
              </w:rPr>
            </w:pPr>
            <w:r>
              <w:rPr>
                <w:rFonts w:ascii="Times New Roman" w:hAnsi="Times New Roman"/>
                <w:i/>
              </w:rPr>
              <w:t>Tak ako na viacerých miestach jednotlivých analýz vplyvov upozorňujeme, presnejšia kvantifikácia vybraných dopadov by bola možná v prípade prepojenia individuálnych údajov zo Sociálnej poisťovne s individuálnymi údajmi od doplnkových dôchodkových spoločností. Vzhľadom na to, že predkladateľ novely zákona nedisponuje zákonnou právomocou získavať individuálne údaje o účastníkoch v takej podobe, ktorá by uvedené umožnila, novela zákona upravuje predmetné ustanovenie tak, aby v budúcnosti takáto presnejšia kvantifikácia bola možná. Predkladateľ novely zákona obdobne rozširuje prístup k takýmto údajom aj pre MF SR.</w:t>
            </w:r>
          </w:p>
          <w:p w:rsidR="00607481" w:rsidP="00510DCE">
            <w:pPr>
              <w:bidi w:val="0"/>
              <w:ind w:right="-2"/>
              <w:jc w:val="both"/>
              <w:rPr>
                <w:rFonts w:ascii="Times New Roman" w:hAnsi="Times New Roman"/>
                <w:i/>
              </w:rPr>
            </w:pPr>
          </w:p>
          <w:p w:rsidR="00607481" w:rsidP="00510DCE">
            <w:pPr>
              <w:bidi w:val="0"/>
              <w:ind w:right="-2"/>
              <w:jc w:val="both"/>
              <w:rPr>
                <w:rFonts w:ascii="Times New Roman" w:hAnsi="Times New Roman"/>
                <w:i/>
              </w:rPr>
            </w:pPr>
            <w:r>
              <w:rPr>
                <w:rFonts w:ascii="Times New Roman" w:hAnsi="Times New Roman"/>
                <w:i/>
              </w:rPr>
              <w:t>Ďalšie spresnenie kvantifikácii na základe individuálnych údajov by bolo možné len v prípade prepojenia predmetných údajov o účastníkoch s individuálnymi údajmi z Finančnej správy. Vzhľadom na to, že tieto údaje podliehajú daňovému tajomstvu, nie je v možnostiach predkladateľa novely zákona takéto prepojenie zabezpečiť</w:t>
            </w:r>
            <w:r w:rsidR="004C6671">
              <w:rPr>
                <w:rFonts w:ascii="Times New Roman" w:hAnsi="Times New Roman"/>
                <w:i/>
              </w:rPr>
              <w:t xml:space="preserve"> ani ex-post po schválení predkladanej novely</w:t>
            </w:r>
            <w:r>
              <w:rPr>
                <w:rFonts w:ascii="Times New Roman" w:hAnsi="Times New Roman"/>
                <w:i/>
              </w:rPr>
              <w:t>.</w:t>
            </w:r>
            <w:r w:rsidR="004C6671">
              <w:rPr>
                <w:rFonts w:ascii="Times New Roman" w:hAnsi="Times New Roman"/>
                <w:i/>
              </w:rPr>
              <w:t xml:space="preserve"> Naopak, predkladateľ pripomienky by mal mať po schválení tejto novely zákona ako jediný subjekt štátnej správy takú kompetenciou, aby si vedel prepojenie uvedených údajov pre potreby požadovanej analýzy zabezpečiť.</w:t>
            </w:r>
          </w:p>
          <w:p w:rsidR="00510DCE" w:rsidRPr="00510DCE" w:rsidP="00510DCE">
            <w:pPr>
              <w:bidi w:val="0"/>
              <w:ind w:right="-2"/>
              <w:jc w:val="both"/>
              <w:rPr>
                <w:rFonts w:ascii="Times New Roman" w:hAnsi="Times New Roman"/>
              </w:rPr>
            </w:pPr>
          </w:p>
          <w:p w:rsidR="00510DCE" w:rsidRPr="00510DCE" w:rsidP="00510DCE">
            <w:pPr>
              <w:bidi w:val="0"/>
              <w:ind w:right="-2"/>
              <w:jc w:val="both"/>
              <w:rPr>
                <w:rFonts w:ascii="Times New Roman" w:hAnsi="Times New Roman"/>
              </w:rPr>
            </w:pPr>
          </w:p>
          <w:p w:rsidR="00510DCE" w:rsidP="00510DCE">
            <w:pPr>
              <w:bidi w:val="0"/>
              <w:ind w:right="-2"/>
              <w:jc w:val="both"/>
              <w:rPr>
                <w:rFonts w:ascii="Times New Roman" w:hAnsi="Times New Roman"/>
              </w:rPr>
            </w:pPr>
            <w:r w:rsidRPr="00510DCE">
              <w:rPr>
                <w:rFonts w:ascii="Times New Roman" w:hAnsi="Times New Roman"/>
              </w:rPr>
              <w:t>V bode 2.2.4.1. b) Komisia žiada upraviť tretí odsek tak, aby bol zrozumiteľný. Zároveň Komisia žiada, aby tu boli uvedené konkrétne kvantitatívne predpoklady výpočtu, nielen výsledná suma.</w:t>
            </w:r>
          </w:p>
          <w:p w:rsidR="004C6671" w:rsidP="00510DCE">
            <w:pPr>
              <w:bidi w:val="0"/>
              <w:ind w:right="-2"/>
              <w:jc w:val="both"/>
              <w:rPr>
                <w:rFonts w:ascii="Times New Roman" w:hAnsi="Times New Roman"/>
              </w:rPr>
            </w:pPr>
          </w:p>
          <w:p w:rsidR="0033454A" w:rsidP="00510DCE">
            <w:pPr>
              <w:bidi w:val="0"/>
              <w:ind w:right="-2"/>
              <w:jc w:val="both"/>
              <w:rPr>
                <w:rFonts w:ascii="Times New Roman" w:hAnsi="Times New Roman"/>
                <w:b/>
                <w:i/>
              </w:rPr>
            </w:pPr>
            <w:r w:rsidRPr="004C6671" w:rsidR="00510DCE">
              <w:rPr>
                <w:rFonts w:ascii="Times New Roman" w:hAnsi="Times New Roman"/>
                <w:b/>
                <w:i/>
              </w:rPr>
              <w:t>Stanovisko MPSVR SR:</w:t>
            </w:r>
            <w:r w:rsidRPr="004C6671" w:rsidR="00A874B8">
              <w:rPr>
                <w:rFonts w:ascii="Times New Roman" w:hAnsi="Times New Roman"/>
                <w:b/>
                <w:i/>
              </w:rPr>
              <w:t xml:space="preserve"> </w:t>
            </w:r>
          </w:p>
          <w:p w:rsidR="00510DCE" w:rsidRPr="004C6671" w:rsidP="00510DCE">
            <w:pPr>
              <w:bidi w:val="0"/>
              <w:ind w:right="-2"/>
              <w:jc w:val="both"/>
              <w:rPr>
                <w:rFonts w:ascii="Times New Roman" w:hAnsi="Times New Roman"/>
                <w:b/>
                <w:i/>
              </w:rPr>
            </w:pPr>
            <w:r w:rsidRPr="004C6671" w:rsidR="00A874B8">
              <w:rPr>
                <w:rFonts w:ascii="Times New Roman" w:hAnsi="Times New Roman"/>
                <w:i/>
              </w:rPr>
              <w:t>Uvedený odsek bol upravený na základe pripomienky komisie.</w:t>
            </w:r>
          </w:p>
          <w:p w:rsidR="00510DCE" w:rsidRPr="00510DCE" w:rsidP="00510DCE">
            <w:pPr>
              <w:bidi w:val="0"/>
              <w:ind w:right="-2"/>
              <w:jc w:val="both"/>
              <w:rPr>
                <w:rFonts w:ascii="Times New Roman" w:hAnsi="Times New Roman"/>
              </w:rPr>
            </w:pPr>
          </w:p>
          <w:p w:rsidR="00510DCE" w:rsidRPr="00510DCE" w:rsidP="00510DCE">
            <w:pPr>
              <w:bidi w:val="0"/>
              <w:ind w:right="-2"/>
              <w:jc w:val="both"/>
              <w:rPr>
                <w:rFonts w:ascii="Times New Roman" w:hAnsi="Times New Roman"/>
              </w:rPr>
            </w:pPr>
          </w:p>
          <w:p w:rsidR="00510DCE" w:rsidP="00510DCE">
            <w:pPr>
              <w:bidi w:val="0"/>
              <w:ind w:right="-2"/>
              <w:jc w:val="both"/>
              <w:rPr>
                <w:rFonts w:ascii="Times New Roman" w:hAnsi="Times New Roman"/>
              </w:rPr>
            </w:pPr>
            <w:r w:rsidRPr="00510DCE">
              <w:rPr>
                <w:rFonts w:ascii="Times New Roman" w:hAnsi="Times New Roman"/>
              </w:rPr>
              <w:t>Komisia žiada spresniť na základe akých údajov je zostavené percentuálne rozdelenie osôb v preddôchodkovom veku v prípade výpočtu výdavkov na poistné do zdravotných poisťovní.</w:t>
            </w:r>
          </w:p>
          <w:p w:rsidR="004C6671" w:rsidP="00510DCE">
            <w:pPr>
              <w:bidi w:val="0"/>
              <w:ind w:right="-2"/>
              <w:jc w:val="both"/>
              <w:rPr>
                <w:rFonts w:ascii="Times New Roman" w:hAnsi="Times New Roman"/>
                <w:b/>
              </w:rPr>
            </w:pPr>
          </w:p>
          <w:p w:rsidR="0033454A" w:rsidP="00510DCE">
            <w:pPr>
              <w:bidi w:val="0"/>
              <w:ind w:right="-2"/>
              <w:jc w:val="both"/>
              <w:rPr>
                <w:rFonts w:ascii="Times New Roman" w:hAnsi="Times New Roman"/>
                <w:i/>
              </w:rPr>
            </w:pPr>
            <w:r w:rsidRPr="004C6671" w:rsidR="00510DCE">
              <w:rPr>
                <w:rFonts w:ascii="Times New Roman" w:hAnsi="Times New Roman"/>
                <w:b/>
                <w:i/>
              </w:rPr>
              <w:t>Stanovisko MPSVR SR:</w:t>
            </w:r>
            <w:r w:rsidRPr="004C6671" w:rsidR="00A874B8">
              <w:rPr>
                <w:rFonts w:ascii="Times New Roman" w:hAnsi="Times New Roman"/>
                <w:i/>
              </w:rPr>
              <w:t xml:space="preserve"> </w:t>
            </w:r>
          </w:p>
          <w:p w:rsidR="00510DCE" w:rsidRPr="004C6671" w:rsidP="00510DCE">
            <w:pPr>
              <w:bidi w:val="0"/>
              <w:ind w:right="-2"/>
              <w:jc w:val="both"/>
              <w:rPr>
                <w:rFonts w:ascii="Times New Roman" w:hAnsi="Times New Roman"/>
                <w:b/>
                <w:i/>
              </w:rPr>
            </w:pPr>
            <w:r w:rsidRPr="004C6671" w:rsidR="00A874B8">
              <w:rPr>
                <w:rFonts w:ascii="Times New Roman" w:hAnsi="Times New Roman"/>
                <w:i/>
              </w:rPr>
              <w:t xml:space="preserve">Požiadavka komisie bola zapracovaná </w:t>
            </w:r>
            <w:r w:rsidR="004C6671">
              <w:rPr>
                <w:rFonts w:ascii="Times New Roman" w:hAnsi="Times New Roman"/>
                <w:i/>
              </w:rPr>
              <w:t>v rámci</w:t>
            </w:r>
            <w:r w:rsidRPr="004C6671" w:rsidR="00A874B8">
              <w:rPr>
                <w:rFonts w:ascii="Times New Roman" w:hAnsi="Times New Roman"/>
                <w:i/>
              </w:rPr>
              <w:t xml:space="preserve"> analýzy vplyvov na rozpočet verejnej správy</w:t>
            </w:r>
            <w:r w:rsidR="0083682E">
              <w:rPr>
                <w:rFonts w:ascii="Times New Roman" w:hAnsi="Times New Roman"/>
                <w:i/>
              </w:rPr>
              <w:t xml:space="preserve"> a spresnená v rámci </w:t>
            </w:r>
            <w:r w:rsidR="0033454A">
              <w:rPr>
                <w:rFonts w:ascii="Times New Roman" w:hAnsi="Times New Roman"/>
                <w:i/>
              </w:rPr>
              <w:t xml:space="preserve">state </w:t>
            </w:r>
            <w:r w:rsidR="0083682E">
              <w:rPr>
                <w:rFonts w:ascii="Times New Roman" w:hAnsi="Times New Roman"/>
                <w:i/>
              </w:rPr>
              <w:t xml:space="preserve">č. 12 (Zdroje) doložky vybraných vplyvov. </w:t>
            </w:r>
          </w:p>
          <w:p w:rsidR="00510DCE" w:rsidP="00510DCE">
            <w:pPr>
              <w:bidi w:val="0"/>
              <w:ind w:right="-2"/>
              <w:jc w:val="both"/>
              <w:rPr>
                <w:rFonts w:ascii="Times New Roman" w:hAnsi="Times New Roman"/>
              </w:rPr>
            </w:pPr>
          </w:p>
          <w:p w:rsidR="00A874B8" w:rsidRPr="00510DCE" w:rsidP="00510DCE">
            <w:pPr>
              <w:bidi w:val="0"/>
              <w:ind w:right="-2"/>
              <w:jc w:val="both"/>
              <w:rPr>
                <w:rFonts w:ascii="Times New Roman" w:hAnsi="Times New Roman"/>
              </w:rPr>
            </w:pPr>
          </w:p>
          <w:p w:rsidR="00510DCE" w:rsidP="00510DCE">
            <w:pPr>
              <w:bidi w:val="0"/>
              <w:ind w:right="-2"/>
              <w:jc w:val="both"/>
              <w:rPr>
                <w:rFonts w:ascii="Times New Roman" w:hAnsi="Times New Roman"/>
              </w:rPr>
            </w:pPr>
            <w:r w:rsidRPr="00B67D92">
              <w:rPr>
                <w:rFonts w:ascii="Times New Roman" w:hAnsi="Times New Roman"/>
              </w:rPr>
              <w:t>Komisia žiada</w:t>
            </w:r>
            <w:r w:rsidRPr="00510DCE">
              <w:rPr>
                <w:rFonts w:ascii="Times New Roman" w:hAnsi="Times New Roman"/>
              </w:rPr>
              <w:t xml:space="preserve"> kvantifikovať výpadok daňových a odvodových príjmov z dôvodu, že skupina osôb, ktorá je dnes zamestnaná v prípade zavedenia preddôchodku odíde z trhu práce skôr. Predpoklad, že všetky voľné pozície budú obsadené novými zamestnancami, ktorí boli doteraz mimo trhu práce, je nerealistický. Výpadok daňových a odvodových príjmov môže byť výrazný a z tohto titulu bude nutné uvažovať o skrátení obdobia, počas ktorého je možné poberať preddôchodok tak, aby slúžil ako náhrada predčasného starobného dôchodku.</w:t>
            </w:r>
          </w:p>
          <w:p w:rsidR="0083682E" w:rsidP="00510DCE">
            <w:pPr>
              <w:bidi w:val="0"/>
              <w:ind w:right="-2"/>
              <w:jc w:val="both"/>
              <w:rPr>
                <w:rFonts w:ascii="Times New Roman" w:hAnsi="Times New Roman"/>
                <w:b/>
              </w:rPr>
            </w:pPr>
          </w:p>
          <w:p w:rsidR="00510DCE" w:rsidRPr="001D7A29" w:rsidP="00510DCE">
            <w:pPr>
              <w:bidi w:val="0"/>
              <w:ind w:right="-2"/>
              <w:jc w:val="both"/>
              <w:rPr>
                <w:rFonts w:ascii="Times New Roman" w:hAnsi="Times New Roman"/>
                <w:b/>
                <w:i/>
              </w:rPr>
            </w:pPr>
            <w:r w:rsidRPr="001D7A29">
              <w:rPr>
                <w:rFonts w:ascii="Times New Roman" w:hAnsi="Times New Roman"/>
                <w:b/>
                <w:i/>
              </w:rPr>
              <w:t>Stanovisko MPSVR SR:</w:t>
            </w:r>
          </w:p>
          <w:p w:rsidR="001D7A29" w:rsidP="00510DCE">
            <w:pPr>
              <w:bidi w:val="0"/>
              <w:ind w:right="-2"/>
              <w:jc w:val="both"/>
              <w:rPr>
                <w:rFonts w:ascii="Times New Roman" w:hAnsi="Times New Roman"/>
                <w:i/>
              </w:rPr>
            </w:pPr>
            <w:r w:rsidRPr="001D7A29">
              <w:rPr>
                <w:rFonts w:ascii="Times New Roman" w:hAnsi="Times New Roman"/>
                <w:i/>
              </w:rPr>
              <w:t xml:space="preserve">Parametre dávky preddôchodok boli navrhnuté na základe diskusie so sociálnymi partnermi. Zmena, ktorú požaduje predkladateľ pripomienky (skrátenie obdobia, počas ktorého je možné poberať preddôchodok tak, aby slúžil ako náhrada predčasného starobného dôchodku), by vecne menila charakter preddôchodku. Ako sa uvádza v 3.2. Jednotnej metodiky pre posudzovanie vybraných vplyvov: „Komisia sa nevyjadruje k vecnej stránke materiálu.“. Máme preto za to, že predmetná pripomienka je nad rámec Jednotnej metodiky. </w:t>
            </w:r>
          </w:p>
          <w:p w:rsidR="001D7A29" w:rsidP="00510DCE">
            <w:pPr>
              <w:bidi w:val="0"/>
              <w:ind w:right="-2"/>
              <w:jc w:val="both"/>
              <w:rPr>
                <w:rFonts w:ascii="Times New Roman" w:hAnsi="Times New Roman"/>
                <w:i/>
              </w:rPr>
            </w:pPr>
          </w:p>
          <w:p w:rsidR="001D7A29" w:rsidP="00510DCE">
            <w:pPr>
              <w:bidi w:val="0"/>
              <w:ind w:right="-2"/>
              <w:jc w:val="both"/>
              <w:rPr>
                <w:rFonts w:ascii="Times New Roman" w:hAnsi="Times New Roman"/>
              </w:rPr>
            </w:pPr>
            <w:r w:rsidRPr="001D7A29">
              <w:rPr>
                <w:rFonts w:ascii="Times New Roman" w:hAnsi="Times New Roman"/>
                <w:i/>
              </w:rPr>
              <w:t>Predkladateľ pripomienky ďalej tvrdí, že: „Predpoklad, že všetky voľné pozície budú obsadené novými zamestnancami, ktorí boli doteraz mimo trhu práce, je nerealistický.“</w:t>
            </w:r>
            <w:r>
              <w:rPr>
                <w:rFonts w:ascii="Times New Roman" w:hAnsi="Times New Roman"/>
                <w:i/>
              </w:rPr>
              <w:t xml:space="preserve">. Toto svoje tvrdenie nijakým spôsobom nepodložil. Rovnako </w:t>
            </w:r>
            <w:r w:rsidR="005F4E7C">
              <w:rPr>
                <w:rFonts w:ascii="Times New Roman" w:hAnsi="Times New Roman"/>
                <w:i/>
              </w:rPr>
              <w:t xml:space="preserve"> neuviedol</w:t>
            </w:r>
            <w:r>
              <w:rPr>
                <w:rFonts w:ascii="Times New Roman" w:hAnsi="Times New Roman"/>
                <w:i/>
              </w:rPr>
              <w:t xml:space="preserve">, </w:t>
            </w:r>
            <w:r w:rsidR="00414278">
              <w:rPr>
                <w:rFonts w:ascii="Times New Roman" w:hAnsi="Times New Roman"/>
                <w:i/>
              </w:rPr>
              <w:t>z</w:t>
            </w:r>
            <w:r>
              <w:rPr>
                <w:rFonts w:ascii="Times New Roman" w:hAnsi="Times New Roman"/>
                <w:i/>
              </w:rPr>
              <w:t xml:space="preserve"> ak</w:t>
            </w:r>
            <w:r w:rsidR="00414278">
              <w:rPr>
                <w:rFonts w:ascii="Times New Roman" w:hAnsi="Times New Roman"/>
                <w:i/>
              </w:rPr>
              <w:t>ej</w:t>
            </w:r>
            <w:r>
              <w:rPr>
                <w:rFonts w:ascii="Times New Roman" w:hAnsi="Times New Roman"/>
                <w:i/>
              </w:rPr>
              <w:t xml:space="preserve"> hodnot</w:t>
            </w:r>
            <w:r w:rsidR="00414278">
              <w:rPr>
                <w:rFonts w:ascii="Times New Roman" w:hAnsi="Times New Roman"/>
                <w:i/>
              </w:rPr>
              <w:t>y</w:t>
            </w:r>
            <w:r>
              <w:rPr>
                <w:rFonts w:ascii="Times New Roman" w:hAnsi="Times New Roman"/>
                <w:i/>
              </w:rPr>
              <w:t xml:space="preserve"> predmetnej premennej by mal predkladateľ novely v kvantifikácii </w:t>
            </w:r>
            <w:r w:rsidR="00414278">
              <w:rPr>
                <w:rFonts w:ascii="Times New Roman" w:hAnsi="Times New Roman"/>
                <w:i/>
              </w:rPr>
              <w:t>vychádzať</w:t>
            </w:r>
            <w:r>
              <w:rPr>
                <w:rFonts w:ascii="Times New Roman" w:hAnsi="Times New Roman"/>
                <w:i/>
              </w:rPr>
              <w:t>, aby bola predkladateľom pripomienky považovaná realizovaná kvantifikácia za realistickú.</w:t>
            </w:r>
            <w:r w:rsidR="00B67D92">
              <w:rPr>
                <w:rFonts w:ascii="Times New Roman" w:hAnsi="Times New Roman"/>
                <w:i/>
              </w:rPr>
              <w:t xml:space="preserve"> Vzhľadom na uvedené nie je jasné, ako by mala byť zmenená kvantifikácia dopadov na verejnú správu, aby bola pripomienka predkladateľa uspokojená. </w:t>
            </w:r>
          </w:p>
          <w:p w:rsidR="00510DCE" w:rsidRPr="00510DCE" w:rsidP="00510DCE">
            <w:pPr>
              <w:bidi w:val="0"/>
              <w:ind w:right="-2"/>
              <w:jc w:val="both"/>
              <w:rPr>
                <w:rFonts w:ascii="Times New Roman" w:hAnsi="Times New Roman"/>
              </w:rPr>
            </w:pPr>
          </w:p>
          <w:p w:rsidR="00510DCE" w:rsidP="00510DCE">
            <w:pPr>
              <w:bidi w:val="0"/>
              <w:ind w:right="-2"/>
              <w:jc w:val="both"/>
              <w:rPr>
                <w:rFonts w:ascii="Times New Roman" w:hAnsi="Times New Roman"/>
              </w:rPr>
            </w:pPr>
            <w:r w:rsidRPr="002C5ABE">
              <w:rPr>
                <w:rFonts w:ascii="Times New Roman" w:hAnsi="Times New Roman"/>
              </w:rPr>
              <w:t>Komisia žiada odhadnúť počet</w:t>
            </w:r>
            <w:r w:rsidRPr="00510DCE">
              <w:rPr>
                <w:rFonts w:ascii="Times New Roman" w:hAnsi="Times New Roman"/>
              </w:rPr>
              <w:t xml:space="preserve"> osôb, ktoré by o vyplácanie preddôchodku mali záujem na základe individuálnych údajov z III. Piliera.</w:t>
            </w:r>
          </w:p>
          <w:p w:rsidR="0083682E" w:rsidP="00510DCE">
            <w:pPr>
              <w:bidi w:val="0"/>
              <w:ind w:right="-2"/>
              <w:jc w:val="both"/>
              <w:rPr>
                <w:rFonts w:ascii="Times New Roman" w:hAnsi="Times New Roman"/>
                <w:b/>
              </w:rPr>
            </w:pPr>
          </w:p>
          <w:p w:rsidR="0033454A" w:rsidP="00510DCE">
            <w:pPr>
              <w:bidi w:val="0"/>
              <w:ind w:right="-2"/>
              <w:jc w:val="both"/>
              <w:rPr>
                <w:rFonts w:ascii="Times New Roman" w:hAnsi="Times New Roman"/>
                <w:b/>
              </w:rPr>
            </w:pPr>
            <w:r w:rsidRPr="0033454A" w:rsidR="00510DCE">
              <w:rPr>
                <w:rFonts w:ascii="Times New Roman" w:hAnsi="Times New Roman"/>
                <w:b/>
                <w:i/>
              </w:rPr>
              <w:t>Stanovisko MPSVR SR:</w:t>
            </w:r>
            <w:r w:rsidR="00DF44AC">
              <w:rPr>
                <w:rFonts w:ascii="Times New Roman" w:hAnsi="Times New Roman"/>
                <w:b/>
              </w:rPr>
              <w:t xml:space="preserve"> </w:t>
            </w:r>
          </w:p>
          <w:p w:rsidR="00584E61" w:rsidP="00510DCE">
            <w:pPr>
              <w:bidi w:val="0"/>
              <w:ind w:right="-2"/>
              <w:jc w:val="both"/>
              <w:rPr>
                <w:rFonts w:ascii="Times New Roman" w:hAnsi="Times New Roman"/>
              </w:rPr>
            </w:pPr>
            <w:r w:rsidRPr="00811660" w:rsidR="00811660">
              <w:rPr>
                <w:rFonts w:ascii="Times New Roman" w:hAnsi="Times New Roman"/>
                <w:i/>
              </w:rPr>
              <w:t>Pripomienku</w:t>
            </w:r>
            <w:r w:rsidR="00811660">
              <w:rPr>
                <w:rFonts w:ascii="Times New Roman" w:hAnsi="Times New Roman"/>
                <w:i/>
              </w:rPr>
              <w:t xml:space="preserve"> považujeme za bezpredmetnú vzhľadom na to, že počet dotknutých osôb je predmetom analýzy sociálnych vplyvov (nie analýzy vplyvov na verejné financie). Celkový počet </w:t>
            </w:r>
            <w:r w:rsidR="004354BB">
              <w:rPr>
                <w:rFonts w:ascii="Times New Roman" w:hAnsi="Times New Roman"/>
                <w:i/>
              </w:rPr>
              <w:t>účastníkov</w:t>
            </w:r>
            <w:r w:rsidR="00811660">
              <w:rPr>
                <w:rFonts w:ascii="Times New Roman" w:hAnsi="Times New Roman"/>
                <w:i/>
              </w:rPr>
              <w:t xml:space="preserve"> III. piliera, ktorých by sa zavedenie dávky preddôchodok mohlo dotknúť v najbližších rokoch, je uvedený v časti 4.1. analýzy sociálnych vplyvov („</w:t>
            </w:r>
            <w:r w:rsidRPr="00811660" w:rsidR="00811660">
              <w:rPr>
                <w:rFonts w:ascii="Times New Roman" w:hAnsi="Times New Roman"/>
                <w:i/>
              </w:rPr>
              <w:t>V najbližších rokoch by sa mal počet účastníkov III. piliera, ktorých sa bude priamo týkať možnosť poberania preddôchodku, pohybovať cca okolo 26 000.</w:t>
            </w:r>
            <w:r w:rsidR="00811660">
              <w:rPr>
                <w:rFonts w:ascii="Times New Roman" w:hAnsi="Times New Roman"/>
                <w:i/>
              </w:rPr>
              <w:t>“), na čo upozorňujeme aj v analýze dopadov na verejné financie (v časti 2.2.4.2.). Uvedený počet osôb bol stanovený na základe individuálnych dát o </w:t>
            </w:r>
            <w:r w:rsidR="004354BB">
              <w:rPr>
                <w:rFonts w:ascii="Times New Roman" w:hAnsi="Times New Roman"/>
                <w:i/>
              </w:rPr>
              <w:t>účastníkoch</w:t>
            </w:r>
            <w:r w:rsidR="00811660">
              <w:rPr>
                <w:rFonts w:ascii="Times New Roman" w:hAnsi="Times New Roman"/>
                <w:i/>
              </w:rPr>
              <w:t xml:space="preserve"> v III. pilieri a to nasledovne</w:t>
            </w:r>
            <w:r w:rsidRPr="00811660" w:rsidR="007B2225">
              <w:rPr>
                <w:rFonts w:ascii="Times New Roman" w:hAnsi="Times New Roman"/>
                <w:i/>
              </w:rPr>
              <w:t>: odhadli sme nasporenú sumu, ktorú by účastník mal na svojom účte v rokoch 2019 a 2020. Na základe nasporenej sumy sme určili počet mesiacov, v ktorých by preddôchodok účastník mohol poberať a to v minimálnej výške. Na základe počtu mesiacov, na ktoré by účastníkovi nasporená suma v minimálnej výške vystačila a počtu mesiacov, ktoré mu ostávajú do dosiahnutia dôchodkového veku (nezohľadňovali sme individuálny dôchodkový vek</w:t>
            </w:r>
            <w:r w:rsidR="00811660">
              <w:rPr>
                <w:rFonts w:ascii="Times New Roman" w:hAnsi="Times New Roman"/>
                <w:i/>
              </w:rPr>
              <w:t xml:space="preserve"> z rovnakých dôvodov ako uvádzame vyššie – neexistencia prepojenia individuálnych dát z I. a III. piliera + uvedená informácia neexistuje, pokiaľ dotyčná osoba nepožiada o dôchodok z I. alebo II. piliera</w:t>
            </w:r>
            <w:r w:rsidRPr="00811660" w:rsidR="007B2225">
              <w:rPr>
                <w:rFonts w:ascii="Times New Roman" w:hAnsi="Times New Roman"/>
                <w:i/>
              </w:rPr>
              <w:t xml:space="preserve">) sme vypočítali maximálny počet osôb, ktorých sa preddôchodok môže dotknúť v rokoch 2019 a 2020. </w:t>
            </w:r>
          </w:p>
          <w:p w:rsidR="00584E61" w:rsidP="00510DCE">
            <w:pPr>
              <w:bidi w:val="0"/>
              <w:ind w:right="-2"/>
              <w:jc w:val="both"/>
              <w:rPr>
                <w:rFonts w:ascii="Times New Roman" w:hAnsi="Times New Roman"/>
              </w:rPr>
            </w:pPr>
          </w:p>
          <w:p w:rsidR="00510DCE" w:rsidRPr="002C5ABE" w:rsidP="00510DCE">
            <w:pPr>
              <w:bidi w:val="0"/>
              <w:ind w:right="-2"/>
              <w:jc w:val="both"/>
              <w:rPr>
                <w:rFonts w:ascii="Times New Roman" w:hAnsi="Times New Roman"/>
                <w:i/>
              </w:rPr>
            </w:pPr>
            <w:r w:rsidRPr="002C5ABE" w:rsidR="00811660">
              <w:rPr>
                <w:rFonts w:ascii="Times New Roman" w:hAnsi="Times New Roman"/>
                <w:i/>
              </w:rPr>
              <w:t xml:space="preserve">Čo sa týka požiadavky </w:t>
            </w:r>
            <w:r w:rsidR="002C5ABE">
              <w:rPr>
                <w:rFonts w:ascii="Times New Roman" w:hAnsi="Times New Roman"/>
                <w:i/>
              </w:rPr>
              <w:t xml:space="preserve">určenia </w:t>
            </w:r>
            <w:r w:rsidRPr="002C5ABE" w:rsidR="00811660">
              <w:rPr>
                <w:rFonts w:ascii="Times New Roman" w:hAnsi="Times New Roman"/>
                <w:i/>
              </w:rPr>
              <w:t xml:space="preserve">záujmu </w:t>
            </w:r>
            <w:r w:rsidR="004354BB">
              <w:rPr>
                <w:rFonts w:ascii="Times New Roman" w:hAnsi="Times New Roman"/>
                <w:i/>
              </w:rPr>
              <w:t>osôb</w:t>
            </w:r>
            <w:r w:rsidRPr="002C5ABE" w:rsidR="00811660">
              <w:rPr>
                <w:rFonts w:ascii="Times New Roman" w:hAnsi="Times New Roman"/>
                <w:i/>
              </w:rPr>
              <w:t xml:space="preserve"> o dávku preddôchodok na základe individuálnych dát z III. piliera:  n</w:t>
            </w:r>
            <w:r w:rsidRPr="002C5ABE" w:rsidR="007B2225">
              <w:rPr>
                <w:rFonts w:ascii="Times New Roman" w:hAnsi="Times New Roman"/>
                <w:i/>
              </w:rPr>
              <w:t>a základe individuálnych údajov n</w:t>
            </w:r>
            <w:r w:rsidRPr="002C5ABE" w:rsidR="00061DF2">
              <w:rPr>
                <w:rFonts w:ascii="Times New Roman" w:hAnsi="Times New Roman"/>
                <w:i/>
              </w:rPr>
              <w:t>ie je možné</w:t>
            </w:r>
            <w:r w:rsidRPr="002C5ABE" w:rsidR="007B2225">
              <w:rPr>
                <w:rFonts w:ascii="Times New Roman" w:hAnsi="Times New Roman"/>
                <w:i/>
              </w:rPr>
              <w:t xml:space="preserve"> </w:t>
            </w:r>
            <w:r w:rsidR="002C5ABE">
              <w:rPr>
                <w:rFonts w:ascii="Times New Roman" w:hAnsi="Times New Roman"/>
                <w:i/>
              </w:rPr>
              <w:t xml:space="preserve">zodpovedne </w:t>
            </w:r>
            <w:r w:rsidRPr="002C5ABE" w:rsidR="007B2225">
              <w:rPr>
                <w:rFonts w:ascii="Times New Roman" w:hAnsi="Times New Roman"/>
                <w:i/>
              </w:rPr>
              <w:t xml:space="preserve">určiť preferenciu účastníkov poberať túto dávku z III. piliera ani preferenciu čo sa týka zvýšenia mesačnej splátky preddôchodku na úkor skrátenia obdobia poberania tejto dávky. </w:t>
            </w:r>
            <w:r w:rsidRPr="002C5ABE" w:rsidR="00061DF2">
              <w:rPr>
                <w:rFonts w:ascii="Times New Roman" w:hAnsi="Times New Roman"/>
                <w:i/>
              </w:rPr>
              <w:t>Keďže podobná dávka v systéme doplnkového dôchodkového sporenia ešte nebola zavedená</w:t>
            </w:r>
            <w:r w:rsidRPr="002C5ABE" w:rsidR="0083682E">
              <w:rPr>
                <w:rFonts w:ascii="Times New Roman" w:hAnsi="Times New Roman"/>
                <w:i/>
              </w:rPr>
              <w:t>,</w:t>
            </w:r>
            <w:r w:rsidRPr="002C5ABE" w:rsidR="00061DF2">
              <w:rPr>
                <w:rFonts w:ascii="Times New Roman" w:hAnsi="Times New Roman"/>
                <w:i/>
              </w:rPr>
              <w:t xml:space="preserve"> </w:t>
            </w:r>
            <w:r w:rsidRPr="002C5ABE" w:rsidR="00811660">
              <w:rPr>
                <w:rFonts w:ascii="Times New Roman" w:hAnsi="Times New Roman"/>
                <w:i/>
              </w:rPr>
              <w:t xml:space="preserve">individuálne dáta o </w:t>
            </w:r>
            <w:r w:rsidR="004354BB">
              <w:rPr>
                <w:rFonts w:ascii="Times New Roman" w:hAnsi="Times New Roman"/>
                <w:i/>
              </w:rPr>
              <w:t>účastníkoch</w:t>
            </w:r>
            <w:r w:rsidRPr="002C5ABE" w:rsidR="00811660">
              <w:rPr>
                <w:rFonts w:ascii="Times New Roman" w:hAnsi="Times New Roman"/>
                <w:i/>
              </w:rPr>
              <w:t xml:space="preserve"> z III. piliera neobsahujú žiaden spoľahlivý indikátor správani</w:t>
            </w:r>
            <w:r w:rsidR="002C5ABE">
              <w:rPr>
                <w:rFonts w:ascii="Times New Roman" w:hAnsi="Times New Roman"/>
                <w:i/>
              </w:rPr>
              <w:t>a</w:t>
            </w:r>
            <w:r w:rsidRPr="002C5ABE" w:rsidR="00811660">
              <w:rPr>
                <w:rFonts w:ascii="Times New Roman" w:hAnsi="Times New Roman"/>
                <w:i/>
              </w:rPr>
              <w:t xml:space="preserve"> </w:t>
            </w:r>
            <w:r w:rsidR="004354BB">
              <w:rPr>
                <w:rFonts w:ascii="Times New Roman" w:hAnsi="Times New Roman"/>
                <w:i/>
              </w:rPr>
              <w:t>účastníkov</w:t>
            </w:r>
            <w:r w:rsidRPr="002C5ABE" w:rsidR="00811660">
              <w:rPr>
                <w:rFonts w:ascii="Times New Roman" w:hAnsi="Times New Roman"/>
                <w:i/>
              </w:rPr>
              <w:t xml:space="preserve">, na základe ktorého by bolo možné ich záujem o preddôchodok realisticky odhadnúť. </w:t>
            </w:r>
            <w:r w:rsidRPr="002C5ABE" w:rsidR="002C5ABE">
              <w:rPr>
                <w:rFonts w:ascii="Times New Roman" w:hAnsi="Times New Roman"/>
                <w:i/>
              </w:rPr>
              <w:t>Ak by sme vychádzali z dát o poistencoch (I. pilier) žiadajúcich o predčasný starobný dôchodok (o predčasný starobný dôchodok a  o starobný dôchodok</w:t>
            </w:r>
            <w:r w:rsidR="002C5ABE">
              <w:rPr>
                <w:rFonts w:ascii="Times New Roman" w:hAnsi="Times New Roman"/>
                <w:i/>
              </w:rPr>
              <w:t xml:space="preserve"> žiadajú poistenci v pomere 1:2</w:t>
            </w:r>
            <w:r w:rsidRPr="002C5ABE" w:rsidR="002C5ABE">
              <w:rPr>
                <w:rFonts w:ascii="Times New Roman" w:hAnsi="Times New Roman"/>
                <w:i/>
              </w:rPr>
              <w:t xml:space="preserve">), z 26 000 osôb, uvedených vyššie, by o preddôchodok mohlo mať v najbližších rokoch záujem približne 8 700 osôb.  </w:t>
            </w:r>
          </w:p>
          <w:p w:rsidR="00510DCE" w:rsidRPr="00510DCE" w:rsidP="00510DCE">
            <w:pPr>
              <w:bidi w:val="0"/>
              <w:ind w:right="-2"/>
              <w:jc w:val="both"/>
              <w:rPr>
                <w:rFonts w:ascii="Times New Roman" w:hAnsi="Times New Roman"/>
              </w:rPr>
            </w:pPr>
          </w:p>
          <w:p w:rsidR="00510DCE" w:rsidRPr="00510DCE" w:rsidP="00510DCE">
            <w:pPr>
              <w:bidi w:val="0"/>
              <w:ind w:right="-2"/>
              <w:jc w:val="both"/>
              <w:rPr>
                <w:rFonts w:ascii="Times New Roman" w:hAnsi="Times New Roman"/>
              </w:rPr>
            </w:pPr>
          </w:p>
          <w:p w:rsidR="00510DCE" w:rsidP="00510DCE">
            <w:pPr>
              <w:bidi w:val="0"/>
              <w:ind w:right="-2"/>
              <w:jc w:val="both"/>
              <w:rPr>
                <w:rFonts w:ascii="Times New Roman" w:hAnsi="Times New Roman"/>
              </w:rPr>
            </w:pPr>
            <w:r w:rsidRPr="00FD3FFA">
              <w:rPr>
                <w:rFonts w:ascii="Times New Roman" w:hAnsi="Times New Roman"/>
              </w:rPr>
              <w:t>Komisia žiada</w:t>
            </w:r>
            <w:r w:rsidRPr="00510DCE">
              <w:rPr>
                <w:rFonts w:ascii="Times New Roman" w:hAnsi="Times New Roman"/>
              </w:rPr>
              <w:t>, aby vplyvy na rozpočet verejnej správy boli kvantifikované nielen do roku 2020, ale aj z pohľadu dlhodobej rovnováhy III. piliera. V budúcnosti môže počet účastníkov III. piliera, relatívne k počtu všetkých zamestnaných (resp. relatívne k celej populácii), stále narastať, čo by spôsobilo aj nárast výpadkov na daniach a odvodoch, až kým by sa systém nedostal do dlhodobej rovnováhy. Napr. doložka sociálnych vplyvov síce konštatuje, že možnosť poberania preddôchodku by sa v najbližších rokoch mala týkať asi 26 tisíc osôb, ale chýba odhad, koľkých sa bude týkať o 10 až 20 rokov.</w:t>
            </w:r>
          </w:p>
          <w:p w:rsidR="002C5ABE" w:rsidP="00510DCE">
            <w:pPr>
              <w:bidi w:val="0"/>
              <w:ind w:right="-2"/>
              <w:jc w:val="both"/>
              <w:rPr>
                <w:rFonts w:ascii="Times New Roman" w:hAnsi="Times New Roman"/>
              </w:rPr>
            </w:pPr>
          </w:p>
          <w:p w:rsidR="000F6D74" w:rsidRPr="00581753" w:rsidP="00510DCE">
            <w:pPr>
              <w:bidi w:val="0"/>
              <w:ind w:right="-2"/>
              <w:jc w:val="both"/>
              <w:rPr>
                <w:rFonts w:ascii="Times New Roman" w:hAnsi="Times New Roman"/>
                <w:b/>
                <w:i/>
              </w:rPr>
            </w:pPr>
            <w:r w:rsidRPr="00581753" w:rsidR="00510DCE">
              <w:rPr>
                <w:rFonts w:ascii="Times New Roman" w:hAnsi="Times New Roman"/>
                <w:b/>
                <w:i/>
              </w:rPr>
              <w:t>Stanovisko MPSVR SR:</w:t>
            </w:r>
            <w:r w:rsidRPr="00581753" w:rsidR="00061DF2">
              <w:rPr>
                <w:rFonts w:ascii="Times New Roman" w:hAnsi="Times New Roman"/>
                <w:b/>
                <w:i/>
              </w:rPr>
              <w:t xml:space="preserve"> </w:t>
            </w:r>
          </w:p>
          <w:p w:rsidR="000F6D74" w:rsidP="00510DCE">
            <w:pPr>
              <w:bidi w:val="0"/>
              <w:ind w:right="-2"/>
              <w:jc w:val="both"/>
              <w:rPr>
                <w:rFonts w:ascii="Times New Roman" w:hAnsi="Times New Roman"/>
                <w:i/>
              </w:rPr>
            </w:pPr>
            <w:r w:rsidRPr="00581753" w:rsidR="00581753">
              <w:rPr>
                <w:rFonts w:ascii="Times New Roman" w:hAnsi="Times New Roman"/>
                <w:i/>
              </w:rPr>
              <w:t>V analýze vplyvov na verejné financie, ako aj v </w:t>
            </w:r>
            <w:r w:rsidRPr="00581753">
              <w:rPr>
                <w:rFonts w:ascii="Times New Roman" w:hAnsi="Times New Roman"/>
                <w:i/>
              </w:rPr>
              <w:t>metodick</w:t>
            </w:r>
            <w:r w:rsidRPr="00581753" w:rsidR="00581753">
              <w:rPr>
                <w:rFonts w:ascii="Times New Roman" w:hAnsi="Times New Roman"/>
                <w:i/>
              </w:rPr>
              <w:t>om</w:t>
            </w:r>
            <w:r w:rsidRPr="00581753">
              <w:rPr>
                <w:rFonts w:ascii="Times New Roman" w:hAnsi="Times New Roman"/>
                <w:i/>
              </w:rPr>
              <w:t xml:space="preserve"> postup</w:t>
            </w:r>
            <w:r w:rsidRPr="00581753" w:rsidR="00581753">
              <w:rPr>
                <w:rFonts w:ascii="Times New Roman" w:hAnsi="Times New Roman"/>
                <w:i/>
              </w:rPr>
              <w:t>e</w:t>
            </w:r>
            <w:r w:rsidRPr="00581753">
              <w:rPr>
                <w:rFonts w:ascii="Times New Roman" w:hAnsi="Times New Roman"/>
                <w:i/>
              </w:rPr>
              <w:t xml:space="preserve"> pre analýzu vplyvov na rozpočet verejnej správy</w:t>
            </w:r>
            <w:r w:rsidRPr="00581753" w:rsidR="00581753">
              <w:rPr>
                <w:rFonts w:ascii="Times New Roman" w:hAnsi="Times New Roman"/>
                <w:i/>
              </w:rPr>
              <w:t xml:space="preserve"> </w:t>
            </w:r>
            <w:r w:rsidRPr="00581753">
              <w:rPr>
                <w:rFonts w:ascii="Times New Roman" w:hAnsi="Times New Roman"/>
                <w:i/>
              </w:rPr>
              <w:t xml:space="preserve">nevyplýva </w:t>
            </w:r>
            <w:r w:rsidRPr="00581753" w:rsidR="00492716">
              <w:rPr>
                <w:rFonts w:ascii="Times New Roman" w:hAnsi="Times New Roman"/>
                <w:i/>
              </w:rPr>
              <w:t xml:space="preserve">požiadavka </w:t>
            </w:r>
            <w:r w:rsidRPr="00581753">
              <w:rPr>
                <w:rFonts w:ascii="Times New Roman" w:hAnsi="Times New Roman"/>
                <w:i/>
              </w:rPr>
              <w:t>kvantifikácie vplyvov na rozpočet verejnej správy po roku 2020.</w:t>
            </w:r>
            <w:r w:rsidRPr="00581753" w:rsidR="00581753">
              <w:rPr>
                <w:rFonts w:ascii="Times New Roman" w:hAnsi="Times New Roman"/>
                <w:i/>
              </w:rPr>
              <w:t xml:space="preserve"> Naopak, v metodickom postupe je jasne uvedené, že: „Údaje sa uvádzajú za bežný rok a tri nasledujúce roky.“.</w:t>
            </w:r>
            <w:r w:rsidRPr="00581753">
              <w:rPr>
                <w:rFonts w:ascii="Times New Roman" w:hAnsi="Times New Roman"/>
                <w:i/>
              </w:rPr>
              <w:t xml:space="preserve"> </w:t>
            </w:r>
            <w:r w:rsidR="00581753">
              <w:rPr>
                <w:rFonts w:ascii="Times New Roman" w:hAnsi="Times New Roman"/>
                <w:i/>
              </w:rPr>
              <w:t>Z uvedeného dôvodu možno považovať pripomienku ako nesúladnú s požiadavkami Jednotnej metodiky na posudzovanie vybraných vplyvov.</w:t>
            </w:r>
          </w:p>
          <w:p w:rsidR="00581753" w:rsidP="00510DCE">
            <w:pPr>
              <w:bidi w:val="0"/>
              <w:ind w:right="-2"/>
              <w:jc w:val="both"/>
              <w:rPr>
                <w:rFonts w:ascii="Times New Roman" w:hAnsi="Times New Roman"/>
                <w:i/>
              </w:rPr>
            </w:pPr>
          </w:p>
          <w:p w:rsidR="00581753" w:rsidP="00510DCE">
            <w:pPr>
              <w:bidi w:val="0"/>
              <w:ind w:right="-2"/>
              <w:jc w:val="both"/>
              <w:rPr>
                <w:rFonts w:ascii="Times New Roman" w:hAnsi="Times New Roman"/>
                <w:i/>
              </w:rPr>
            </w:pPr>
            <w:r>
              <w:rPr>
                <w:rFonts w:ascii="Times New Roman" w:hAnsi="Times New Roman"/>
                <w:i/>
              </w:rPr>
              <w:t xml:space="preserve">Predkladateľ novely zákona si plne uvedomuje dôležitosť kvantifikácie dopadov na verejné financie v dlhodobom horizonte  (pokiaľ zmena politík takéto dopady zakladá) a sám zapracovanie takejto úpravy Jednotnej metodiky opakovane odporúčal. V prípade, že by bolo možné na základe dostupných údajov realisticky odhadnúť dopady predkladanej novely na verejné financie v dlhodobom horizonte, predkladateľ by tak učinil aj nad rámec požiadaviek Jednotnej metodiky – obdobne ako pri iných </w:t>
            </w:r>
            <w:r w:rsidR="004354BB">
              <w:rPr>
                <w:rFonts w:ascii="Times New Roman" w:hAnsi="Times New Roman"/>
                <w:i/>
              </w:rPr>
              <w:t xml:space="preserve">ním predkladaných </w:t>
            </w:r>
            <w:r>
              <w:rPr>
                <w:rFonts w:ascii="Times New Roman" w:hAnsi="Times New Roman"/>
                <w:i/>
              </w:rPr>
              <w:t xml:space="preserve">novelách </w:t>
            </w:r>
            <w:r w:rsidR="004354BB">
              <w:rPr>
                <w:rFonts w:ascii="Times New Roman" w:hAnsi="Times New Roman"/>
                <w:i/>
              </w:rPr>
              <w:t>(</w:t>
            </w:r>
            <w:r>
              <w:rPr>
                <w:rFonts w:ascii="Times New Roman" w:hAnsi="Times New Roman"/>
                <w:i/>
              </w:rPr>
              <w:t xml:space="preserve">z oblasti </w:t>
            </w:r>
            <w:r w:rsidR="004354BB">
              <w:rPr>
                <w:rFonts w:ascii="Times New Roman" w:hAnsi="Times New Roman"/>
                <w:i/>
              </w:rPr>
              <w:t xml:space="preserve">sociálneho poistenia). Vzhľadom na to, že: i) dopady predkladanej novely ovplyvňuje veľké množstvo behaviorálnych aspektov, ii) skutočnosť, že väčšina účastníkov si stále sporí na základe účastníckych zmlúv, ktorých súčasťou sú dávkové plány (umožňujúce značne flexibilné čerpanie úspor v III. pilieri), iii) ako aj množstvo ďalších súvisiacich faktorov, ktorých vývoj nemožno </w:t>
            </w:r>
            <w:r w:rsidR="00FD3FFA">
              <w:rPr>
                <w:rFonts w:ascii="Times New Roman" w:hAnsi="Times New Roman"/>
                <w:i/>
              </w:rPr>
              <w:t xml:space="preserve">v strednodobom - dlhodobom horizonte </w:t>
            </w:r>
            <w:r w:rsidR="004354BB">
              <w:rPr>
                <w:rFonts w:ascii="Times New Roman" w:hAnsi="Times New Roman"/>
                <w:i/>
              </w:rPr>
              <w:t>spoľahlivo predikovať, požiadavk</w:t>
            </w:r>
            <w:r w:rsidR="002310D8">
              <w:rPr>
                <w:rFonts w:ascii="Times New Roman" w:hAnsi="Times New Roman"/>
                <w:i/>
              </w:rPr>
              <w:t>e</w:t>
            </w:r>
            <w:r w:rsidR="004354BB">
              <w:rPr>
                <w:rFonts w:ascii="Times New Roman" w:hAnsi="Times New Roman"/>
                <w:i/>
              </w:rPr>
              <w:t xml:space="preserve"> kvantifikácie </w:t>
            </w:r>
            <w:r w:rsidR="002310D8">
              <w:rPr>
                <w:rFonts w:ascii="Times New Roman" w:hAnsi="Times New Roman"/>
                <w:i/>
              </w:rPr>
              <w:t>dopadov novely v horizonte niekoľkých dekád nemožno pri súčasnom poznaní stavu vyhovieť tak, aby predložená kvantifikácia ponúkala reálnu pridanú hodnotu.</w:t>
            </w:r>
          </w:p>
          <w:p w:rsidR="00581753" w:rsidP="00510DCE">
            <w:pPr>
              <w:bidi w:val="0"/>
              <w:ind w:right="-2"/>
              <w:jc w:val="both"/>
              <w:rPr>
                <w:rFonts w:ascii="Times New Roman" w:hAnsi="Times New Roman"/>
                <w:i/>
              </w:rPr>
            </w:pPr>
          </w:p>
          <w:p w:rsidR="00581753" w:rsidRPr="00581753" w:rsidP="00510DCE">
            <w:pPr>
              <w:bidi w:val="0"/>
              <w:ind w:right="-2"/>
              <w:jc w:val="both"/>
              <w:rPr>
                <w:rFonts w:ascii="Times New Roman" w:hAnsi="Times New Roman"/>
                <w:i/>
              </w:rPr>
            </w:pPr>
          </w:p>
          <w:p w:rsidR="00510DCE" w:rsidRPr="00510DCE" w:rsidP="00510DCE">
            <w:pPr>
              <w:bidi w:val="0"/>
              <w:ind w:right="-2"/>
              <w:jc w:val="both"/>
              <w:rPr>
                <w:rFonts w:ascii="Times New Roman" w:hAnsi="Times New Roman"/>
              </w:rPr>
            </w:pPr>
          </w:p>
          <w:p w:rsidR="00510DCE" w:rsidRPr="00510DCE" w:rsidP="00510DCE">
            <w:pPr>
              <w:bidi w:val="0"/>
              <w:ind w:right="-2"/>
              <w:jc w:val="both"/>
              <w:rPr>
                <w:rFonts w:ascii="Times New Roman" w:hAnsi="Times New Roman"/>
              </w:rPr>
            </w:pPr>
            <w:r w:rsidRPr="00510DCE">
              <w:rPr>
                <w:rFonts w:ascii="Times New Roman" w:hAnsi="Times New Roman"/>
                <w:b/>
              </w:rPr>
              <w:t>III. Záver:</w:t>
            </w:r>
            <w:r w:rsidRPr="00510DCE">
              <w:rPr>
                <w:rFonts w:ascii="Times New Roman" w:hAnsi="Times New Roman"/>
              </w:rPr>
              <w:t xml:space="preserve"> Stála pracovná komisia na posudzovanie vybraných vplyvov vyjadruje </w:t>
            </w:r>
          </w:p>
          <w:p w:rsidR="00510DCE" w:rsidRPr="00510DCE" w:rsidP="00510DCE">
            <w:pPr>
              <w:tabs>
                <w:tab w:val="center" w:pos="6379"/>
              </w:tabs>
              <w:bidi w:val="0"/>
              <w:ind w:right="-2"/>
              <w:jc w:val="both"/>
              <w:rPr>
                <w:rFonts w:ascii="Times New Roman" w:hAnsi="Times New Roman"/>
              </w:rPr>
            </w:pPr>
          </w:p>
          <w:p w:rsidR="00510DCE" w:rsidRPr="00510DCE" w:rsidP="00510DCE">
            <w:pPr>
              <w:tabs>
                <w:tab w:val="center" w:pos="6379"/>
              </w:tabs>
              <w:bidi w:val="0"/>
              <w:ind w:right="-2"/>
              <w:jc w:val="center"/>
              <w:rPr>
                <w:rFonts w:ascii="Times New Roman" w:hAnsi="Times New Roman"/>
              </w:rPr>
            </w:pPr>
          </w:p>
          <w:p w:rsidR="00510DCE" w:rsidRPr="00510DCE" w:rsidP="00510DCE">
            <w:pPr>
              <w:tabs>
                <w:tab w:val="center" w:pos="6379"/>
              </w:tabs>
              <w:bidi w:val="0"/>
              <w:ind w:right="-2"/>
              <w:jc w:val="center"/>
              <w:rPr>
                <w:rFonts w:ascii="Times New Roman" w:hAnsi="Times New Roman"/>
                <w:b/>
              </w:rPr>
            </w:pPr>
            <w:r w:rsidRPr="00510DCE">
              <w:rPr>
                <w:rFonts w:ascii="Times New Roman" w:hAnsi="Times New Roman"/>
                <w:b/>
              </w:rPr>
              <w:t>nesúhlasné stanovisko</w:t>
            </w:r>
          </w:p>
          <w:p w:rsidR="00510DCE" w:rsidRPr="00510DCE" w:rsidP="00510DCE">
            <w:pPr>
              <w:tabs>
                <w:tab w:val="center" w:pos="6379"/>
              </w:tabs>
              <w:bidi w:val="0"/>
              <w:ind w:right="-2"/>
              <w:jc w:val="both"/>
              <w:rPr>
                <w:rFonts w:ascii="Times New Roman" w:hAnsi="Times New Roman"/>
              </w:rPr>
            </w:pPr>
          </w:p>
          <w:p w:rsidR="00510DCE" w:rsidRPr="00510DCE" w:rsidP="00510DCE">
            <w:pPr>
              <w:tabs>
                <w:tab w:val="center" w:pos="6379"/>
              </w:tabs>
              <w:bidi w:val="0"/>
              <w:ind w:right="-2"/>
              <w:jc w:val="both"/>
              <w:rPr>
                <w:rFonts w:ascii="Times New Roman" w:hAnsi="Times New Roman"/>
              </w:rPr>
            </w:pPr>
          </w:p>
          <w:p w:rsidR="00510DCE" w:rsidRPr="00510DCE" w:rsidP="00510DCE">
            <w:pPr>
              <w:tabs>
                <w:tab w:val="center" w:pos="6379"/>
              </w:tabs>
              <w:bidi w:val="0"/>
              <w:ind w:right="-2"/>
              <w:jc w:val="both"/>
              <w:rPr>
                <w:rFonts w:ascii="Times New Roman" w:hAnsi="Times New Roman"/>
              </w:rPr>
            </w:pPr>
            <w:r w:rsidRPr="00510DCE">
              <w:rPr>
                <w:rFonts w:ascii="Times New Roman" w:hAnsi="Times New Roman"/>
              </w:rPr>
              <w:t xml:space="preserve">s materiálom predloženým na predbežné pripomienkové konanie s odporúčaním na jeho dopracovanie podľa pripomienok v bode II.  </w:t>
            </w:r>
          </w:p>
          <w:p w:rsidR="00510DCE" w:rsidRPr="00510DCE" w:rsidP="00510DCE">
            <w:pPr>
              <w:tabs>
                <w:tab w:val="center" w:pos="6379"/>
              </w:tabs>
              <w:bidi w:val="0"/>
              <w:ind w:right="-2"/>
              <w:jc w:val="both"/>
              <w:rPr>
                <w:rFonts w:ascii="Times New Roman" w:hAnsi="Times New Roman"/>
              </w:rPr>
            </w:pPr>
          </w:p>
          <w:p w:rsidR="00510DCE" w:rsidRPr="00510DCE" w:rsidP="00510DCE">
            <w:pPr>
              <w:tabs>
                <w:tab w:val="center" w:pos="6379"/>
              </w:tabs>
              <w:bidi w:val="0"/>
              <w:ind w:right="-2"/>
              <w:jc w:val="both"/>
              <w:rPr>
                <w:rFonts w:ascii="Times New Roman" w:hAnsi="Times New Roman"/>
              </w:rPr>
            </w:pPr>
            <w:r w:rsidRPr="00510DCE">
              <w:rPr>
                <w:rFonts w:ascii="Times New Roman" w:hAnsi="Times New Roman"/>
                <w:b/>
              </w:rPr>
              <w:t>IV. Poznámka:</w:t>
            </w:r>
            <w:r w:rsidRPr="00510DCE">
              <w:rPr>
                <w:rFonts w:ascii="Times New Roman" w:hAnsi="Times New Roman"/>
              </w:rPr>
              <w:t xml:space="preserve"> Predkladateľ zapracuje pripomienky a odporúčania na úpravu uvedené v bode II a uvedie stanovisko Komisie do Doložky vybraných vplyvov spolu s vyhodnotením pripomienok.</w:t>
            </w:r>
          </w:p>
          <w:p w:rsidR="00510DCE" w:rsidRPr="00510DCE" w:rsidP="00510DCE">
            <w:pPr>
              <w:tabs>
                <w:tab w:val="center" w:pos="6379"/>
              </w:tabs>
              <w:bidi w:val="0"/>
              <w:ind w:right="-2"/>
              <w:jc w:val="both"/>
              <w:rPr>
                <w:rFonts w:ascii="Times New Roman" w:hAnsi="Times New Roman"/>
              </w:rPr>
            </w:pPr>
          </w:p>
          <w:p w:rsidR="00510DCE" w:rsidP="00510DCE">
            <w:pPr>
              <w:tabs>
                <w:tab w:val="center" w:pos="6379"/>
              </w:tabs>
              <w:bidi w:val="0"/>
              <w:ind w:right="-2"/>
              <w:jc w:val="both"/>
              <w:rPr>
                <w:rFonts w:ascii="Times New Roman" w:hAnsi="Times New Roman"/>
              </w:rPr>
            </w:pPr>
            <w:r w:rsidRPr="00510DCE">
              <w:rPr>
                <w:rFonts w:ascii="Times New Roman" w:hAnsi="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6D22FE" w:rsidP="00510DCE">
            <w:pPr>
              <w:tabs>
                <w:tab w:val="center" w:pos="6379"/>
              </w:tabs>
              <w:bidi w:val="0"/>
              <w:ind w:right="-2"/>
              <w:jc w:val="both"/>
              <w:rPr>
                <w:rFonts w:ascii="Times New Roman" w:hAnsi="Times New Roman"/>
              </w:rPr>
            </w:pPr>
          </w:p>
          <w:p w:rsidR="006D22FE" w:rsidP="00510DCE">
            <w:pPr>
              <w:tabs>
                <w:tab w:val="center" w:pos="6379"/>
              </w:tabs>
              <w:bidi w:val="0"/>
              <w:ind w:right="-2"/>
              <w:jc w:val="both"/>
              <w:rPr>
                <w:rFonts w:ascii="Times New Roman" w:hAnsi="Times New Roman"/>
              </w:rPr>
            </w:pPr>
          </w:p>
          <w:p w:rsidR="001033F8" w:rsidRPr="001033F8" w:rsidP="006D22FE">
            <w:pPr>
              <w:pStyle w:val="Heading4"/>
              <w:bidi w:val="0"/>
              <w:ind w:left="0" w:firstLine="0"/>
              <w:rPr>
                <w:rFonts w:ascii="Times New Roman" w:hAnsi="Times New Roman"/>
                <w:sz w:val="18"/>
              </w:rPr>
            </w:pPr>
          </w:p>
          <w:p w:rsidR="001033F8" w:rsidRPr="001033F8" w:rsidP="006D22FE">
            <w:pPr>
              <w:pStyle w:val="Heading4"/>
              <w:bidi w:val="0"/>
              <w:ind w:left="0" w:firstLine="0"/>
              <w:rPr>
                <w:rFonts w:ascii="Times New Roman" w:hAnsi="Times New Roman"/>
                <w:sz w:val="18"/>
              </w:rPr>
            </w:pPr>
          </w:p>
          <w:p w:rsidR="006D22FE" w:rsidRPr="006D22FE" w:rsidP="006D22FE">
            <w:pPr>
              <w:pStyle w:val="Heading4"/>
              <w:bidi w:val="0"/>
              <w:ind w:left="0" w:firstLine="0"/>
              <w:rPr>
                <w:rFonts w:ascii="Times New Roman" w:hAnsi="Times New Roman"/>
                <w:sz w:val="18"/>
              </w:rPr>
            </w:pPr>
            <w:r w:rsidRPr="006D22FE">
              <w:rPr>
                <w:rFonts w:ascii="Times New Roman" w:hAnsi="Times New Roman"/>
                <w:spacing w:val="20"/>
                <w:sz w:val="24"/>
              </w:rPr>
              <w:t>stanovisko komisie</w:t>
            </w:r>
            <w:r w:rsidRPr="006D22FE">
              <w:rPr>
                <w:rFonts w:ascii="Times New Roman" w:hAnsi="Times New Roman"/>
                <w:sz w:val="18"/>
              </w:rPr>
              <w:t xml:space="preserve"> </w:t>
            </w:r>
            <w:r w:rsidR="00516B9C">
              <w:rPr>
                <w:rFonts w:ascii="Times New Roman" w:hAnsi="Times New Roman"/>
                <w:sz w:val="18"/>
              </w:rPr>
              <w:t>(zo 7.12.2017)</w:t>
            </w:r>
          </w:p>
          <w:p w:rsidR="006D22FE" w:rsidRPr="006D22FE" w:rsidP="006D22FE">
            <w:pPr>
              <w:bidi w:val="0"/>
              <w:ind w:right="-2"/>
              <w:jc w:val="center"/>
              <w:rPr>
                <w:rFonts w:ascii="Times New Roman" w:hAnsi="Times New Roman"/>
                <w:b/>
                <w:smallCaps/>
                <w:sz w:val="18"/>
              </w:rPr>
            </w:pPr>
          </w:p>
          <w:p w:rsidR="006D22FE" w:rsidRPr="006D22FE" w:rsidP="006D22FE">
            <w:pPr>
              <w:bidi w:val="0"/>
              <w:ind w:right="-2"/>
              <w:jc w:val="center"/>
              <w:rPr>
                <w:rFonts w:ascii="Times New Roman" w:hAnsi="Times New Roman"/>
                <w:b/>
                <w:smallCaps/>
                <w:sz w:val="18"/>
              </w:rPr>
            </w:pPr>
            <w:r w:rsidRPr="006D22FE">
              <w:rPr>
                <w:rFonts w:ascii="Times New Roman" w:hAnsi="Times New Roman"/>
                <w:b/>
                <w:smallCaps/>
                <w:sz w:val="18"/>
              </w:rPr>
              <w:t>(záverečné posúdenie)</w:t>
            </w:r>
          </w:p>
          <w:p w:rsidR="006D22FE" w:rsidRPr="006D22FE" w:rsidP="006D22FE">
            <w:pPr>
              <w:bidi w:val="0"/>
              <w:ind w:right="-2"/>
              <w:jc w:val="center"/>
              <w:rPr>
                <w:rFonts w:ascii="Times New Roman" w:hAnsi="Times New Roman"/>
                <w:b/>
                <w:smallCaps/>
                <w:sz w:val="18"/>
              </w:rPr>
            </w:pPr>
          </w:p>
          <w:p w:rsidR="006D22FE" w:rsidRPr="006D22FE" w:rsidP="006D22FE">
            <w:pPr>
              <w:bidi w:val="0"/>
              <w:ind w:right="-2"/>
              <w:jc w:val="center"/>
              <w:rPr>
                <w:rFonts w:ascii="Times New Roman" w:hAnsi="Times New Roman"/>
                <w:b/>
                <w:smallCaps/>
                <w:sz w:val="18"/>
              </w:rPr>
            </w:pPr>
            <w:r w:rsidRPr="006D22FE">
              <w:rPr>
                <w:rFonts w:ascii="Times New Roman" w:hAnsi="Times New Roman"/>
                <w:b/>
                <w:smallCaps/>
                <w:sz w:val="18"/>
              </w:rPr>
              <w:t>k návrhu</w:t>
            </w:r>
          </w:p>
          <w:p w:rsidR="006D22FE" w:rsidRPr="006D22FE" w:rsidP="006D22FE">
            <w:pPr>
              <w:pBdr>
                <w:bottom w:val="single" w:sz="4" w:space="1" w:color="000000"/>
              </w:pBdr>
              <w:tabs>
                <w:tab w:val="left" w:pos="1185"/>
              </w:tabs>
              <w:bidi w:val="0"/>
              <w:ind w:right="-2"/>
              <w:rPr>
                <w:rFonts w:ascii="Times New Roman" w:hAnsi="Times New Roman"/>
                <w:b/>
                <w:smallCaps/>
                <w:sz w:val="22"/>
                <w:szCs w:val="22"/>
              </w:rPr>
            </w:pPr>
            <w:r w:rsidRPr="006D22FE">
              <w:rPr>
                <w:rFonts w:ascii="Times New Roman" w:hAnsi="Times New Roman"/>
                <w:b/>
                <w:smallCaps/>
                <w:sz w:val="22"/>
                <w:szCs w:val="22"/>
              </w:rPr>
              <w:tab/>
            </w:r>
          </w:p>
          <w:p w:rsidR="006D22FE" w:rsidRPr="006D22FE" w:rsidP="006D22FE">
            <w:pPr>
              <w:pBdr>
                <w:bottom w:val="single" w:sz="4" w:space="1" w:color="000000"/>
              </w:pBdr>
              <w:bidi w:val="0"/>
              <w:ind w:right="-2" w:firstLine="708"/>
              <w:jc w:val="center"/>
              <w:rPr>
                <w:rFonts w:ascii="Times New Roman" w:hAnsi="Times New Roman"/>
                <w:b/>
                <w:smallCaps/>
                <w:szCs w:val="22"/>
              </w:rPr>
            </w:pPr>
            <w:r w:rsidRPr="006D22FE">
              <w:rPr>
                <w:rFonts w:ascii="Times New Roman" w:hAnsi="Times New Roman"/>
                <w:b/>
                <w:smallCaps/>
                <w:szCs w:val="22"/>
              </w:rPr>
              <w:t xml:space="preserve">zákona, ktorým sa mení a dopĺňa zákon č. 650/2004 Z. z. o doplnkovom dôchodkovom sporení a o zmene a doplnení niektorých zákonov v znení neskorších predpisov a ktorým sa menia a dopĺňajú niektoré zákony  </w:t>
            </w:r>
          </w:p>
          <w:p w:rsidR="006D22FE" w:rsidRPr="00057775" w:rsidP="006D22FE">
            <w:pPr>
              <w:pBdr>
                <w:bottom w:val="single" w:sz="4" w:space="1" w:color="000000"/>
              </w:pBdr>
              <w:bidi w:val="0"/>
              <w:ind w:right="-2"/>
              <w:jc w:val="center"/>
              <w:rPr>
                <w:rFonts w:ascii="Arial" w:hAnsi="Arial" w:cs="Arial"/>
                <w:b/>
                <w:smallCaps/>
                <w:sz w:val="22"/>
                <w:szCs w:val="22"/>
              </w:rPr>
            </w:pPr>
          </w:p>
          <w:p w:rsidR="006D22FE" w:rsidRPr="00057775" w:rsidP="006D22FE">
            <w:pPr>
              <w:tabs>
                <w:tab w:val="center" w:pos="6379"/>
              </w:tabs>
              <w:bidi w:val="0"/>
              <w:ind w:right="-2"/>
              <w:rPr>
                <w:rFonts w:ascii="Times New Roman" w:hAnsi="Times New Roman"/>
                <w:sz w:val="24"/>
                <w:szCs w:val="24"/>
              </w:rPr>
            </w:pPr>
          </w:p>
          <w:p w:rsidR="006D22FE" w:rsidRPr="006D22FE" w:rsidP="006D22FE">
            <w:pPr>
              <w:bidi w:val="0"/>
              <w:jc w:val="both"/>
              <w:rPr>
                <w:rFonts w:ascii="Times New Roman" w:hAnsi="Times New Roman"/>
                <w:bCs/>
                <w:szCs w:val="22"/>
              </w:rPr>
            </w:pPr>
            <w:r w:rsidRPr="006D22FE">
              <w:rPr>
                <w:rFonts w:ascii="Times New Roman" w:hAnsi="Times New Roman"/>
                <w:b/>
                <w:bCs/>
                <w:szCs w:val="22"/>
              </w:rPr>
              <w:t xml:space="preserve">I. Úvod: </w:t>
            </w:r>
            <w:r w:rsidRPr="006D22FE">
              <w:rPr>
                <w:rFonts w:ascii="Times New Roman" w:hAnsi="Times New Roman"/>
                <w:bCs/>
                <w:szCs w:val="22"/>
              </w:rPr>
              <w:t xml:space="preserve">Ministerstvo práce, sociálnych vecí a rodiny Slovenskej republiky dňa </w:t>
              <w:br/>
              <w:t>1. decembra 2017 predložilo Stálej pracovnej komisii na posudzovanie vybraných vplyvov (ďalej len „Komisia“)</w:t>
            </w:r>
            <w:r w:rsidRPr="006D22FE">
              <w:rPr>
                <w:rFonts w:ascii="Times New Roman" w:hAnsi="Times New Roman"/>
                <w:bCs/>
                <w:szCs w:val="24"/>
              </w:rPr>
              <w:t xml:space="preserve"> na záverečné posúdenie vybraných vplyvov materiál: „</w:t>
            </w:r>
            <w:r w:rsidRPr="006D22FE">
              <w:rPr>
                <w:rFonts w:ascii="Times New Roman" w:hAnsi="Times New Roman"/>
                <w:i/>
                <w:iCs/>
                <w:szCs w:val="22"/>
              </w:rPr>
              <w:t xml:space="preserve">Návrh zákona, ktorým sa mení a dopĺňa zákon č. 650/2004 Z. z. o doplnkovom dôchodkovom sporení a o zmene a doplnení niektorých zákonov v znení neskorších predpisov a ktorým sa menia a dopĺňajú niektoré zákony“. </w:t>
            </w:r>
            <w:r w:rsidRPr="006D22FE">
              <w:rPr>
                <w:rFonts w:ascii="Times New Roman" w:hAnsi="Times New Roman"/>
                <w:iCs/>
                <w:szCs w:val="22"/>
              </w:rPr>
              <w:t>Materiál predpokladá pozitívno-negatívne vplyvy na rozpočet verejnej správy, ktoré sú rozpočtovo zabezpečené, pozitívno-negatívne vplyvy na podnikateľské prostredie vrátane pozitívnych vplyvov na MSP a pozitívne sociálne vplyvy.</w:t>
            </w:r>
          </w:p>
          <w:p w:rsidR="006D22FE" w:rsidP="006D22FE">
            <w:pPr>
              <w:tabs>
                <w:tab w:val="center" w:pos="6379"/>
              </w:tabs>
              <w:bidi w:val="0"/>
              <w:ind w:right="-2"/>
              <w:jc w:val="both"/>
              <w:rPr>
                <w:rFonts w:ascii="Arial" w:hAnsi="Arial" w:cs="Arial"/>
                <w:bCs/>
                <w:color w:val="FF0000"/>
                <w:sz w:val="24"/>
                <w:szCs w:val="22"/>
              </w:rPr>
            </w:pPr>
          </w:p>
          <w:p w:rsidR="006D22FE" w:rsidRPr="006D22FE" w:rsidP="006D22FE">
            <w:pPr>
              <w:tabs>
                <w:tab w:val="center" w:pos="6379"/>
              </w:tabs>
              <w:bidi w:val="0"/>
              <w:ind w:right="-2"/>
              <w:jc w:val="both"/>
              <w:rPr>
                <w:rFonts w:ascii="Times New Roman" w:hAnsi="Times New Roman"/>
                <w:bCs/>
                <w:szCs w:val="22"/>
              </w:rPr>
            </w:pPr>
            <w:r w:rsidRPr="006D22FE">
              <w:rPr>
                <w:rFonts w:ascii="Times New Roman" w:hAnsi="Times New Roman"/>
                <w:b/>
                <w:bCs/>
                <w:szCs w:val="22"/>
              </w:rPr>
              <w:t>II. P</w:t>
            </w:r>
            <w:r w:rsidRPr="006D22FE">
              <w:rPr>
                <w:rFonts w:ascii="Times New Roman" w:hAnsi="Times New Roman"/>
                <w:b/>
                <w:szCs w:val="22"/>
              </w:rPr>
              <w:t>r</w:t>
            </w:r>
            <w:r w:rsidRPr="006D22FE">
              <w:rPr>
                <w:rFonts w:ascii="Times New Roman" w:hAnsi="Times New Roman"/>
                <w:b/>
                <w:bCs/>
                <w:szCs w:val="22"/>
              </w:rPr>
              <w:t>ipomienky a návrhy zm</w:t>
            </w:r>
            <w:r w:rsidRPr="006D22FE">
              <w:rPr>
                <w:rFonts w:ascii="Times New Roman" w:hAnsi="Times New Roman"/>
                <w:b/>
                <w:szCs w:val="22"/>
              </w:rPr>
              <w:t>ie</w:t>
            </w:r>
            <w:r w:rsidRPr="006D22FE">
              <w:rPr>
                <w:rFonts w:ascii="Times New Roman" w:hAnsi="Times New Roman"/>
                <w:b/>
                <w:bCs/>
                <w:szCs w:val="22"/>
              </w:rPr>
              <w:t xml:space="preserve">n: </w:t>
            </w:r>
            <w:r w:rsidRPr="006D22FE">
              <w:rPr>
                <w:rFonts w:ascii="Times New Roman" w:hAnsi="Times New Roman"/>
                <w:bCs/>
                <w:szCs w:val="22"/>
              </w:rPr>
              <w:t>Komisia uplatňuje k materiálu nasledovné pripomienky a odporúčania:</w:t>
            </w:r>
          </w:p>
          <w:p w:rsidR="006D22FE" w:rsidRPr="005E4569" w:rsidP="006D22FE">
            <w:pPr>
              <w:bidi w:val="0"/>
              <w:jc w:val="both"/>
              <w:rPr>
                <w:rFonts w:ascii="Arial" w:hAnsi="Arial" w:cs="Arial"/>
                <w:iCs/>
                <w:sz w:val="24"/>
                <w:szCs w:val="22"/>
              </w:rPr>
            </w:pPr>
          </w:p>
          <w:p w:rsidR="006D22FE" w:rsidRPr="006D22FE" w:rsidP="006D22FE">
            <w:pPr>
              <w:bidi w:val="0"/>
              <w:jc w:val="both"/>
              <w:rPr>
                <w:rFonts w:ascii="Times New Roman" w:hAnsi="Times New Roman"/>
                <w:b/>
                <w:iCs/>
                <w:szCs w:val="22"/>
              </w:rPr>
            </w:pPr>
            <w:r w:rsidRPr="006D22FE">
              <w:rPr>
                <w:rFonts w:ascii="Times New Roman" w:hAnsi="Times New Roman"/>
                <w:b/>
                <w:iCs/>
                <w:szCs w:val="22"/>
              </w:rPr>
              <w:t>K vplyvom na rozpočet verejnej správy</w:t>
            </w:r>
          </w:p>
          <w:p w:rsidR="006D22FE" w:rsidRPr="006D22FE" w:rsidP="006D22FE">
            <w:pPr>
              <w:tabs>
                <w:tab w:val="center" w:pos="6379"/>
              </w:tabs>
              <w:bidi w:val="0"/>
              <w:ind w:right="-2"/>
              <w:jc w:val="both"/>
              <w:rPr>
                <w:rFonts w:ascii="Times New Roman" w:hAnsi="Times New Roman"/>
                <w:iCs/>
                <w:szCs w:val="22"/>
              </w:rPr>
            </w:pPr>
            <w:r w:rsidRPr="006D22FE">
              <w:rPr>
                <w:rFonts w:ascii="Times New Roman" w:hAnsi="Times New Roman"/>
                <w:iCs/>
                <w:szCs w:val="22"/>
              </w:rPr>
              <w:t>V analýze vplyvov na rozpočet verejnej správy je kvantifikovaný rozpočtovo nezabezpečený vplyv v roku 2019 v sume 7,9 mil. eur a v roku 2020 v sume 8,3 mil. eur, ktorý vyplýva z výpadku príjmov a nárastu výdavkov rozpočtu verejnej správy.</w:t>
            </w:r>
            <w:r>
              <w:rPr>
                <w:rFonts w:ascii="Times New Roman" w:hAnsi="Times New Roman"/>
                <w:iCs/>
                <w:szCs w:val="22"/>
              </w:rPr>
              <w:t xml:space="preserve"> </w:t>
            </w:r>
            <w:r w:rsidRPr="006D22FE">
              <w:rPr>
                <w:rFonts w:ascii="Times New Roman" w:hAnsi="Times New Roman"/>
                <w:iCs/>
                <w:szCs w:val="22"/>
              </w:rPr>
              <w:t xml:space="preserve">S rozpočtovo nekrytým vplyvom Ministerstvo financií SR zásadne nesúhlasí </w:t>
              <w:br/>
              <w:t>a v zmysle § 33 zákona č. 523/2004 Z. z. o rozpočtových pravidlách verejnej správy žiada do materiálu doplniť návrhy na úhradu úbytku príjmov a návrhy na úhradu zvýšených výdavkov. Ministerstvo financií SR podotýka, že návrh rozpočtu verejnej správy na roky 2018 až 2020 bol schválený vládou SR 11. októbra 2017.</w:t>
            </w:r>
          </w:p>
          <w:p w:rsidR="006D22FE" w:rsidP="006D22FE">
            <w:pPr>
              <w:tabs>
                <w:tab w:val="center" w:pos="6379"/>
              </w:tabs>
              <w:bidi w:val="0"/>
              <w:ind w:right="-2"/>
              <w:jc w:val="both"/>
              <w:rPr>
                <w:rFonts w:ascii="Arial" w:hAnsi="Arial" w:cs="Arial"/>
                <w:b/>
                <w:bCs/>
                <w:sz w:val="24"/>
                <w:szCs w:val="24"/>
              </w:rPr>
            </w:pPr>
          </w:p>
          <w:p w:rsidR="006D22FE" w:rsidRPr="006D22FE" w:rsidP="006D22FE">
            <w:pPr>
              <w:tabs>
                <w:tab w:val="center" w:pos="6379"/>
              </w:tabs>
              <w:bidi w:val="0"/>
              <w:ind w:right="-2"/>
              <w:jc w:val="both"/>
              <w:rPr>
                <w:rFonts w:ascii="Times New Roman" w:hAnsi="Times New Roman"/>
                <w:bCs/>
                <w:szCs w:val="24"/>
              </w:rPr>
            </w:pPr>
            <w:r w:rsidRPr="006D22FE">
              <w:rPr>
                <w:rFonts w:ascii="Times New Roman" w:hAnsi="Times New Roman"/>
                <w:b/>
                <w:bCs/>
                <w:szCs w:val="24"/>
              </w:rPr>
              <w:t xml:space="preserve">III. Záver: </w:t>
            </w:r>
            <w:r w:rsidRPr="006D22FE">
              <w:rPr>
                <w:rFonts w:ascii="Times New Roman" w:hAnsi="Times New Roman"/>
                <w:bCs/>
                <w:szCs w:val="24"/>
              </w:rPr>
              <w:t xml:space="preserve">Stála pracovná komisia na posudzovanie vybraných vplyvov vyjadruje </w:t>
            </w:r>
          </w:p>
          <w:p w:rsidR="006D22FE" w:rsidP="006D22FE">
            <w:pPr>
              <w:tabs>
                <w:tab w:val="center" w:pos="6379"/>
              </w:tabs>
              <w:bidi w:val="0"/>
              <w:ind w:right="-2"/>
              <w:jc w:val="both"/>
              <w:rPr>
                <w:rFonts w:ascii="Arial" w:hAnsi="Arial" w:cs="Arial"/>
                <w:bCs/>
                <w:sz w:val="24"/>
                <w:szCs w:val="24"/>
              </w:rPr>
            </w:pPr>
          </w:p>
          <w:p w:rsidR="006D22FE" w:rsidRPr="006D22FE" w:rsidP="006D22FE">
            <w:pPr>
              <w:tabs>
                <w:tab w:val="center" w:pos="6379"/>
              </w:tabs>
              <w:bidi w:val="0"/>
              <w:ind w:right="-2"/>
              <w:jc w:val="center"/>
              <w:rPr>
                <w:rFonts w:ascii="Times New Roman" w:hAnsi="Times New Roman"/>
                <w:b/>
                <w:bCs/>
                <w:szCs w:val="24"/>
                <w:lang w:eastAsia="en-US"/>
              </w:rPr>
            </w:pPr>
            <w:r w:rsidRPr="006D22FE">
              <w:rPr>
                <w:rFonts w:ascii="Times New Roman" w:hAnsi="Times New Roman"/>
                <w:b/>
                <w:bCs/>
                <w:szCs w:val="24"/>
                <w:lang w:eastAsia="en-US"/>
              </w:rPr>
              <w:t xml:space="preserve">nesúhlasné stanovisko </w:t>
            </w:r>
          </w:p>
          <w:p w:rsidR="006D22FE" w:rsidP="006D22FE">
            <w:pPr>
              <w:tabs>
                <w:tab w:val="center" w:pos="6379"/>
              </w:tabs>
              <w:bidi w:val="0"/>
              <w:ind w:right="-2"/>
              <w:jc w:val="both"/>
              <w:rPr>
                <w:rFonts w:ascii="Arial" w:hAnsi="Arial" w:cs="Arial"/>
                <w:bCs/>
                <w:sz w:val="24"/>
                <w:szCs w:val="22"/>
              </w:rPr>
            </w:pPr>
          </w:p>
          <w:p w:rsidR="006D22FE" w:rsidRPr="006D22FE" w:rsidP="006D22FE">
            <w:pPr>
              <w:bidi w:val="0"/>
              <w:jc w:val="both"/>
              <w:rPr>
                <w:rFonts w:ascii="Times New Roman" w:hAnsi="Times New Roman"/>
                <w:bCs/>
                <w:szCs w:val="22"/>
              </w:rPr>
            </w:pPr>
            <w:r w:rsidRPr="006D22FE">
              <w:rPr>
                <w:rFonts w:ascii="Times New Roman" w:hAnsi="Times New Roman"/>
                <w:bCs/>
                <w:szCs w:val="22"/>
              </w:rPr>
              <w:t>s materiálom, ktorý bol predložený na záverečné posúdenie s odporúčaním na jeho dopracovanie podľa pripomienok v bode II.</w:t>
            </w:r>
          </w:p>
          <w:p w:rsidR="006D22FE" w:rsidRPr="006D22FE" w:rsidP="006D22FE">
            <w:pPr>
              <w:bidi w:val="0"/>
              <w:jc w:val="both"/>
              <w:rPr>
                <w:rFonts w:ascii="Times New Roman" w:hAnsi="Times New Roman"/>
                <w:bCs/>
                <w:szCs w:val="22"/>
              </w:rPr>
            </w:pPr>
            <w:r w:rsidRPr="006D22FE">
              <w:rPr>
                <w:rFonts w:ascii="Times New Roman" w:hAnsi="Times New Roman"/>
                <w:bCs/>
                <w:szCs w:val="22"/>
              </w:rPr>
              <w:t xml:space="preserve"> </w:t>
            </w:r>
            <w:r w:rsidRPr="006D22FE">
              <w:rPr>
                <w:rFonts w:ascii="Times New Roman" w:hAnsi="Times New Roman"/>
                <w:b/>
                <w:bCs/>
                <w:szCs w:val="24"/>
                <w:lang w:eastAsia="en-US"/>
              </w:rPr>
              <w:t xml:space="preserve">IV. Poznámka: </w:t>
            </w:r>
            <w:r w:rsidRPr="006D22FE">
              <w:rPr>
                <w:rFonts w:ascii="Times New Roman" w:hAnsi="Times New Roman"/>
                <w:bCs/>
                <w:szCs w:val="22"/>
              </w:rPr>
              <w:t>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6D22FE" w:rsidRPr="006D22FE" w:rsidP="006D22FE">
            <w:pPr>
              <w:bidi w:val="0"/>
              <w:jc w:val="both"/>
              <w:rPr>
                <w:rFonts w:ascii="Times New Roman" w:hAnsi="Times New Roman"/>
                <w:bCs/>
                <w:szCs w:val="22"/>
              </w:rPr>
            </w:pPr>
          </w:p>
          <w:p w:rsidR="006D22FE" w:rsidRPr="006D22FE" w:rsidP="006D22FE">
            <w:pPr>
              <w:tabs>
                <w:tab w:val="center" w:pos="6379"/>
              </w:tabs>
              <w:bidi w:val="0"/>
              <w:ind w:right="-2"/>
              <w:jc w:val="both"/>
              <w:rPr>
                <w:rFonts w:ascii="Times New Roman" w:hAnsi="Times New Roman"/>
                <w:bCs/>
                <w:szCs w:val="24"/>
                <w:lang w:eastAsia="en-US"/>
              </w:rPr>
            </w:pPr>
            <w:r w:rsidRPr="006D22FE">
              <w:rPr>
                <w:rFonts w:ascii="Times New Roman" w:hAnsi="Times New Roman"/>
                <w:bCs/>
                <w:szCs w:val="22"/>
              </w:rPr>
              <w:t xml:space="preserve">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w:t>
              <w:br/>
              <w:t>ho na opätovné schválenie Komisie, ktorá môže následne zmeniť svoje stanovisko.</w:t>
            </w:r>
          </w:p>
          <w:p w:rsidR="00AB7687" w:rsidP="00510DCE">
            <w:pPr>
              <w:tabs>
                <w:tab w:val="center" w:pos="6379"/>
              </w:tabs>
              <w:bidi w:val="0"/>
              <w:ind w:right="-2"/>
              <w:jc w:val="both"/>
              <w:rPr>
                <w:rFonts w:ascii="Times New Roman" w:hAnsi="Times New Roman"/>
              </w:rPr>
            </w:pPr>
          </w:p>
          <w:p w:rsidR="006D22FE" w:rsidRPr="006D22FE" w:rsidP="00510DCE">
            <w:pPr>
              <w:tabs>
                <w:tab w:val="center" w:pos="6379"/>
              </w:tabs>
              <w:bidi w:val="0"/>
              <w:ind w:right="-2"/>
              <w:jc w:val="both"/>
              <w:rPr>
                <w:rFonts w:ascii="Times New Roman" w:hAnsi="Times New Roman"/>
                <w:b/>
              </w:rPr>
            </w:pPr>
            <w:r w:rsidRPr="006D22FE">
              <w:rPr>
                <w:rFonts w:ascii="Times New Roman" w:hAnsi="Times New Roman"/>
                <w:b/>
              </w:rPr>
              <w:t>Stanovisko predkladateľa (MPSVR SR):</w:t>
            </w:r>
          </w:p>
          <w:p w:rsidR="006D22FE" w:rsidP="00510DCE">
            <w:pPr>
              <w:tabs>
                <w:tab w:val="center" w:pos="6379"/>
              </w:tabs>
              <w:bidi w:val="0"/>
              <w:ind w:right="-2"/>
              <w:jc w:val="both"/>
              <w:rPr>
                <w:rFonts w:ascii="Times New Roman" w:hAnsi="Times New Roman"/>
              </w:rPr>
            </w:pPr>
          </w:p>
          <w:p w:rsidR="004461DB" w:rsidRPr="004461DB" w:rsidP="00510DCE">
            <w:pPr>
              <w:tabs>
                <w:tab w:val="center" w:pos="6379"/>
              </w:tabs>
              <w:bidi w:val="0"/>
              <w:ind w:right="-2"/>
              <w:jc w:val="both"/>
              <w:rPr>
                <w:rFonts w:ascii="Times New Roman" w:hAnsi="Times New Roman"/>
                <w:b/>
                <w:i/>
              </w:rPr>
            </w:pPr>
            <w:r w:rsidRPr="004461DB">
              <w:rPr>
                <w:rFonts w:ascii="Times New Roman" w:hAnsi="Times New Roman"/>
                <w:b/>
                <w:i/>
              </w:rPr>
              <w:t xml:space="preserve">Na základe </w:t>
            </w:r>
            <w:r w:rsidR="001A1ED2">
              <w:rPr>
                <w:rFonts w:ascii="Times New Roman" w:hAnsi="Times New Roman"/>
                <w:b/>
                <w:i/>
              </w:rPr>
              <w:t>záverov prijatých na rokovaní Hospodárskej a sociálnej rady</w:t>
            </w:r>
            <w:r w:rsidRPr="004461DB">
              <w:rPr>
                <w:rFonts w:ascii="Times New Roman" w:hAnsi="Times New Roman"/>
                <w:b/>
                <w:i/>
              </w:rPr>
              <w:t xml:space="preserve"> SR boli z</w:t>
            </w:r>
            <w:r w:rsidR="001A1ED2">
              <w:rPr>
                <w:rFonts w:ascii="Times New Roman" w:hAnsi="Times New Roman"/>
                <w:b/>
                <w:i/>
              </w:rPr>
              <w:t xml:space="preserve"> predkladaného návrhu </w:t>
            </w:r>
            <w:r w:rsidRPr="001A1ED2" w:rsidR="001A1ED2">
              <w:rPr>
                <w:rFonts w:ascii="Times New Roman" w:hAnsi="Times New Roman"/>
                <w:b/>
                <w:i/>
              </w:rPr>
              <w:t>zákona, ktorým sa mení a dopĺňa zákon č. 650/2004 Z. z. o doplnkovom dôchodkovom sporení a o zmene a doplnení niektorých zákonov v znení neskorších predpisov a ktorým sa menia a dopĺňajú niektoré zákony</w:t>
            </w:r>
            <w:r w:rsidR="001A1ED2">
              <w:rPr>
                <w:rFonts w:ascii="Times New Roman" w:hAnsi="Times New Roman"/>
                <w:b/>
                <w:i/>
              </w:rPr>
              <w:t xml:space="preserve"> vy</w:t>
            </w:r>
            <w:r w:rsidR="00EF6A25">
              <w:rPr>
                <w:rFonts w:ascii="Times New Roman" w:hAnsi="Times New Roman"/>
                <w:b/>
                <w:i/>
              </w:rPr>
              <w:t>pustené</w:t>
            </w:r>
            <w:r w:rsidRPr="004461DB">
              <w:rPr>
                <w:rFonts w:ascii="Times New Roman" w:hAnsi="Times New Roman"/>
                <w:b/>
                <w:i/>
              </w:rPr>
              <w:t xml:space="preserve"> </w:t>
            </w:r>
            <w:r w:rsidR="00EF6A25">
              <w:rPr>
                <w:rFonts w:ascii="Times New Roman" w:hAnsi="Times New Roman"/>
                <w:b/>
                <w:i/>
              </w:rPr>
              <w:t>ustanovenia</w:t>
            </w:r>
            <w:r w:rsidRPr="004461DB">
              <w:rPr>
                <w:rFonts w:ascii="Times New Roman" w:hAnsi="Times New Roman"/>
                <w:b/>
                <w:i/>
              </w:rPr>
              <w:t>, ktoré zakladajú vplyv na štátny rozpočet.</w:t>
            </w:r>
            <w:r w:rsidR="001A1ED2">
              <w:rPr>
                <w:rFonts w:ascii="Times New Roman" w:hAnsi="Times New Roman"/>
                <w:b/>
                <w:i/>
              </w:rPr>
              <w:t xml:space="preserve"> </w:t>
            </w:r>
            <w:r w:rsidRPr="001A1ED2" w:rsidR="001A1ED2">
              <w:rPr>
                <w:rFonts w:ascii="Times New Roman" w:hAnsi="Times New Roman"/>
                <w:b/>
                <w:i/>
              </w:rPr>
              <w:t xml:space="preserve">Uvedené zmeny </w:t>
            </w:r>
            <w:r w:rsidR="00170303">
              <w:rPr>
                <w:rFonts w:ascii="Times New Roman" w:hAnsi="Times New Roman"/>
                <w:b/>
                <w:i/>
              </w:rPr>
              <w:t xml:space="preserve">v návrhu zákona </w:t>
            </w:r>
            <w:r w:rsidRPr="001A1ED2" w:rsidR="001A1ED2">
              <w:rPr>
                <w:rFonts w:ascii="Times New Roman" w:hAnsi="Times New Roman"/>
                <w:b/>
                <w:i/>
              </w:rPr>
              <w:t>(vypustenie tzv. „preddôchodku“, automatických vstupov pre zamestnancov vykonávajúcich tzv. rizikové práce  z návrhu zákona, ako aj vypustenie zmien v zmysle zákona č. 595/2003 Z. z. o dani z príjmov v znení neskorších predpisov a zákona č. 580/2004 Z. z. o zdravotnom poistení a o zmene a doplnení zákona č. 95/2002 Z. z. o poisťovníctve a o zmene a doplnení niektorých zákonov v znení neskorších predpisov) sú premietnuté v predmetných doložkách.</w:t>
            </w:r>
            <w:r w:rsidRPr="004461DB">
              <w:rPr>
                <w:rFonts w:ascii="Times New Roman" w:hAnsi="Times New Roman"/>
                <w:b/>
                <w:i/>
              </w:rPr>
              <w:t xml:space="preserve"> </w:t>
            </w:r>
          </w:p>
          <w:p w:rsidR="004461DB" w:rsidRPr="004461DB" w:rsidP="00510DCE">
            <w:pPr>
              <w:tabs>
                <w:tab w:val="center" w:pos="6379"/>
              </w:tabs>
              <w:bidi w:val="0"/>
              <w:ind w:right="-2"/>
              <w:jc w:val="both"/>
              <w:rPr>
                <w:rFonts w:ascii="Times New Roman" w:hAnsi="Times New Roman"/>
                <w:i/>
              </w:rPr>
            </w:pPr>
          </w:p>
          <w:p w:rsidR="006D22FE" w:rsidRPr="004461DB" w:rsidP="00510DCE">
            <w:pPr>
              <w:tabs>
                <w:tab w:val="center" w:pos="6379"/>
              </w:tabs>
              <w:bidi w:val="0"/>
              <w:ind w:right="-2"/>
              <w:jc w:val="both"/>
              <w:rPr>
                <w:rFonts w:ascii="Times New Roman" w:hAnsi="Times New Roman"/>
                <w:b/>
                <w:i/>
              </w:rPr>
            </w:pPr>
            <w:r w:rsidRPr="004461DB" w:rsidR="004461DB">
              <w:rPr>
                <w:rFonts w:ascii="Times New Roman" w:hAnsi="Times New Roman"/>
                <w:b/>
                <w:i/>
              </w:rPr>
              <w:t xml:space="preserve">Vzhľadom na uvedené považujeme stanovisko komisie zaslané predkladateľovi </w:t>
            </w:r>
            <w:r w:rsidR="007A6841">
              <w:rPr>
                <w:rFonts w:ascii="Times New Roman" w:hAnsi="Times New Roman"/>
                <w:b/>
                <w:i/>
              </w:rPr>
              <w:t xml:space="preserve">v rámci záverečného posúdenia vplyvov </w:t>
            </w:r>
            <w:r w:rsidRPr="004461DB" w:rsidR="004461DB">
              <w:rPr>
                <w:rFonts w:ascii="Times New Roman" w:hAnsi="Times New Roman"/>
                <w:b/>
                <w:i/>
              </w:rPr>
              <w:t>dňa 7.</w:t>
            </w:r>
            <w:r w:rsidR="00EF6A25">
              <w:rPr>
                <w:rFonts w:ascii="Times New Roman" w:hAnsi="Times New Roman"/>
                <w:b/>
                <w:i/>
              </w:rPr>
              <w:t xml:space="preserve"> decembra </w:t>
            </w:r>
            <w:r w:rsidRPr="004461DB" w:rsidR="004461DB">
              <w:rPr>
                <w:rFonts w:ascii="Times New Roman" w:hAnsi="Times New Roman"/>
                <w:b/>
                <w:i/>
              </w:rPr>
              <w:t xml:space="preserve">2017 za bezpredmetné. </w:t>
            </w:r>
          </w:p>
          <w:p w:rsidR="006D22FE" w:rsidP="00510DCE">
            <w:pPr>
              <w:tabs>
                <w:tab w:val="center" w:pos="6379"/>
              </w:tabs>
              <w:bidi w:val="0"/>
              <w:ind w:right="-2"/>
              <w:jc w:val="both"/>
              <w:rPr>
                <w:rFonts w:ascii="Times New Roman" w:hAnsi="Times New Roman"/>
              </w:rPr>
            </w:pPr>
          </w:p>
          <w:p w:rsidR="001033F8" w:rsidRPr="001033F8" w:rsidP="00516B9C">
            <w:pPr>
              <w:pStyle w:val="Heading4"/>
              <w:bidi w:val="0"/>
              <w:ind w:left="0" w:firstLine="0"/>
              <w:rPr>
                <w:rFonts w:ascii="Times New Roman" w:hAnsi="Times New Roman"/>
                <w:sz w:val="18"/>
              </w:rPr>
            </w:pPr>
          </w:p>
          <w:p w:rsidR="00516B9C" w:rsidRPr="00516B9C" w:rsidP="00516B9C">
            <w:pPr>
              <w:pStyle w:val="Heading4"/>
              <w:bidi w:val="0"/>
              <w:ind w:left="0" w:firstLine="0"/>
              <w:rPr>
                <w:rFonts w:ascii="Times New Roman" w:hAnsi="Times New Roman"/>
                <w:sz w:val="18"/>
              </w:rPr>
            </w:pPr>
            <w:r w:rsidRPr="00516B9C">
              <w:rPr>
                <w:rFonts w:ascii="Times New Roman" w:hAnsi="Times New Roman"/>
                <w:spacing w:val="20"/>
                <w:sz w:val="24"/>
              </w:rPr>
              <w:t>stanovisko komisie</w:t>
            </w:r>
            <w:r w:rsidRPr="00516B9C">
              <w:rPr>
                <w:rFonts w:ascii="Times New Roman" w:hAnsi="Times New Roman"/>
                <w:sz w:val="18"/>
              </w:rPr>
              <w:t xml:space="preserve"> </w:t>
            </w:r>
            <w:r>
              <w:rPr>
                <w:rFonts w:ascii="Times New Roman" w:hAnsi="Times New Roman"/>
                <w:sz w:val="18"/>
              </w:rPr>
              <w:t>(z 19.12.2017)</w:t>
            </w:r>
          </w:p>
          <w:p w:rsidR="00516B9C" w:rsidRPr="00BC06B6" w:rsidP="00516B9C">
            <w:pPr>
              <w:bidi w:val="0"/>
              <w:ind w:right="-2"/>
              <w:jc w:val="center"/>
              <w:rPr>
                <w:rFonts w:ascii="Times New Roman" w:hAnsi="Times New Roman"/>
                <w:b/>
                <w:smallCaps/>
                <w:sz w:val="22"/>
              </w:rPr>
            </w:pPr>
          </w:p>
          <w:p w:rsidR="00516B9C" w:rsidRPr="00516B9C" w:rsidP="00516B9C">
            <w:pPr>
              <w:bidi w:val="0"/>
              <w:ind w:right="-2"/>
              <w:jc w:val="center"/>
              <w:rPr>
                <w:rFonts w:ascii="Times New Roman" w:hAnsi="Times New Roman"/>
                <w:b/>
                <w:smallCaps/>
                <w:sz w:val="18"/>
              </w:rPr>
            </w:pPr>
            <w:r w:rsidRPr="00516B9C">
              <w:rPr>
                <w:rFonts w:ascii="Times New Roman" w:hAnsi="Times New Roman"/>
                <w:b/>
                <w:smallCaps/>
                <w:sz w:val="18"/>
              </w:rPr>
              <w:t>(záverečné posúdenie)</w:t>
            </w:r>
          </w:p>
          <w:p w:rsidR="00516B9C" w:rsidRPr="00516B9C" w:rsidP="00516B9C">
            <w:pPr>
              <w:bidi w:val="0"/>
              <w:ind w:right="-2"/>
              <w:jc w:val="center"/>
              <w:rPr>
                <w:rFonts w:ascii="Times New Roman" w:hAnsi="Times New Roman"/>
                <w:b/>
                <w:smallCaps/>
                <w:sz w:val="18"/>
              </w:rPr>
            </w:pPr>
          </w:p>
          <w:p w:rsidR="00516B9C" w:rsidRPr="00516B9C" w:rsidP="00516B9C">
            <w:pPr>
              <w:bidi w:val="0"/>
              <w:ind w:right="-2"/>
              <w:jc w:val="center"/>
              <w:rPr>
                <w:rFonts w:ascii="Times New Roman" w:hAnsi="Times New Roman"/>
                <w:b/>
                <w:smallCaps/>
                <w:sz w:val="18"/>
              </w:rPr>
            </w:pPr>
            <w:r w:rsidRPr="00516B9C">
              <w:rPr>
                <w:rFonts w:ascii="Times New Roman" w:hAnsi="Times New Roman"/>
                <w:b/>
                <w:smallCaps/>
                <w:sz w:val="18"/>
              </w:rPr>
              <w:t>k návrhu</w:t>
            </w:r>
          </w:p>
          <w:p w:rsidR="00516B9C" w:rsidRPr="00BC06B6" w:rsidP="00516B9C">
            <w:pPr>
              <w:pBdr>
                <w:bottom w:val="single" w:sz="4" w:space="1" w:color="000000"/>
              </w:pBdr>
              <w:tabs>
                <w:tab w:val="left" w:pos="1185"/>
              </w:tabs>
              <w:bidi w:val="0"/>
              <w:ind w:right="-2"/>
              <w:rPr>
                <w:rFonts w:ascii="Times New Roman" w:hAnsi="Times New Roman"/>
                <w:b/>
                <w:smallCaps/>
                <w:sz w:val="22"/>
                <w:szCs w:val="22"/>
              </w:rPr>
            </w:pPr>
            <w:r w:rsidRPr="00BC06B6">
              <w:rPr>
                <w:rFonts w:ascii="Times New Roman" w:hAnsi="Times New Roman"/>
                <w:b/>
                <w:smallCaps/>
                <w:sz w:val="22"/>
                <w:szCs w:val="22"/>
              </w:rPr>
              <w:tab/>
            </w:r>
          </w:p>
          <w:p w:rsidR="00516B9C" w:rsidRPr="00516B9C" w:rsidP="00516B9C">
            <w:pPr>
              <w:pBdr>
                <w:bottom w:val="single" w:sz="4" w:space="1" w:color="000000"/>
              </w:pBdr>
              <w:bidi w:val="0"/>
              <w:ind w:right="-2" w:firstLine="708"/>
              <w:jc w:val="center"/>
              <w:rPr>
                <w:rFonts w:ascii="Times New Roman" w:hAnsi="Times New Roman"/>
                <w:b/>
                <w:smallCaps/>
                <w:szCs w:val="22"/>
              </w:rPr>
            </w:pPr>
            <w:r w:rsidRPr="00516B9C">
              <w:rPr>
                <w:rFonts w:ascii="Times New Roman" w:hAnsi="Times New Roman"/>
                <w:b/>
                <w:smallCaps/>
                <w:szCs w:val="22"/>
              </w:rPr>
              <w:t xml:space="preserve">zákona, ktorým sa mení a dopĺňa zákon č. 650/2004 Z. z. o doplnkovom dôchodkovom sporení a o zmene a doplnení niektorých zákonov v znení neskorších predpisov a ktorým sa menia a dopĺňajú niektoré zákony  </w:t>
            </w:r>
          </w:p>
          <w:p w:rsidR="00516B9C" w:rsidRPr="00BC06B6" w:rsidP="00516B9C">
            <w:pPr>
              <w:pBdr>
                <w:bottom w:val="single" w:sz="4" w:space="1" w:color="000000"/>
              </w:pBdr>
              <w:bidi w:val="0"/>
              <w:ind w:right="-2"/>
              <w:jc w:val="center"/>
              <w:rPr>
                <w:rFonts w:ascii="Times New Roman" w:hAnsi="Times New Roman"/>
                <w:b/>
                <w:smallCaps/>
                <w:sz w:val="22"/>
                <w:szCs w:val="22"/>
              </w:rPr>
            </w:pPr>
          </w:p>
          <w:p w:rsidR="00516B9C" w:rsidRPr="00516B9C" w:rsidP="00516B9C">
            <w:pPr>
              <w:bidi w:val="0"/>
              <w:jc w:val="both"/>
              <w:rPr>
                <w:rFonts w:ascii="Times New Roman" w:hAnsi="Times New Roman"/>
                <w:bCs/>
                <w:szCs w:val="22"/>
              </w:rPr>
            </w:pPr>
            <w:r w:rsidRPr="00516B9C">
              <w:rPr>
                <w:rFonts w:ascii="Times New Roman" w:hAnsi="Times New Roman"/>
                <w:b/>
                <w:bCs/>
                <w:szCs w:val="22"/>
              </w:rPr>
              <w:t xml:space="preserve">I. Úvod: </w:t>
            </w:r>
            <w:r w:rsidRPr="00516B9C">
              <w:rPr>
                <w:rFonts w:ascii="Times New Roman" w:hAnsi="Times New Roman"/>
                <w:bCs/>
                <w:szCs w:val="22"/>
              </w:rPr>
              <w:t xml:space="preserve">Ministerstvo práce, sociálnych vecí a rodiny Slovenskej republiky dňa </w:t>
              <w:br/>
              <w:t>14. decembra 2017 predložilo Stálej pracovnej komisii na posudzovanie vybraných vplyvov (ďalej len „Komisia“)</w:t>
            </w:r>
            <w:r w:rsidRPr="00516B9C">
              <w:rPr>
                <w:rFonts w:ascii="Times New Roman" w:hAnsi="Times New Roman"/>
                <w:bCs/>
                <w:szCs w:val="24"/>
              </w:rPr>
              <w:t xml:space="preserve"> na opätovné záverečné posúdenie vybraných vplyvov materiál: „</w:t>
            </w:r>
            <w:r w:rsidRPr="00516B9C">
              <w:rPr>
                <w:rFonts w:ascii="Times New Roman" w:hAnsi="Times New Roman"/>
                <w:i/>
                <w:iCs/>
                <w:szCs w:val="22"/>
              </w:rPr>
              <w:t>Návrh zákona, ktorým sa mení a dopĺňa zákon č. 650/2004 Z. z. o doplnkovom dôchodkovom sporení a o zmene a doplnení niektorých zákonov v znení neskorších predpisov a ktorým sa menia a dopĺňajú niektoré zákony“</w:t>
            </w:r>
            <w:r w:rsidRPr="00516B9C">
              <w:rPr>
                <w:rFonts w:ascii="Times New Roman" w:hAnsi="Times New Roman"/>
                <w:iCs/>
                <w:szCs w:val="22"/>
              </w:rPr>
              <w:t xml:space="preserve"> spolu so žiadosťou o skrátenie lehoty opätovného záverečného posúdenia. Komisia tejto žiadosti vyhovela.</w:t>
            </w:r>
            <w:r w:rsidRPr="00516B9C">
              <w:rPr>
                <w:rFonts w:ascii="Times New Roman" w:hAnsi="Times New Roman"/>
                <w:i/>
                <w:iCs/>
                <w:szCs w:val="22"/>
              </w:rPr>
              <w:t xml:space="preserve"> </w:t>
            </w:r>
            <w:r w:rsidRPr="00516B9C">
              <w:rPr>
                <w:rFonts w:ascii="Times New Roman" w:hAnsi="Times New Roman"/>
                <w:iCs/>
                <w:szCs w:val="22"/>
              </w:rPr>
              <w:t>Materiál predpokladá negatívne vplyvy na podnikateľské prostredie a pozitívne sociálne vplyvy.</w:t>
            </w:r>
          </w:p>
          <w:p w:rsidR="00516B9C" w:rsidRPr="00516B9C" w:rsidP="00516B9C">
            <w:pPr>
              <w:tabs>
                <w:tab w:val="center" w:pos="6379"/>
              </w:tabs>
              <w:bidi w:val="0"/>
              <w:ind w:right="-2"/>
              <w:jc w:val="both"/>
              <w:rPr>
                <w:rFonts w:ascii="Times New Roman" w:hAnsi="Times New Roman"/>
                <w:bCs/>
                <w:color w:val="FF0000"/>
                <w:szCs w:val="22"/>
              </w:rPr>
            </w:pPr>
          </w:p>
          <w:p w:rsidR="00516B9C" w:rsidRPr="00516B9C" w:rsidP="00516B9C">
            <w:pPr>
              <w:tabs>
                <w:tab w:val="center" w:pos="6379"/>
              </w:tabs>
              <w:bidi w:val="0"/>
              <w:ind w:right="-2"/>
              <w:jc w:val="both"/>
              <w:rPr>
                <w:rFonts w:ascii="Times New Roman" w:hAnsi="Times New Roman"/>
                <w:bCs/>
                <w:szCs w:val="22"/>
              </w:rPr>
            </w:pPr>
            <w:r w:rsidRPr="00516B9C">
              <w:rPr>
                <w:rFonts w:ascii="Times New Roman" w:hAnsi="Times New Roman"/>
                <w:b/>
                <w:bCs/>
                <w:szCs w:val="22"/>
              </w:rPr>
              <w:t>II. P</w:t>
            </w:r>
            <w:r w:rsidRPr="00516B9C">
              <w:rPr>
                <w:rFonts w:ascii="Times New Roman" w:hAnsi="Times New Roman"/>
                <w:b/>
                <w:szCs w:val="22"/>
              </w:rPr>
              <w:t>r</w:t>
            </w:r>
            <w:r w:rsidRPr="00516B9C">
              <w:rPr>
                <w:rFonts w:ascii="Times New Roman" w:hAnsi="Times New Roman"/>
                <w:b/>
                <w:bCs/>
                <w:szCs w:val="22"/>
              </w:rPr>
              <w:t>ipomienky a návrhy zm</w:t>
            </w:r>
            <w:r w:rsidRPr="00516B9C">
              <w:rPr>
                <w:rFonts w:ascii="Times New Roman" w:hAnsi="Times New Roman"/>
                <w:b/>
                <w:szCs w:val="22"/>
              </w:rPr>
              <w:t>ie</w:t>
            </w:r>
            <w:r w:rsidRPr="00516B9C">
              <w:rPr>
                <w:rFonts w:ascii="Times New Roman" w:hAnsi="Times New Roman"/>
                <w:b/>
                <w:bCs/>
                <w:szCs w:val="22"/>
              </w:rPr>
              <w:t xml:space="preserve">n: </w:t>
            </w:r>
            <w:r w:rsidRPr="00516B9C">
              <w:rPr>
                <w:rFonts w:ascii="Times New Roman" w:hAnsi="Times New Roman"/>
                <w:bCs/>
                <w:szCs w:val="22"/>
              </w:rPr>
              <w:t>Komisia uplatňuje k materiálu nasledovné pripomienky a odporúčania:</w:t>
            </w:r>
          </w:p>
          <w:p w:rsidR="00516B9C" w:rsidRPr="00516B9C" w:rsidP="00516B9C">
            <w:pPr>
              <w:bidi w:val="0"/>
              <w:jc w:val="both"/>
              <w:rPr>
                <w:rFonts w:ascii="Times New Roman" w:hAnsi="Times New Roman"/>
                <w:iCs/>
                <w:szCs w:val="22"/>
              </w:rPr>
            </w:pPr>
          </w:p>
          <w:p w:rsidR="00516B9C" w:rsidRPr="00516B9C" w:rsidP="00516B9C">
            <w:pPr>
              <w:bidi w:val="0"/>
              <w:jc w:val="both"/>
              <w:rPr>
                <w:rFonts w:ascii="Times New Roman" w:hAnsi="Times New Roman"/>
                <w:b/>
                <w:iCs/>
                <w:szCs w:val="22"/>
              </w:rPr>
            </w:pPr>
            <w:r w:rsidRPr="00516B9C">
              <w:rPr>
                <w:rFonts w:ascii="Times New Roman" w:hAnsi="Times New Roman"/>
                <w:b/>
                <w:iCs/>
                <w:szCs w:val="22"/>
              </w:rPr>
              <w:t>K doložke vybraných vplyvov</w:t>
            </w:r>
          </w:p>
          <w:p w:rsidR="00516B9C" w:rsidRPr="00516B9C" w:rsidP="00516B9C">
            <w:pPr>
              <w:bidi w:val="0"/>
              <w:jc w:val="both"/>
              <w:rPr>
                <w:rFonts w:ascii="Times New Roman" w:hAnsi="Times New Roman"/>
                <w:bCs/>
                <w:szCs w:val="22"/>
              </w:rPr>
            </w:pPr>
            <w:r w:rsidRPr="00516B9C">
              <w:rPr>
                <w:rFonts w:ascii="Times New Roman" w:hAnsi="Times New Roman"/>
                <w:bCs/>
                <w:szCs w:val="22"/>
              </w:rPr>
              <w:t>Požadované informácie podľa bodu „</w:t>
            </w:r>
            <w:r w:rsidRPr="00516B9C">
              <w:rPr>
                <w:rFonts w:ascii="Times New Roman" w:hAnsi="Times New Roman"/>
                <w:bCs/>
                <w:i/>
                <w:szCs w:val="22"/>
              </w:rPr>
              <w:t xml:space="preserve">5. Alternatívne riešenia“ </w:t>
            </w:r>
            <w:r w:rsidRPr="00516B9C">
              <w:rPr>
                <w:rFonts w:ascii="Times New Roman" w:hAnsi="Times New Roman"/>
                <w:bCs/>
                <w:szCs w:val="22"/>
              </w:rPr>
              <w:t xml:space="preserve"> je potrebné uviesť tak, aby boli v súlade s ustanovenými minimálnymi obsahovými požiadavkami doložky vybraných vplyvov podľa bodu 5 časti II. Jednotnej metodiky na posudzovanie vybraných vplyvov.</w:t>
            </w:r>
          </w:p>
          <w:p w:rsidR="00516B9C" w:rsidP="00516B9C">
            <w:pPr>
              <w:tabs>
                <w:tab w:val="center" w:pos="6379"/>
              </w:tabs>
              <w:bidi w:val="0"/>
              <w:ind w:right="-2"/>
              <w:jc w:val="both"/>
              <w:rPr>
                <w:rFonts w:ascii="Times New Roman" w:hAnsi="Times New Roman"/>
                <w:iCs/>
                <w:szCs w:val="22"/>
              </w:rPr>
            </w:pPr>
          </w:p>
          <w:p w:rsidR="009911C3" w:rsidP="009911C3">
            <w:pPr>
              <w:bidi w:val="0"/>
              <w:ind w:right="-2"/>
              <w:jc w:val="both"/>
              <w:rPr>
                <w:rFonts w:ascii="Times New Roman" w:hAnsi="Times New Roman"/>
                <w:b/>
                <w:i/>
              </w:rPr>
            </w:pPr>
            <w:r w:rsidRPr="004C6671">
              <w:rPr>
                <w:rFonts w:ascii="Times New Roman" w:hAnsi="Times New Roman"/>
                <w:b/>
                <w:i/>
              </w:rPr>
              <w:t xml:space="preserve">Stanovisko MPSVR SR: </w:t>
            </w:r>
          </w:p>
          <w:p w:rsidR="009911C3" w:rsidRPr="004C6671" w:rsidP="009911C3">
            <w:pPr>
              <w:bidi w:val="0"/>
              <w:ind w:right="-2"/>
              <w:jc w:val="both"/>
              <w:rPr>
                <w:rFonts w:ascii="Times New Roman" w:hAnsi="Times New Roman"/>
                <w:b/>
                <w:i/>
              </w:rPr>
            </w:pPr>
            <w:r w:rsidRPr="004C6671">
              <w:rPr>
                <w:rFonts w:ascii="Times New Roman" w:hAnsi="Times New Roman"/>
                <w:i/>
              </w:rPr>
              <w:t xml:space="preserve">Uvedený </w:t>
            </w:r>
            <w:r>
              <w:rPr>
                <w:rFonts w:ascii="Times New Roman" w:hAnsi="Times New Roman"/>
                <w:i/>
              </w:rPr>
              <w:t xml:space="preserve">bod „5. Alternatívne riešenia“ </w:t>
            </w:r>
            <w:r w:rsidRPr="004C6671">
              <w:rPr>
                <w:rFonts w:ascii="Times New Roman" w:hAnsi="Times New Roman"/>
                <w:i/>
              </w:rPr>
              <w:t>bol upravený na základe pripomienky komisie</w:t>
            </w:r>
            <w:r w:rsidR="00BC06B6">
              <w:rPr>
                <w:rFonts w:ascii="Times New Roman" w:hAnsi="Times New Roman"/>
                <w:i/>
              </w:rPr>
              <w:t xml:space="preserve"> v prípade tých ustanovení, pri ktorých bolo možné o alternatívnych riešeniach uvažovať</w:t>
            </w:r>
            <w:r w:rsidRPr="004C6671">
              <w:rPr>
                <w:rFonts w:ascii="Times New Roman" w:hAnsi="Times New Roman"/>
                <w:i/>
              </w:rPr>
              <w:t>.</w:t>
            </w:r>
          </w:p>
          <w:p w:rsidR="009911C3" w:rsidP="00516B9C">
            <w:pPr>
              <w:tabs>
                <w:tab w:val="center" w:pos="6379"/>
              </w:tabs>
              <w:bidi w:val="0"/>
              <w:ind w:right="-2"/>
              <w:jc w:val="both"/>
              <w:rPr>
                <w:rFonts w:ascii="Times New Roman" w:hAnsi="Times New Roman"/>
                <w:iCs/>
                <w:szCs w:val="22"/>
              </w:rPr>
            </w:pPr>
          </w:p>
          <w:p w:rsidR="009911C3" w:rsidRPr="00516B9C" w:rsidP="00516B9C">
            <w:pPr>
              <w:tabs>
                <w:tab w:val="center" w:pos="6379"/>
              </w:tabs>
              <w:bidi w:val="0"/>
              <w:ind w:right="-2"/>
              <w:jc w:val="both"/>
              <w:rPr>
                <w:rFonts w:ascii="Times New Roman" w:hAnsi="Times New Roman"/>
                <w:iCs/>
                <w:szCs w:val="22"/>
              </w:rPr>
            </w:pPr>
          </w:p>
          <w:p w:rsidR="00516B9C" w:rsidRPr="00516B9C" w:rsidP="00516B9C">
            <w:pPr>
              <w:bidi w:val="0"/>
              <w:jc w:val="both"/>
              <w:rPr>
                <w:rFonts w:ascii="Times New Roman" w:hAnsi="Times New Roman"/>
                <w:iCs/>
                <w:szCs w:val="22"/>
              </w:rPr>
            </w:pPr>
            <w:r w:rsidRPr="00516B9C">
              <w:rPr>
                <w:rFonts w:ascii="Times New Roman" w:hAnsi="Times New Roman"/>
                <w:b/>
                <w:bCs/>
                <w:szCs w:val="22"/>
              </w:rPr>
              <w:t xml:space="preserve">III. Záver: </w:t>
            </w:r>
            <w:r w:rsidRPr="00516B9C">
              <w:rPr>
                <w:rFonts w:ascii="Times New Roman" w:hAnsi="Times New Roman"/>
                <w:bCs/>
                <w:szCs w:val="22"/>
              </w:rPr>
              <w:t xml:space="preserve">Stála pracovná komisia na posudzovanie vybraných vplyvov vyjadruje </w:t>
            </w:r>
          </w:p>
          <w:p w:rsidR="00516B9C" w:rsidRPr="00516B9C" w:rsidP="00516B9C">
            <w:pPr>
              <w:tabs>
                <w:tab w:val="center" w:pos="6379"/>
              </w:tabs>
              <w:bidi w:val="0"/>
              <w:ind w:right="-2"/>
              <w:jc w:val="center"/>
              <w:rPr>
                <w:rFonts w:ascii="Times New Roman" w:hAnsi="Times New Roman"/>
                <w:b/>
                <w:bCs/>
                <w:szCs w:val="22"/>
              </w:rPr>
            </w:pPr>
          </w:p>
          <w:p w:rsidR="00516B9C" w:rsidRPr="00516B9C" w:rsidP="00516B9C">
            <w:pPr>
              <w:tabs>
                <w:tab w:val="center" w:pos="6379"/>
              </w:tabs>
              <w:bidi w:val="0"/>
              <w:ind w:right="-2"/>
              <w:jc w:val="center"/>
              <w:rPr>
                <w:rFonts w:ascii="Times New Roman" w:hAnsi="Times New Roman"/>
                <w:b/>
                <w:bCs/>
                <w:szCs w:val="22"/>
              </w:rPr>
            </w:pPr>
            <w:r w:rsidRPr="00516B9C">
              <w:rPr>
                <w:rFonts w:ascii="Times New Roman" w:hAnsi="Times New Roman"/>
                <w:b/>
                <w:bCs/>
                <w:szCs w:val="22"/>
              </w:rPr>
              <w:t>súhlasné stanovisko s návrhom na dopracovanie</w:t>
            </w:r>
          </w:p>
          <w:p w:rsidR="00516B9C" w:rsidRPr="00516B9C" w:rsidP="00516B9C">
            <w:pPr>
              <w:tabs>
                <w:tab w:val="center" w:pos="6379"/>
              </w:tabs>
              <w:bidi w:val="0"/>
              <w:ind w:right="-2"/>
              <w:jc w:val="both"/>
              <w:rPr>
                <w:rFonts w:ascii="Times New Roman" w:hAnsi="Times New Roman"/>
                <w:b/>
                <w:bCs/>
                <w:szCs w:val="24"/>
              </w:rPr>
            </w:pPr>
          </w:p>
          <w:p w:rsidR="00516B9C" w:rsidRPr="00516B9C" w:rsidP="00516B9C">
            <w:pPr>
              <w:tabs>
                <w:tab w:val="center" w:pos="6379"/>
              </w:tabs>
              <w:bidi w:val="0"/>
              <w:ind w:right="-2"/>
              <w:jc w:val="both"/>
              <w:rPr>
                <w:rFonts w:ascii="Times New Roman" w:hAnsi="Times New Roman"/>
                <w:b/>
                <w:bCs/>
                <w:szCs w:val="24"/>
                <w:lang w:eastAsia="en-US"/>
              </w:rPr>
            </w:pPr>
            <w:r w:rsidRPr="00516B9C">
              <w:rPr>
                <w:rFonts w:ascii="Times New Roman" w:hAnsi="Times New Roman"/>
                <w:bCs/>
                <w:szCs w:val="22"/>
              </w:rPr>
              <w:t xml:space="preserve">s materiálom </w:t>
            </w:r>
            <w:r w:rsidRPr="00516B9C">
              <w:rPr>
                <w:rFonts w:ascii="Times New Roman" w:hAnsi="Times New Roman"/>
                <w:bCs/>
                <w:szCs w:val="24"/>
              </w:rPr>
              <w:t>predloženým na opätovné záverečné posúdenie s odporúčaním na jeho dopracovanie podľa pripomienok v bode II.</w:t>
            </w:r>
            <w:r w:rsidRPr="00516B9C">
              <w:rPr>
                <w:rFonts w:ascii="Times New Roman" w:hAnsi="Times New Roman"/>
                <w:bCs/>
                <w:szCs w:val="22"/>
              </w:rPr>
              <w:t xml:space="preserve"> </w:t>
            </w:r>
            <w:r w:rsidRPr="00516B9C">
              <w:rPr>
                <w:rFonts w:ascii="Times New Roman" w:hAnsi="Times New Roman"/>
                <w:bCs/>
                <w:szCs w:val="24"/>
                <w:lang w:eastAsia="en-US"/>
              </w:rPr>
              <w:t xml:space="preserve"> </w:t>
            </w:r>
          </w:p>
          <w:p w:rsidR="003501A1" w:rsidRPr="00516B9C" w:rsidP="00A51D91">
            <w:pPr>
              <w:tabs>
                <w:tab w:val="center" w:pos="6379"/>
              </w:tabs>
              <w:bidi w:val="0"/>
              <w:ind w:right="-2"/>
              <w:jc w:val="both"/>
              <w:rPr>
                <w:rFonts w:ascii="Times New Roman" w:hAnsi="Times New Roman"/>
                <w:b/>
                <w:sz w:val="16"/>
              </w:rPr>
            </w:pPr>
            <w:r w:rsidRPr="00516B9C" w:rsidR="00516B9C">
              <w:rPr>
                <w:rFonts w:ascii="Times New Roman" w:hAnsi="Times New Roman"/>
                <w:b/>
                <w:bCs/>
                <w:szCs w:val="24"/>
                <w:lang w:eastAsia="en-US"/>
              </w:rPr>
              <w:t xml:space="preserve">IV. Poznámka: </w:t>
            </w:r>
            <w:r w:rsidRPr="00516B9C" w:rsidR="00516B9C">
              <w:rPr>
                <w:rFonts w:ascii="Times New Roman" w:hAnsi="Times New Roman"/>
                <w:bCs/>
                <w:szCs w:val="24"/>
                <w:lang w:eastAsia="en-US"/>
              </w:rPr>
              <w:t>Stanovisko Komisie k doložke je súčasťou materiálu predkladaného na rokovanie vlády Slovenskej republiky alebo na schválenie ministrovi, vedúcemu, predsedovi alebo riaditeľovi ostatného ústredného orgánu štátnej správy alebo vedúcemu iného orgánu</w:t>
            </w:r>
            <w:r w:rsidR="00A51D91">
              <w:rPr>
                <w:rFonts w:ascii="Times New Roman" w:hAnsi="Times New Roman"/>
                <w:bCs/>
                <w:szCs w:val="24"/>
                <w:lang w:eastAsia="en-US"/>
              </w:rPr>
              <w:t>.</w:t>
            </w:r>
          </w:p>
          <w:p w:rsidR="003501A1" w:rsidRPr="00A179AE" w:rsidP="007B71A4">
            <w:pPr>
              <w:bidi w:val="0"/>
              <w:rPr>
                <w:rFonts w:ascii="Times New Roman" w:hAnsi="Times New Roman"/>
                <w:b/>
              </w:rPr>
            </w:pPr>
          </w:p>
        </w:tc>
      </w:tr>
    </w:tbl>
    <w:p w:rsidR="00CB3623">
      <w:pPr>
        <w:bidi w:val="0"/>
        <w:rPr>
          <w:rFonts w:ascii="Times New Roman" w:hAnsi="Times New Roman"/>
        </w:rPr>
      </w:pPr>
    </w:p>
    <w:sectPr w:rsidSect="004C60B8">
      <w:footerReference w:type="default" r:id="rId6"/>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rebuchet MS">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B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D2077">
      <w:rPr>
        <w:rFonts w:ascii="Times New Roman" w:hAnsi="Times New Roman"/>
        <w:noProof/>
      </w:rPr>
      <w:t>8</w:t>
    </w:r>
    <w:r>
      <w:rPr>
        <w:rFonts w:ascii="Times New Roman" w:hAnsi="Times New Roman"/>
      </w:rPr>
      <w:fldChar w:fldCharType="end"/>
    </w:r>
  </w:p>
  <w:p w:rsidR="009044B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pStyle w:val="Heading4"/>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49452D9"/>
    <w:multiLevelType w:val="hybridMultilevel"/>
    <w:tmpl w:val="1D2A4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E62CF9"/>
    <w:multiLevelType w:val="hybridMultilevel"/>
    <w:tmpl w:val="02F0E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6B32AE"/>
    <w:multiLevelType w:val="hybridMultilevel"/>
    <w:tmpl w:val="6B94969C"/>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D235F0F"/>
    <w:multiLevelType w:val="hybridMultilevel"/>
    <w:tmpl w:val="00FAEE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F8B6B2C"/>
    <w:multiLevelType w:val="hybridMultilevel"/>
    <w:tmpl w:val="AE660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883D1A"/>
    <w:multiLevelType w:val="hybridMultilevel"/>
    <w:tmpl w:val="8C005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1735003"/>
    <w:multiLevelType w:val="hybridMultilevel"/>
    <w:tmpl w:val="A9269056"/>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8">
    <w:nsid w:val="662272B4"/>
    <w:multiLevelType w:val="hybridMultilevel"/>
    <w:tmpl w:val="602625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E29576C"/>
    <w:multiLevelType w:val="hybridMultilevel"/>
    <w:tmpl w:val="3D28BC90"/>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0"/>
  </w:num>
  <w:num w:numId="2">
    <w:abstractNumId w:val="9"/>
  </w:num>
  <w:num w:numId="3">
    <w:abstractNumId w:val="2"/>
  </w:num>
  <w:num w:numId="4">
    <w:abstractNumId w:val="8"/>
  </w:num>
  <w:num w:numId="5">
    <w:abstractNumId w:val="4"/>
  </w:num>
  <w:num w:numId="6">
    <w:abstractNumId w:val="7"/>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65A86"/>
    <w:rsid w:val="0003451F"/>
    <w:rsid w:val="00036A60"/>
    <w:rsid w:val="00046001"/>
    <w:rsid w:val="00057775"/>
    <w:rsid w:val="00061DF2"/>
    <w:rsid w:val="00070E8D"/>
    <w:rsid w:val="00071263"/>
    <w:rsid w:val="00090F81"/>
    <w:rsid w:val="000A15AE"/>
    <w:rsid w:val="000B4448"/>
    <w:rsid w:val="000C5D2D"/>
    <w:rsid w:val="000D2664"/>
    <w:rsid w:val="000D40AB"/>
    <w:rsid w:val="000E4F74"/>
    <w:rsid w:val="000F6D74"/>
    <w:rsid w:val="001033F8"/>
    <w:rsid w:val="0011693A"/>
    <w:rsid w:val="00125CC4"/>
    <w:rsid w:val="00127DAC"/>
    <w:rsid w:val="001473E7"/>
    <w:rsid w:val="00163491"/>
    <w:rsid w:val="00163CE5"/>
    <w:rsid w:val="001650D1"/>
    <w:rsid w:val="00170303"/>
    <w:rsid w:val="00175FD8"/>
    <w:rsid w:val="001A1559"/>
    <w:rsid w:val="001A1ED2"/>
    <w:rsid w:val="001D7A29"/>
    <w:rsid w:val="001E1D5D"/>
    <w:rsid w:val="001F076E"/>
    <w:rsid w:val="0021415A"/>
    <w:rsid w:val="002310D8"/>
    <w:rsid w:val="00270A16"/>
    <w:rsid w:val="00273959"/>
    <w:rsid w:val="00277AAD"/>
    <w:rsid w:val="002924FE"/>
    <w:rsid w:val="002C5ABE"/>
    <w:rsid w:val="002F4D4B"/>
    <w:rsid w:val="00306F5D"/>
    <w:rsid w:val="003334E4"/>
    <w:rsid w:val="0033454A"/>
    <w:rsid w:val="003501A1"/>
    <w:rsid w:val="0036029B"/>
    <w:rsid w:val="00395098"/>
    <w:rsid w:val="003D607B"/>
    <w:rsid w:val="003F161B"/>
    <w:rsid w:val="004035B3"/>
    <w:rsid w:val="00414278"/>
    <w:rsid w:val="0041565F"/>
    <w:rsid w:val="00415A65"/>
    <w:rsid w:val="004251F2"/>
    <w:rsid w:val="004268BD"/>
    <w:rsid w:val="00433881"/>
    <w:rsid w:val="004354BB"/>
    <w:rsid w:val="004461DB"/>
    <w:rsid w:val="0045465B"/>
    <w:rsid w:val="00474EDD"/>
    <w:rsid w:val="00491D44"/>
    <w:rsid w:val="00492716"/>
    <w:rsid w:val="004A135C"/>
    <w:rsid w:val="004B515E"/>
    <w:rsid w:val="004C60B8"/>
    <w:rsid w:val="004C6671"/>
    <w:rsid w:val="004C794A"/>
    <w:rsid w:val="004F6738"/>
    <w:rsid w:val="004F6F1F"/>
    <w:rsid w:val="004F754C"/>
    <w:rsid w:val="004F7D6F"/>
    <w:rsid w:val="00503EEB"/>
    <w:rsid w:val="00510DCE"/>
    <w:rsid w:val="00516B9C"/>
    <w:rsid w:val="005172CD"/>
    <w:rsid w:val="0052355F"/>
    <w:rsid w:val="00532A63"/>
    <w:rsid w:val="005408B4"/>
    <w:rsid w:val="00556EDC"/>
    <w:rsid w:val="00570B48"/>
    <w:rsid w:val="00581753"/>
    <w:rsid w:val="0058321D"/>
    <w:rsid w:val="00584E61"/>
    <w:rsid w:val="00594AF2"/>
    <w:rsid w:val="005A3202"/>
    <w:rsid w:val="005A4B85"/>
    <w:rsid w:val="005A67A0"/>
    <w:rsid w:val="005B3C9E"/>
    <w:rsid w:val="005B5AAD"/>
    <w:rsid w:val="005B7A8D"/>
    <w:rsid w:val="005C06CD"/>
    <w:rsid w:val="005C0875"/>
    <w:rsid w:val="005C1717"/>
    <w:rsid w:val="005C2DEF"/>
    <w:rsid w:val="005E4569"/>
    <w:rsid w:val="005F4E7C"/>
    <w:rsid w:val="00607481"/>
    <w:rsid w:val="006134D5"/>
    <w:rsid w:val="006172D1"/>
    <w:rsid w:val="00624A75"/>
    <w:rsid w:val="00626596"/>
    <w:rsid w:val="00640519"/>
    <w:rsid w:val="00653ADA"/>
    <w:rsid w:val="006655B8"/>
    <w:rsid w:val="006768FB"/>
    <w:rsid w:val="006B72EF"/>
    <w:rsid w:val="006B7DE2"/>
    <w:rsid w:val="006C3B7D"/>
    <w:rsid w:val="006D0FEB"/>
    <w:rsid w:val="006D22FE"/>
    <w:rsid w:val="006D3DE4"/>
    <w:rsid w:val="006D7D37"/>
    <w:rsid w:val="00707245"/>
    <w:rsid w:val="0071504A"/>
    <w:rsid w:val="00716AB5"/>
    <w:rsid w:val="00735425"/>
    <w:rsid w:val="007437EA"/>
    <w:rsid w:val="00767F31"/>
    <w:rsid w:val="00784EA0"/>
    <w:rsid w:val="007A6841"/>
    <w:rsid w:val="007B2225"/>
    <w:rsid w:val="007B3706"/>
    <w:rsid w:val="007B71A4"/>
    <w:rsid w:val="007C62D7"/>
    <w:rsid w:val="007E63DB"/>
    <w:rsid w:val="00811660"/>
    <w:rsid w:val="008247F2"/>
    <w:rsid w:val="0083596B"/>
    <w:rsid w:val="0083682E"/>
    <w:rsid w:val="00841D92"/>
    <w:rsid w:val="00843345"/>
    <w:rsid w:val="0084495D"/>
    <w:rsid w:val="0089358C"/>
    <w:rsid w:val="008A6B5D"/>
    <w:rsid w:val="008D2077"/>
    <w:rsid w:val="008D4627"/>
    <w:rsid w:val="008D63F0"/>
    <w:rsid w:val="008F748F"/>
    <w:rsid w:val="009044B2"/>
    <w:rsid w:val="00906BAA"/>
    <w:rsid w:val="00921732"/>
    <w:rsid w:val="009232EC"/>
    <w:rsid w:val="009309C6"/>
    <w:rsid w:val="00937326"/>
    <w:rsid w:val="00961BAE"/>
    <w:rsid w:val="009634B3"/>
    <w:rsid w:val="00981F25"/>
    <w:rsid w:val="009911C3"/>
    <w:rsid w:val="009912B5"/>
    <w:rsid w:val="009A538F"/>
    <w:rsid w:val="00A11225"/>
    <w:rsid w:val="00A16B34"/>
    <w:rsid w:val="00A179AE"/>
    <w:rsid w:val="00A40E7B"/>
    <w:rsid w:val="00A45A86"/>
    <w:rsid w:val="00A51D91"/>
    <w:rsid w:val="00A53B40"/>
    <w:rsid w:val="00A874B8"/>
    <w:rsid w:val="00AB7687"/>
    <w:rsid w:val="00AC2477"/>
    <w:rsid w:val="00AC33AA"/>
    <w:rsid w:val="00AF0F89"/>
    <w:rsid w:val="00B014B9"/>
    <w:rsid w:val="00B11406"/>
    <w:rsid w:val="00B25C21"/>
    <w:rsid w:val="00B267A9"/>
    <w:rsid w:val="00B304D2"/>
    <w:rsid w:val="00B35F39"/>
    <w:rsid w:val="00B41E39"/>
    <w:rsid w:val="00B65A86"/>
    <w:rsid w:val="00B67D92"/>
    <w:rsid w:val="00B83402"/>
    <w:rsid w:val="00B8743C"/>
    <w:rsid w:val="00BC06B6"/>
    <w:rsid w:val="00BC709E"/>
    <w:rsid w:val="00BF3078"/>
    <w:rsid w:val="00C22730"/>
    <w:rsid w:val="00C80296"/>
    <w:rsid w:val="00C86869"/>
    <w:rsid w:val="00CB3623"/>
    <w:rsid w:val="00CB39D3"/>
    <w:rsid w:val="00CC489A"/>
    <w:rsid w:val="00CD2448"/>
    <w:rsid w:val="00D05641"/>
    <w:rsid w:val="00D13B6F"/>
    <w:rsid w:val="00D21C6C"/>
    <w:rsid w:val="00D30422"/>
    <w:rsid w:val="00D358A8"/>
    <w:rsid w:val="00D75D35"/>
    <w:rsid w:val="00D84CF2"/>
    <w:rsid w:val="00DA3035"/>
    <w:rsid w:val="00DB5CFC"/>
    <w:rsid w:val="00DC0A54"/>
    <w:rsid w:val="00DC1FD2"/>
    <w:rsid w:val="00DC378C"/>
    <w:rsid w:val="00DC3FB6"/>
    <w:rsid w:val="00DE2A12"/>
    <w:rsid w:val="00DF17F7"/>
    <w:rsid w:val="00DF44AC"/>
    <w:rsid w:val="00E00C7C"/>
    <w:rsid w:val="00E056B4"/>
    <w:rsid w:val="00E05E16"/>
    <w:rsid w:val="00E06544"/>
    <w:rsid w:val="00E15FEF"/>
    <w:rsid w:val="00E34911"/>
    <w:rsid w:val="00E35BC8"/>
    <w:rsid w:val="00E35E57"/>
    <w:rsid w:val="00E4594A"/>
    <w:rsid w:val="00E64B41"/>
    <w:rsid w:val="00E847AB"/>
    <w:rsid w:val="00E92BE9"/>
    <w:rsid w:val="00EA54B7"/>
    <w:rsid w:val="00EB1438"/>
    <w:rsid w:val="00EB1608"/>
    <w:rsid w:val="00EB59E3"/>
    <w:rsid w:val="00ED09E6"/>
    <w:rsid w:val="00ED25E8"/>
    <w:rsid w:val="00ED3EF5"/>
    <w:rsid w:val="00EE157D"/>
    <w:rsid w:val="00EF466C"/>
    <w:rsid w:val="00EF6A25"/>
    <w:rsid w:val="00F21359"/>
    <w:rsid w:val="00F2155A"/>
    <w:rsid w:val="00F22831"/>
    <w:rsid w:val="00F27E0B"/>
    <w:rsid w:val="00F35D23"/>
    <w:rsid w:val="00F471EC"/>
    <w:rsid w:val="00F62771"/>
    <w:rsid w:val="00F70A21"/>
    <w:rsid w:val="00F75305"/>
    <w:rsid w:val="00FD3FFA"/>
    <w:rsid w:val="00FE7D98"/>
    <w:rsid w:val="00FF4323"/>
    <w:rsid w:val="00FF598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4">
    <w:name w:val="heading 4"/>
    <w:basedOn w:val="Normal"/>
    <w:next w:val="BodyText"/>
    <w:link w:val="Nadpis4Char"/>
    <w:uiPriority w:val="9"/>
    <w:qFormat/>
    <w:rsid w:val="006D22FE"/>
    <w:pPr>
      <w:keepNext/>
      <w:numPr>
        <w:ilvl w:val="3"/>
        <w:numId w:val="10"/>
      </w:numPr>
      <w:tabs>
        <w:tab w:val="num" w:pos="864"/>
      </w:tabs>
      <w:suppressAutoHyphens/>
      <w:spacing w:line="100" w:lineRule="atLeast"/>
      <w:ind w:left="864" w:right="-2" w:hanging="864"/>
      <w:jc w:val="center"/>
      <w:outlineLvl w:val="3"/>
    </w:pPr>
    <w:rPr>
      <w:b/>
      <w:smallCaps/>
      <w:sz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locked/>
    <w:rsid w:val="006D22FE"/>
    <w:rPr>
      <w:rFonts w:ascii="Times New Roman" w:hAnsi="Times New Roman" w:cs="Times New Roman"/>
      <w:b/>
      <w:smallCaps/>
      <w:sz w:val="20"/>
      <w:szCs w:val="20"/>
      <w:rtl w:val="0"/>
      <w:cs w:val="0"/>
      <w:lang w:val="x-none" w:eastAsia="ar-SA" w:bidi="ar-SA"/>
    </w:r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paragraph" w:styleId="NormalWeb">
    <w:name w:val="Normal (Web)"/>
    <w:basedOn w:val="Normal"/>
    <w:uiPriority w:val="99"/>
    <w:rsid w:val="00B014B9"/>
    <w:pPr>
      <w:spacing w:before="100" w:beforeAutospacing="1" w:after="100" w:afterAutospacing="1"/>
      <w:jc w:val="left"/>
    </w:pPr>
    <w:rPr>
      <w:sz w:val="24"/>
      <w:szCs w:val="24"/>
    </w:rPr>
  </w:style>
  <w:style w:type="character" w:styleId="Hyperlink">
    <w:name w:val="Hyperlink"/>
    <w:basedOn w:val="DefaultParagraphFont"/>
    <w:uiPriority w:val="99"/>
    <w:unhideWhenUsed/>
    <w:rsid w:val="009232EC"/>
    <w:rPr>
      <w:rFonts w:cs="Times New Roman"/>
      <w:color w:val="0000FF" w:themeColor="hlink" w:themeShade="FF"/>
      <w:u w:val="single"/>
      <w:rtl w:val="0"/>
      <w:cs w:val="0"/>
    </w:rPr>
  </w:style>
  <w:style w:type="character" w:customStyle="1" w:styleId="h1a4">
    <w:name w:val="h1a4"/>
    <w:basedOn w:val="DefaultParagraphFont"/>
    <w:rsid w:val="006655B8"/>
    <w:rPr>
      <w:rFonts w:ascii="Trebuchet MS" w:hAnsi="Trebuchet MS" w:cs="Times New Roman"/>
      <w:color w:val="505050"/>
      <w:rtl w:val="0"/>
      <w:cs w:val="0"/>
    </w:rPr>
  </w:style>
  <w:style w:type="paragraph" w:styleId="Revision">
    <w:name w:val="Revision"/>
    <w:hidden/>
    <w:uiPriority w:val="99"/>
    <w:semiHidden/>
    <w:rsid w:val="00F21359"/>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BodyText">
    <w:name w:val="Body Text"/>
    <w:basedOn w:val="Normal"/>
    <w:link w:val="ZkladntextChar"/>
    <w:uiPriority w:val="99"/>
    <w:semiHidden/>
    <w:unhideWhenUsed/>
    <w:rsid w:val="006D22FE"/>
    <w:pPr>
      <w:spacing w:after="120"/>
      <w:jc w:val="left"/>
    </w:pPr>
  </w:style>
  <w:style w:type="character" w:customStyle="1" w:styleId="ZkladntextChar">
    <w:name w:val="Základný text Char"/>
    <w:basedOn w:val="DefaultParagraphFont"/>
    <w:link w:val="BodyText"/>
    <w:uiPriority w:val="99"/>
    <w:semiHidden/>
    <w:locked/>
    <w:rsid w:val="006D22FE"/>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aria.zizakova@employment.gov.s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D5FF-ED8F-409F-B076-2388DEE8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9</Pages>
  <Words>4302</Words>
  <Characters>24526</Characters>
  <Application>Microsoft Office Word</Application>
  <DocSecurity>0</DocSecurity>
  <Lines>0</Lines>
  <Paragraphs>0</Paragraphs>
  <ScaleCrop>false</ScaleCrop>
  <Company/>
  <LinksUpToDate>false</LinksUpToDate>
  <CharactersWithSpaces>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5</cp:revision>
  <dcterms:created xsi:type="dcterms:W3CDTF">2018-01-08T07:46:00Z</dcterms:created>
  <dcterms:modified xsi:type="dcterms:W3CDTF">2018-01-10T12:30:00Z</dcterms:modified>
</cp:coreProperties>
</file>