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2 -->
  <w:body>
    <w:p w:rsidR="00880DFE" w:rsidRPr="0084558B" w:rsidP="007B04E5">
      <w:pPr>
        <w:pBdr>
          <w:bottom w:val="single" w:sz="12" w:space="1" w:color="auto"/>
        </w:pBdr>
        <w:spacing w:before="120" w:line="276" w:lineRule="auto"/>
        <w:jc w:val="center"/>
        <w:rPr>
          <w:rFonts w:ascii="Book Antiqua" w:hAnsi="Book Antiqua"/>
          <w:b/>
          <w:bCs/>
          <w:spacing w:val="20"/>
          <w:sz w:val="22"/>
          <w:szCs w:val="22"/>
        </w:rPr>
      </w:pPr>
      <w:r w:rsidRPr="0084558B">
        <w:rPr>
          <w:rFonts w:ascii="Book Antiqua" w:hAnsi="Book Antiqua"/>
          <w:b/>
          <w:bCs/>
          <w:spacing w:val="20"/>
          <w:sz w:val="22"/>
          <w:szCs w:val="22"/>
        </w:rPr>
        <w:t>NÁRODNÁ  RADA  SLOVENSKEJ  REPUBLIKY</w:t>
      </w:r>
    </w:p>
    <w:p w:rsidR="00880DFE" w:rsidRPr="0084558B" w:rsidP="007B04E5">
      <w:pPr>
        <w:spacing w:before="120" w:line="276" w:lineRule="auto"/>
        <w:jc w:val="center"/>
        <w:rPr>
          <w:rFonts w:ascii="Book Antiqua" w:hAnsi="Book Antiqua"/>
          <w:spacing w:val="20"/>
          <w:sz w:val="22"/>
          <w:szCs w:val="22"/>
        </w:rPr>
      </w:pPr>
    </w:p>
    <w:p w:rsidR="00880DFE" w:rsidRPr="0084558B" w:rsidP="007B04E5">
      <w:pPr>
        <w:spacing w:before="120" w:line="276" w:lineRule="auto"/>
        <w:jc w:val="center"/>
        <w:rPr>
          <w:rFonts w:ascii="Book Antiqua" w:hAnsi="Book Antiqua"/>
          <w:spacing w:val="20"/>
          <w:sz w:val="22"/>
          <w:szCs w:val="22"/>
        </w:rPr>
      </w:pPr>
      <w:r w:rsidRPr="0084558B">
        <w:rPr>
          <w:rFonts w:ascii="Book Antiqua" w:hAnsi="Book Antiqua"/>
          <w:spacing w:val="20"/>
          <w:sz w:val="22"/>
          <w:szCs w:val="22"/>
        </w:rPr>
        <w:t>VI</w:t>
      </w:r>
      <w:r w:rsidR="00F6359F">
        <w:rPr>
          <w:rFonts w:ascii="Book Antiqua" w:hAnsi="Book Antiqua"/>
          <w:spacing w:val="20"/>
          <w:sz w:val="22"/>
          <w:szCs w:val="22"/>
        </w:rPr>
        <w:t>I</w:t>
      </w:r>
      <w:r w:rsidRPr="0084558B">
        <w:rPr>
          <w:rFonts w:ascii="Book Antiqua" w:hAnsi="Book Antiqua"/>
          <w:spacing w:val="20"/>
          <w:sz w:val="22"/>
          <w:szCs w:val="22"/>
        </w:rPr>
        <w:t>. volebné obdobie</w:t>
      </w:r>
    </w:p>
    <w:p w:rsidR="00880DFE" w:rsidRPr="0084558B" w:rsidP="007B04E5">
      <w:pPr>
        <w:spacing w:before="120" w:line="276" w:lineRule="auto"/>
        <w:rPr>
          <w:rFonts w:ascii="Book Antiqua" w:hAnsi="Book Antiqua"/>
          <w:b/>
          <w:bCs/>
          <w:spacing w:val="30"/>
          <w:sz w:val="22"/>
          <w:szCs w:val="22"/>
        </w:rPr>
      </w:pPr>
    </w:p>
    <w:p w:rsidR="00880DFE" w:rsidRPr="00F6359F" w:rsidP="007B04E5">
      <w:pPr>
        <w:spacing w:before="120" w:line="276" w:lineRule="auto"/>
        <w:jc w:val="center"/>
        <w:rPr>
          <w:rFonts w:ascii="Book Antiqua" w:hAnsi="Book Antiqua"/>
          <w:bCs/>
          <w:spacing w:val="30"/>
          <w:sz w:val="22"/>
          <w:szCs w:val="22"/>
        </w:rPr>
      </w:pPr>
      <w:r w:rsidRPr="00F6359F">
        <w:rPr>
          <w:rFonts w:ascii="Book Antiqua" w:hAnsi="Book Antiqua"/>
          <w:bCs/>
          <w:spacing w:val="30"/>
          <w:sz w:val="22"/>
          <w:szCs w:val="22"/>
        </w:rPr>
        <w:t xml:space="preserve">Návrh </w:t>
      </w:r>
    </w:p>
    <w:p w:rsidR="00880DFE" w:rsidRPr="0084558B" w:rsidP="007B04E5">
      <w:pPr>
        <w:spacing w:before="120" w:line="276" w:lineRule="auto"/>
        <w:jc w:val="center"/>
        <w:rPr>
          <w:rFonts w:ascii="Book Antiqua" w:hAnsi="Book Antiqua"/>
          <w:b/>
          <w:bCs/>
          <w:spacing w:val="30"/>
          <w:sz w:val="22"/>
          <w:szCs w:val="22"/>
        </w:rPr>
      </w:pPr>
    </w:p>
    <w:p w:rsidR="00880DFE" w:rsidRPr="0084558B" w:rsidP="007B04E5">
      <w:pPr>
        <w:spacing w:before="120" w:line="276" w:lineRule="auto"/>
        <w:jc w:val="center"/>
        <w:rPr>
          <w:rFonts w:ascii="Book Antiqua" w:hAnsi="Book Antiqua"/>
          <w:b/>
          <w:bCs/>
          <w:caps/>
          <w:spacing w:val="30"/>
          <w:sz w:val="22"/>
          <w:szCs w:val="22"/>
        </w:rPr>
      </w:pPr>
      <w:r w:rsidRPr="0084558B">
        <w:rPr>
          <w:rFonts w:ascii="Book Antiqua" w:hAnsi="Book Antiqua"/>
          <w:b/>
          <w:bCs/>
          <w:caps/>
          <w:spacing w:val="30"/>
          <w:sz w:val="22"/>
          <w:szCs w:val="22"/>
        </w:rPr>
        <w:t>zákon</w:t>
      </w:r>
    </w:p>
    <w:p w:rsidR="00880DFE" w:rsidRPr="0084558B" w:rsidP="007B04E5">
      <w:pPr>
        <w:spacing w:before="120" w:line="276" w:lineRule="auto"/>
        <w:jc w:val="center"/>
        <w:rPr>
          <w:rFonts w:ascii="Book Antiqua" w:hAnsi="Book Antiqua"/>
          <w:sz w:val="22"/>
          <w:szCs w:val="22"/>
        </w:rPr>
      </w:pPr>
    </w:p>
    <w:p w:rsidR="00880DFE" w:rsidRPr="0084558B" w:rsidP="007B04E5">
      <w:pPr>
        <w:spacing w:before="120" w:line="276" w:lineRule="auto"/>
        <w:jc w:val="center"/>
        <w:rPr>
          <w:rFonts w:ascii="Book Antiqua" w:hAnsi="Book Antiqua"/>
          <w:sz w:val="22"/>
          <w:szCs w:val="22"/>
        </w:rPr>
      </w:pPr>
      <w:r>
        <w:rPr>
          <w:rFonts w:ascii="Book Antiqua" w:hAnsi="Book Antiqua"/>
          <w:sz w:val="22"/>
          <w:szCs w:val="22"/>
        </w:rPr>
        <w:t>z ... 2018</w:t>
      </w:r>
      <w:bookmarkStart w:id="0" w:name="_GoBack"/>
      <w:bookmarkEnd w:id="0"/>
    </w:p>
    <w:p w:rsidR="00880DFE" w:rsidRPr="0084558B" w:rsidP="007B04E5">
      <w:pPr>
        <w:spacing w:before="120" w:line="276" w:lineRule="auto"/>
        <w:jc w:val="center"/>
        <w:rPr>
          <w:rFonts w:ascii="Book Antiqua" w:hAnsi="Book Antiqua"/>
          <w:sz w:val="22"/>
          <w:szCs w:val="22"/>
        </w:rPr>
      </w:pPr>
    </w:p>
    <w:p w:rsidR="00880DFE" w:rsidRPr="0084558B" w:rsidP="00D849B4">
      <w:pPr>
        <w:spacing w:before="120" w:line="276" w:lineRule="auto"/>
        <w:jc w:val="center"/>
        <w:rPr>
          <w:rFonts w:ascii="Book Antiqua" w:hAnsi="Book Antiqua"/>
          <w:b/>
          <w:bCs/>
          <w:sz w:val="22"/>
          <w:szCs w:val="22"/>
        </w:rPr>
      </w:pPr>
      <w:r w:rsidRPr="0084558B">
        <w:rPr>
          <w:rFonts w:ascii="Book Antiqua" w:hAnsi="Book Antiqua"/>
          <w:b/>
          <w:bCs/>
          <w:sz w:val="22"/>
          <w:szCs w:val="22"/>
        </w:rPr>
        <w:t>o čiastočnom odškodnení klientov nebankových subjektov</w:t>
      </w:r>
    </w:p>
    <w:p w:rsidR="00880DFE" w:rsidRPr="0084558B" w:rsidP="007B04E5">
      <w:pPr>
        <w:spacing w:before="120" w:line="276" w:lineRule="auto"/>
        <w:jc w:val="both"/>
        <w:rPr>
          <w:rFonts w:ascii="Book Antiqua" w:hAnsi="Book Antiqua"/>
          <w:sz w:val="22"/>
          <w:szCs w:val="22"/>
        </w:rPr>
      </w:pPr>
    </w:p>
    <w:p w:rsidR="00880DFE" w:rsidRPr="0084558B" w:rsidP="00494EF6">
      <w:pPr>
        <w:spacing w:before="120" w:line="276" w:lineRule="auto"/>
        <w:jc w:val="both"/>
        <w:rPr>
          <w:rFonts w:ascii="Book Antiqua" w:hAnsi="Book Antiqua"/>
          <w:sz w:val="22"/>
          <w:szCs w:val="22"/>
        </w:rPr>
      </w:pPr>
      <w:r w:rsidRPr="0084558B">
        <w:rPr>
          <w:rFonts w:ascii="Book Antiqua" w:hAnsi="Book Antiqua"/>
          <w:sz w:val="22"/>
          <w:szCs w:val="22"/>
        </w:rPr>
        <w:t xml:space="preserve">Národná rada Slovenskej republiky sa uzniesla na tomto zákone: </w:t>
      </w:r>
    </w:p>
    <w:p w:rsidR="00880DFE" w:rsidRPr="0084558B" w:rsidP="007B04E5">
      <w:pPr>
        <w:spacing w:before="120" w:line="276" w:lineRule="auto"/>
        <w:rPr>
          <w:rFonts w:ascii="Book Antiqua" w:hAnsi="Book Antiqua"/>
          <w:sz w:val="22"/>
          <w:szCs w:val="22"/>
        </w:rPr>
      </w:pPr>
    </w:p>
    <w:p w:rsidR="00880DFE" w:rsidRPr="0084558B" w:rsidP="007B04E5">
      <w:pPr>
        <w:tabs>
          <w:tab w:val="left" w:pos="885"/>
        </w:tabs>
        <w:spacing w:before="120" w:line="276" w:lineRule="auto"/>
        <w:jc w:val="center"/>
        <w:rPr>
          <w:rFonts w:ascii="Book Antiqua" w:hAnsi="Book Antiqua"/>
          <w:bCs/>
          <w:sz w:val="22"/>
          <w:szCs w:val="22"/>
        </w:rPr>
      </w:pPr>
      <w:r w:rsidRPr="0084558B">
        <w:rPr>
          <w:rFonts w:ascii="Book Antiqua" w:hAnsi="Book Antiqua"/>
          <w:b/>
          <w:sz w:val="22"/>
          <w:szCs w:val="22"/>
        </w:rPr>
        <w:t>§ 1</w:t>
      </w:r>
    </w:p>
    <w:p w:rsidR="00880DFE" w:rsidRPr="0084558B" w:rsidP="007B04E5">
      <w:pPr>
        <w:spacing w:before="120" w:line="276" w:lineRule="auto"/>
        <w:jc w:val="center"/>
        <w:rPr>
          <w:rFonts w:ascii="Book Antiqua" w:hAnsi="Book Antiqua"/>
          <w:bCs/>
          <w:sz w:val="22"/>
          <w:szCs w:val="22"/>
        </w:rPr>
      </w:pPr>
      <w:r w:rsidRPr="0084558B">
        <w:rPr>
          <w:rFonts w:ascii="Book Antiqua" w:hAnsi="Book Antiqua"/>
          <w:b/>
          <w:sz w:val="22"/>
          <w:szCs w:val="22"/>
        </w:rPr>
        <w:t xml:space="preserve">Predmet úpravy </w:t>
      </w:r>
    </w:p>
    <w:p w:rsidR="00880DFE" w:rsidRPr="0084558B" w:rsidP="007B04E5">
      <w:pPr>
        <w:spacing w:before="120" w:line="276" w:lineRule="auto"/>
        <w:ind w:left="426" w:hanging="426"/>
        <w:jc w:val="both"/>
        <w:rPr>
          <w:rFonts w:ascii="Book Antiqua" w:hAnsi="Book Antiqua"/>
          <w:sz w:val="22"/>
          <w:szCs w:val="22"/>
        </w:rPr>
      </w:pPr>
      <w:r w:rsidRPr="0084558B">
        <w:rPr>
          <w:rFonts w:ascii="Book Antiqua" w:hAnsi="Book Antiqua"/>
          <w:sz w:val="22"/>
          <w:szCs w:val="22"/>
        </w:rPr>
        <w:t>Tento zákon upravuje</w:t>
      </w:r>
    </w:p>
    <w:p w:rsidR="00880DFE" w:rsidRPr="0084558B" w:rsidP="007B04E5">
      <w:pPr>
        <w:numPr>
          <w:ilvl w:val="0"/>
          <w:numId w:val="6"/>
        </w:numPr>
        <w:spacing w:before="120" w:line="276" w:lineRule="auto"/>
        <w:jc w:val="both"/>
        <w:rPr>
          <w:rFonts w:ascii="Book Antiqua" w:hAnsi="Book Antiqua"/>
          <w:sz w:val="22"/>
          <w:szCs w:val="22"/>
        </w:rPr>
      </w:pPr>
      <w:r w:rsidRPr="0084558B">
        <w:rPr>
          <w:rFonts w:ascii="Book Antiqua" w:hAnsi="Book Antiqua"/>
          <w:sz w:val="22"/>
          <w:szCs w:val="22"/>
        </w:rPr>
        <w:t>okruh oprávnených osôb, ktorým sa poskytuje čiastočné odškodnenie,</w:t>
      </w:r>
    </w:p>
    <w:p w:rsidR="00880DFE" w:rsidRPr="0084558B" w:rsidP="007B04E5">
      <w:pPr>
        <w:numPr>
          <w:ilvl w:val="0"/>
          <w:numId w:val="6"/>
        </w:numPr>
        <w:spacing w:before="120" w:line="276" w:lineRule="auto"/>
        <w:jc w:val="both"/>
        <w:rPr>
          <w:rFonts w:ascii="Book Antiqua" w:hAnsi="Book Antiqua"/>
          <w:sz w:val="22"/>
          <w:szCs w:val="22"/>
        </w:rPr>
      </w:pPr>
      <w:r w:rsidRPr="0084558B">
        <w:rPr>
          <w:rFonts w:ascii="Book Antiqua" w:hAnsi="Book Antiqua"/>
          <w:sz w:val="22"/>
          <w:szCs w:val="22"/>
        </w:rPr>
        <w:t xml:space="preserve">podmienky poskytnutia čiastočného odškodnenia a jeho výšku, </w:t>
      </w:r>
    </w:p>
    <w:p w:rsidR="00880DFE" w:rsidRPr="0084558B" w:rsidP="003E60C5">
      <w:pPr>
        <w:numPr>
          <w:ilvl w:val="0"/>
          <w:numId w:val="6"/>
        </w:numPr>
        <w:spacing w:before="120" w:line="276" w:lineRule="auto"/>
        <w:jc w:val="both"/>
        <w:rPr>
          <w:rFonts w:ascii="Book Antiqua" w:hAnsi="Book Antiqua"/>
          <w:sz w:val="22"/>
          <w:szCs w:val="22"/>
        </w:rPr>
      </w:pPr>
      <w:r w:rsidRPr="0084558B">
        <w:rPr>
          <w:rFonts w:ascii="Book Antiqua" w:hAnsi="Book Antiqua"/>
          <w:sz w:val="22"/>
          <w:szCs w:val="22"/>
        </w:rPr>
        <w:t>postup pri poskytovaní čiastočného odškodnenia.</w:t>
      </w:r>
    </w:p>
    <w:p w:rsidR="00880DFE" w:rsidRPr="0084558B" w:rsidP="007B04E5">
      <w:pPr>
        <w:spacing w:before="120" w:line="276" w:lineRule="auto"/>
        <w:jc w:val="both"/>
        <w:rPr>
          <w:rFonts w:ascii="Book Antiqua" w:hAnsi="Book Antiqua"/>
          <w:bCs/>
          <w:sz w:val="22"/>
          <w:szCs w:val="22"/>
        </w:rPr>
      </w:pPr>
    </w:p>
    <w:p w:rsidR="00880DFE" w:rsidRPr="0084558B" w:rsidP="007B04E5">
      <w:pPr>
        <w:spacing w:before="120" w:line="276" w:lineRule="auto"/>
        <w:jc w:val="center"/>
        <w:rPr>
          <w:rFonts w:ascii="Book Antiqua" w:hAnsi="Book Antiqua"/>
          <w:b/>
          <w:bCs/>
          <w:sz w:val="22"/>
          <w:szCs w:val="22"/>
        </w:rPr>
      </w:pPr>
      <w:r w:rsidRPr="0084558B">
        <w:rPr>
          <w:rFonts w:ascii="Book Antiqua" w:hAnsi="Book Antiqua"/>
          <w:b/>
          <w:bCs/>
          <w:sz w:val="22"/>
          <w:szCs w:val="22"/>
        </w:rPr>
        <w:t>§ 2</w:t>
      </w:r>
    </w:p>
    <w:p w:rsidR="00880DFE" w:rsidRPr="0084558B" w:rsidP="007B04E5">
      <w:pPr>
        <w:spacing w:before="120" w:line="276" w:lineRule="auto"/>
        <w:jc w:val="center"/>
        <w:rPr>
          <w:rFonts w:ascii="Book Antiqua" w:hAnsi="Book Antiqua"/>
          <w:b/>
          <w:bCs/>
          <w:sz w:val="22"/>
          <w:szCs w:val="22"/>
        </w:rPr>
      </w:pPr>
      <w:r w:rsidRPr="0084558B">
        <w:rPr>
          <w:rFonts w:ascii="Book Antiqua" w:hAnsi="Book Antiqua"/>
          <w:b/>
          <w:bCs/>
          <w:sz w:val="22"/>
          <w:szCs w:val="22"/>
        </w:rPr>
        <w:t>Vymedzenie základných pojmov</w:t>
      </w:r>
    </w:p>
    <w:p w:rsidR="00880DFE" w:rsidRPr="0084558B" w:rsidP="007B04E5">
      <w:pPr>
        <w:spacing w:before="120" w:line="276" w:lineRule="auto"/>
        <w:rPr>
          <w:rFonts w:ascii="Book Antiqua" w:hAnsi="Book Antiqua"/>
          <w:bCs/>
          <w:sz w:val="22"/>
          <w:szCs w:val="22"/>
        </w:rPr>
      </w:pPr>
      <w:r w:rsidRPr="0084558B">
        <w:rPr>
          <w:rFonts w:ascii="Book Antiqua" w:hAnsi="Book Antiqua"/>
          <w:bCs/>
          <w:sz w:val="22"/>
          <w:szCs w:val="22"/>
        </w:rPr>
        <w:t>Na účely tohto zákona</w:t>
      </w:r>
    </w:p>
    <w:p w:rsidR="00880DFE" w:rsidRPr="0084558B" w:rsidP="007B04E5">
      <w:pPr>
        <w:pStyle w:val="ListParagraph"/>
        <w:numPr>
          <w:ilvl w:val="0"/>
          <w:numId w:val="7"/>
        </w:numPr>
        <w:spacing w:before="120" w:after="0"/>
        <w:jc w:val="both"/>
        <w:rPr>
          <w:rFonts w:ascii="Book Antiqua" w:hAnsi="Book Antiqua"/>
          <w:bCs/>
          <w:lang w:eastAsia="sk-SK"/>
        </w:rPr>
      </w:pPr>
      <w:r w:rsidRPr="0084558B">
        <w:rPr>
          <w:rFonts w:ascii="Book Antiqua" w:hAnsi="Book Antiqua"/>
          <w:bCs/>
          <w:lang w:eastAsia="sk-SK"/>
        </w:rPr>
        <w:t>nebankovým subjektom je právnická osoba, ktorá nemá postavenie banky</w:t>
      </w:r>
      <w:r>
        <w:rPr>
          <w:rStyle w:val="FootnoteReference"/>
          <w:rFonts w:ascii="Book Antiqua" w:hAnsi="Book Antiqua"/>
          <w:color w:val="000000"/>
        </w:rPr>
        <w:footnoteReference w:id="2"/>
      </w:r>
      <w:r w:rsidRPr="0084558B">
        <w:rPr>
          <w:rFonts w:ascii="Book Antiqua" w:hAnsi="Book Antiqua"/>
          <w:color w:val="000000"/>
          <w:vertAlign w:val="superscript"/>
        </w:rPr>
        <w:t>)</w:t>
      </w:r>
      <w:r w:rsidR="000D4653">
        <w:rPr>
          <w:rFonts w:ascii="Book Antiqua" w:hAnsi="Book Antiqua"/>
          <w:color w:val="000000"/>
        </w:rPr>
        <w:t xml:space="preserve"> alebo inej finančnej inštitúcie</w:t>
      </w:r>
      <w:r>
        <w:rPr>
          <w:rStyle w:val="FootnoteReference"/>
          <w:rFonts w:ascii="Book Antiqua" w:hAnsi="Book Antiqua"/>
          <w:color w:val="000000"/>
        </w:rPr>
        <w:footnoteReference w:id="3"/>
      </w:r>
      <w:r w:rsidRPr="0084558B" w:rsidR="000D4653">
        <w:rPr>
          <w:rFonts w:ascii="Book Antiqua" w:hAnsi="Book Antiqua"/>
          <w:color w:val="000000"/>
          <w:vertAlign w:val="superscript"/>
        </w:rPr>
        <w:t>)</w:t>
      </w:r>
      <w:r w:rsidR="000D4653">
        <w:rPr>
          <w:rFonts w:ascii="Book Antiqua" w:hAnsi="Book Antiqua"/>
          <w:bCs/>
          <w:lang w:eastAsia="sk-SK"/>
        </w:rPr>
        <w:t xml:space="preserve"> alebo</w:t>
      </w:r>
      <w:r w:rsidRPr="0084558B">
        <w:rPr>
          <w:rFonts w:ascii="Book Antiqua" w:hAnsi="Book Antiqua"/>
          <w:bCs/>
          <w:lang w:eastAsia="sk-SK"/>
        </w:rPr>
        <w:t xml:space="preserve"> sporiteľne</w:t>
      </w:r>
      <w:r>
        <w:rPr>
          <w:rStyle w:val="FootnoteReference"/>
          <w:rFonts w:ascii="Book Antiqua" w:hAnsi="Book Antiqua"/>
          <w:color w:val="000000"/>
        </w:rPr>
        <w:footnoteReference w:id="4"/>
      </w:r>
      <w:r w:rsidRPr="0084558B">
        <w:rPr>
          <w:rFonts w:ascii="Book Antiqua" w:hAnsi="Book Antiqua"/>
          <w:color w:val="000000"/>
          <w:vertAlign w:val="superscript"/>
        </w:rPr>
        <w:t>)</w:t>
      </w:r>
      <w:r w:rsidRPr="0084558B">
        <w:rPr>
          <w:rFonts w:ascii="Book Antiqua" w:hAnsi="Book Antiqua"/>
          <w:bCs/>
          <w:lang w:eastAsia="sk-SK"/>
        </w:rPr>
        <w:t>, ak začala podnikať</w:t>
      </w:r>
      <w:r>
        <w:rPr>
          <w:rStyle w:val="FootnoteReference"/>
          <w:rFonts w:ascii="Book Antiqua" w:hAnsi="Book Antiqua"/>
          <w:color w:val="000000"/>
        </w:rPr>
        <w:footnoteReference w:id="5"/>
      </w:r>
      <w:r w:rsidRPr="0084558B">
        <w:rPr>
          <w:rFonts w:ascii="Book Antiqua" w:hAnsi="Book Antiqua"/>
          <w:color w:val="000000"/>
          <w:vertAlign w:val="superscript"/>
        </w:rPr>
        <w:t>)</w:t>
      </w:r>
      <w:r w:rsidRPr="0084558B">
        <w:rPr>
          <w:rFonts w:ascii="Book Antiqua" w:hAnsi="Book Antiqua"/>
          <w:bCs/>
          <w:lang w:eastAsia="sk-SK"/>
        </w:rPr>
        <w:t xml:space="preserve"> do 31. decembra 2001 a ponúkala klientom aj prostredníctvom verejnoprávneho vysielateľa</w:t>
      </w:r>
      <w:r>
        <w:rPr>
          <w:rStyle w:val="FootnoteReference"/>
          <w:rFonts w:ascii="Book Antiqua" w:hAnsi="Book Antiqua"/>
          <w:color w:val="000000"/>
        </w:rPr>
        <w:footnoteReference w:id="6"/>
      </w:r>
      <w:r w:rsidRPr="0084558B">
        <w:rPr>
          <w:rFonts w:ascii="Book Antiqua" w:hAnsi="Book Antiqua"/>
          <w:color w:val="000000"/>
          <w:vertAlign w:val="superscript"/>
        </w:rPr>
        <w:t>)</w:t>
      </w:r>
      <w:r w:rsidRPr="0084558B">
        <w:rPr>
          <w:rFonts w:ascii="Book Antiqua" w:hAnsi="Book Antiqua"/>
          <w:bCs/>
          <w:lang w:eastAsia="sk-SK"/>
        </w:rPr>
        <w:t xml:space="preserve"> možnosť podieľať sa na jej podnikaní, a</w:t>
      </w:r>
      <w:r w:rsidRPr="0084558B" w:rsidR="00DC2C99">
        <w:rPr>
          <w:rFonts w:ascii="Book Antiqua" w:hAnsi="Book Antiqua"/>
          <w:bCs/>
          <w:lang w:eastAsia="sk-SK"/>
        </w:rPr>
        <w:t xml:space="preserve"> ktorá do nadobudnutia účinnosti tohto zákona </w:t>
      </w:r>
      <w:r w:rsidRPr="0084558B" w:rsidR="00DC2C99">
        <w:rPr>
          <w:rFonts w:ascii="Book Antiqua" w:hAnsi="Book Antiqua"/>
          <w:bCs/>
          <w:lang w:eastAsia="sk-SK"/>
        </w:rPr>
        <w:t xml:space="preserve">skončila podnikanie alebo </w:t>
      </w:r>
      <w:r w:rsidRPr="0084558B">
        <w:rPr>
          <w:rFonts w:ascii="Book Antiqua" w:hAnsi="Book Antiqua"/>
          <w:bCs/>
          <w:lang w:eastAsia="sk-SK"/>
        </w:rPr>
        <w:t>voči ktorej bolo do nadobudnutia účinnosti tohto zákona začaté konkurzné konanie</w:t>
      </w:r>
      <w:r>
        <w:rPr>
          <w:rStyle w:val="FootnoteReference"/>
          <w:rFonts w:ascii="Book Antiqua" w:hAnsi="Book Antiqua"/>
          <w:color w:val="000000"/>
        </w:rPr>
        <w:footnoteReference w:id="7"/>
      </w:r>
      <w:r w:rsidRPr="0084558B">
        <w:rPr>
          <w:rFonts w:ascii="Book Antiqua" w:hAnsi="Book Antiqua"/>
          <w:color w:val="000000"/>
          <w:vertAlign w:val="superscript"/>
        </w:rPr>
        <w:t>)</w:t>
      </w:r>
      <w:r w:rsidRPr="0084558B" w:rsidR="00DC2C99">
        <w:rPr>
          <w:rFonts w:ascii="Book Antiqua" w:hAnsi="Book Antiqua"/>
          <w:color w:val="000000"/>
          <w:vertAlign w:val="superscript"/>
        </w:rPr>
        <w:t xml:space="preserve"> </w:t>
      </w:r>
      <w:r w:rsidRPr="0084558B">
        <w:rPr>
          <w:rFonts w:ascii="Book Antiqua" w:hAnsi="Book Antiqua"/>
          <w:bCs/>
          <w:lang w:eastAsia="sk-SK"/>
        </w:rPr>
        <w:t>,</w:t>
      </w:r>
    </w:p>
    <w:p w:rsidR="00880DFE" w:rsidRPr="0084558B" w:rsidP="00682B82">
      <w:pPr>
        <w:pStyle w:val="ListParagraph"/>
        <w:numPr>
          <w:ilvl w:val="0"/>
          <w:numId w:val="7"/>
        </w:numPr>
        <w:spacing w:before="120" w:after="0"/>
        <w:jc w:val="both"/>
        <w:rPr>
          <w:rFonts w:ascii="Book Antiqua" w:hAnsi="Book Antiqua"/>
          <w:bCs/>
        </w:rPr>
      </w:pPr>
      <w:r w:rsidRPr="0084558B">
        <w:rPr>
          <w:rFonts w:ascii="Book Antiqua" w:hAnsi="Book Antiqua"/>
          <w:bCs/>
          <w:lang w:eastAsia="sk-SK"/>
        </w:rPr>
        <w:t>klientom je fyzická osoba, ktorej bola spôsobená majetková ujma v dôsledku nedodržania zmluvy</w:t>
      </w:r>
      <w:r>
        <w:rPr>
          <w:rStyle w:val="FootnoteReference"/>
          <w:rFonts w:ascii="Book Antiqua" w:hAnsi="Book Antiqua"/>
          <w:color w:val="000000"/>
        </w:rPr>
        <w:footnoteReference w:id="8"/>
      </w:r>
      <w:r w:rsidRPr="0084558B">
        <w:rPr>
          <w:rFonts w:ascii="Book Antiqua" w:hAnsi="Book Antiqua"/>
          <w:color w:val="000000"/>
          <w:vertAlign w:val="superscript"/>
        </w:rPr>
        <w:t>)</w:t>
      </w:r>
      <w:r w:rsidRPr="0084558B">
        <w:rPr>
          <w:rFonts w:ascii="Book Antiqua" w:hAnsi="Book Antiqua"/>
          <w:bCs/>
          <w:lang w:eastAsia="sk-SK"/>
        </w:rPr>
        <w:t>, na základe ktorej sa táto osoba podieľala na podnikaní nebankového subjektu,</w:t>
      </w:r>
    </w:p>
    <w:p w:rsidR="00880DFE" w:rsidRPr="0084558B" w:rsidP="00682B82">
      <w:pPr>
        <w:pStyle w:val="ListParagraph"/>
        <w:numPr>
          <w:ilvl w:val="0"/>
          <w:numId w:val="7"/>
        </w:numPr>
        <w:spacing w:before="120" w:after="0"/>
        <w:jc w:val="both"/>
        <w:rPr>
          <w:rFonts w:ascii="Book Antiqua" w:hAnsi="Book Antiqua"/>
          <w:bCs/>
        </w:rPr>
      </w:pPr>
      <w:r w:rsidRPr="0084558B">
        <w:rPr>
          <w:rFonts w:ascii="Book Antiqua" w:hAnsi="Book Antiqua"/>
          <w:bCs/>
          <w:lang w:eastAsia="sk-SK"/>
        </w:rPr>
        <w:t>podielom sú finančné prostriedky, ktoré klient investoval do nebankového subjektu s cieľom podieľať sa na jeho podnikaní, a to až do skončenia podnikania takéhoto subjektu alebo do začatia konkurzného</w:t>
      </w:r>
      <w:r w:rsidRPr="0084558B" w:rsidR="00A27A1A">
        <w:rPr>
          <w:rFonts w:ascii="Book Antiqua" w:hAnsi="Book Antiqua"/>
          <w:bCs/>
          <w:lang w:eastAsia="sk-SK"/>
        </w:rPr>
        <w:t xml:space="preserve"> konania voči takémuto subjektu,</w:t>
      </w:r>
    </w:p>
    <w:p w:rsidR="00A27A1A" w:rsidRPr="0084558B" w:rsidP="00682B82">
      <w:pPr>
        <w:pStyle w:val="ListParagraph"/>
        <w:numPr>
          <w:ilvl w:val="0"/>
          <w:numId w:val="7"/>
        </w:numPr>
        <w:spacing w:before="120" w:after="0"/>
        <w:jc w:val="both"/>
        <w:rPr>
          <w:rFonts w:ascii="Book Antiqua" w:hAnsi="Book Antiqua"/>
          <w:bCs/>
        </w:rPr>
      </w:pPr>
      <w:r w:rsidRPr="0084558B">
        <w:rPr>
          <w:rFonts w:ascii="Book Antiqua" w:hAnsi="Book Antiqua"/>
          <w:bCs/>
          <w:lang w:eastAsia="sk-SK"/>
        </w:rPr>
        <w:t>majetkovou ujmou v dôsledku nedodržania zmluvy je ujma spočívajúca v tom,</w:t>
      </w:r>
      <w:r w:rsidRPr="0084558B" w:rsidR="00041A76">
        <w:rPr>
          <w:rFonts w:ascii="Book Antiqua" w:hAnsi="Book Antiqua"/>
          <w:bCs/>
          <w:lang w:eastAsia="sk-SK"/>
        </w:rPr>
        <w:t xml:space="preserve"> že sa z majetku nebankovej spoločnosti ani pri skončení jej podnikania alebo ukončení konkurzného konania vedeného voči nej klientovi nevrátil alebo nevyplatil celý jeho podiel.</w:t>
      </w:r>
    </w:p>
    <w:p w:rsidR="00880DFE" w:rsidRPr="0084558B" w:rsidP="007B04E5">
      <w:pPr>
        <w:spacing w:before="120" w:line="276" w:lineRule="auto"/>
        <w:jc w:val="center"/>
        <w:rPr>
          <w:rFonts w:ascii="Book Antiqua" w:hAnsi="Book Antiqua"/>
          <w:b/>
          <w:bCs/>
          <w:sz w:val="22"/>
          <w:szCs w:val="22"/>
        </w:rPr>
      </w:pPr>
    </w:p>
    <w:p w:rsidR="00880DFE" w:rsidRPr="0084558B" w:rsidP="007B04E5">
      <w:pPr>
        <w:spacing w:before="120" w:line="276" w:lineRule="auto"/>
        <w:jc w:val="center"/>
        <w:rPr>
          <w:rFonts w:ascii="Book Antiqua" w:hAnsi="Book Antiqua"/>
          <w:b/>
          <w:bCs/>
          <w:sz w:val="22"/>
          <w:szCs w:val="22"/>
        </w:rPr>
      </w:pPr>
      <w:r w:rsidRPr="0084558B">
        <w:rPr>
          <w:rFonts w:ascii="Book Antiqua" w:hAnsi="Book Antiqua"/>
          <w:b/>
          <w:bCs/>
          <w:sz w:val="22"/>
          <w:szCs w:val="22"/>
        </w:rPr>
        <w:t>§ 3</w:t>
      </w:r>
    </w:p>
    <w:p w:rsidR="00880DFE" w:rsidRPr="0084558B" w:rsidP="007B04E5">
      <w:pPr>
        <w:spacing w:before="120" w:line="276" w:lineRule="auto"/>
        <w:jc w:val="center"/>
        <w:rPr>
          <w:rFonts w:ascii="Book Antiqua" w:hAnsi="Book Antiqua"/>
          <w:b/>
          <w:bCs/>
          <w:sz w:val="22"/>
          <w:szCs w:val="22"/>
        </w:rPr>
      </w:pPr>
      <w:r w:rsidRPr="0084558B">
        <w:rPr>
          <w:rFonts w:ascii="Book Antiqua" w:hAnsi="Book Antiqua"/>
          <w:b/>
          <w:bCs/>
          <w:sz w:val="22"/>
          <w:szCs w:val="22"/>
        </w:rPr>
        <w:t>Oprávnená osoba</w:t>
      </w:r>
    </w:p>
    <w:p w:rsidR="00880DFE" w:rsidRPr="0084558B" w:rsidP="007B04E5">
      <w:pPr>
        <w:spacing w:before="120" w:line="276" w:lineRule="auto"/>
        <w:jc w:val="both"/>
        <w:rPr>
          <w:rFonts w:ascii="Book Antiqua" w:hAnsi="Book Antiqua"/>
          <w:bCs/>
          <w:sz w:val="22"/>
          <w:szCs w:val="22"/>
        </w:rPr>
      </w:pPr>
      <w:r w:rsidRPr="0084558B">
        <w:rPr>
          <w:rFonts w:ascii="Book Antiqua" w:hAnsi="Book Antiqua"/>
          <w:bCs/>
          <w:sz w:val="22"/>
          <w:szCs w:val="22"/>
        </w:rPr>
        <w:t>(1) Opr</w:t>
      </w:r>
      <w:r w:rsidRPr="0084558B" w:rsidR="00410A98">
        <w:rPr>
          <w:rFonts w:ascii="Book Antiqua" w:hAnsi="Book Antiqua"/>
          <w:bCs/>
          <w:sz w:val="22"/>
          <w:szCs w:val="22"/>
        </w:rPr>
        <w:t>ávnenou osobu je klient, ktorý utrpel majetkovú ujmu</w:t>
      </w:r>
      <w:r w:rsidR="00017A1E">
        <w:rPr>
          <w:rFonts w:ascii="Book Antiqua" w:hAnsi="Book Antiqua"/>
          <w:bCs/>
          <w:sz w:val="22"/>
          <w:szCs w:val="22"/>
        </w:rPr>
        <w:t xml:space="preserve"> v dôsledku nedodržania zmluvy</w:t>
      </w:r>
      <w:r w:rsidRPr="0084558B">
        <w:rPr>
          <w:rFonts w:ascii="Book Antiqua" w:hAnsi="Book Antiqua"/>
          <w:bCs/>
          <w:sz w:val="22"/>
          <w:szCs w:val="22"/>
        </w:rPr>
        <w:t>.</w:t>
      </w:r>
    </w:p>
    <w:p w:rsidR="00880DFE" w:rsidRPr="0084558B" w:rsidP="007B04E5">
      <w:pPr>
        <w:spacing w:before="120" w:line="276" w:lineRule="auto"/>
        <w:jc w:val="both"/>
        <w:rPr>
          <w:rFonts w:ascii="Book Antiqua" w:hAnsi="Book Antiqua"/>
          <w:bCs/>
          <w:sz w:val="22"/>
          <w:szCs w:val="22"/>
        </w:rPr>
      </w:pPr>
      <w:r w:rsidRPr="0084558B">
        <w:rPr>
          <w:rFonts w:ascii="Book Antiqua" w:hAnsi="Book Antiqua"/>
          <w:bCs/>
          <w:sz w:val="22"/>
          <w:szCs w:val="22"/>
        </w:rPr>
        <w:t>(2) Oprávnenou osobou nie je klient, ktorý previedol svoj podiel alebo práva s ním spojené na tretiu osobu, ako ani tretia osoba, ktorá takýto podiel alebo práva k nemu nadobudla.</w:t>
      </w:r>
      <w:r w:rsidRPr="0084558B" w:rsidR="00041A76">
        <w:rPr>
          <w:rFonts w:ascii="Book Antiqua" w:hAnsi="Book Antiqua"/>
          <w:bCs/>
          <w:sz w:val="22"/>
          <w:szCs w:val="22"/>
        </w:rPr>
        <w:t xml:space="preserve"> Oprávnenou osobou nie je ani osoba, ktorá bola členom riadiaceho orgánu alebo kontrolného orgánu nebankového subjektu.</w:t>
      </w:r>
    </w:p>
    <w:p w:rsidR="00880DFE" w:rsidRPr="0084558B" w:rsidP="007B04E5">
      <w:pPr>
        <w:spacing w:before="120" w:line="276" w:lineRule="auto"/>
        <w:jc w:val="both"/>
        <w:rPr>
          <w:rFonts w:ascii="Book Antiqua" w:hAnsi="Book Antiqua"/>
          <w:bCs/>
          <w:sz w:val="22"/>
          <w:szCs w:val="22"/>
        </w:rPr>
      </w:pPr>
      <w:r w:rsidRPr="0084558B">
        <w:rPr>
          <w:rFonts w:ascii="Book Antiqua" w:hAnsi="Book Antiqua"/>
          <w:bCs/>
          <w:sz w:val="22"/>
          <w:szCs w:val="22"/>
        </w:rPr>
        <w:t>(3) Oprávnenej osobe sa poskytne čiastočné odškodnenie vo výške uvedenej v § 5</w:t>
      </w:r>
      <w:r w:rsidR="00F91A15">
        <w:rPr>
          <w:rFonts w:ascii="Book Antiqua" w:hAnsi="Book Antiqua"/>
          <w:bCs/>
          <w:sz w:val="22"/>
          <w:szCs w:val="22"/>
        </w:rPr>
        <w:t xml:space="preserve"> za podmienok uvedených v § 4 </w:t>
      </w:r>
      <w:r w:rsidRPr="0084558B">
        <w:rPr>
          <w:rFonts w:ascii="Book Antiqua" w:hAnsi="Book Antiqua"/>
          <w:bCs/>
          <w:sz w:val="22"/>
          <w:szCs w:val="22"/>
        </w:rPr>
        <w:t>postupom podľa § 6.</w:t>
      </w:r>
    </w:p>
    <w:p w:rsidR="00880DFE" w:rsidRPr="0084558B" w:rsidP="007B04E5">
      <w:pPr>
        <w:spacing w:before="120" w:line="276" w:lineRule="auto"/>
        <w:jc w:val="both"/>
        <w:rPr>
          <w:rFonts w:ascii="Book Antiqua" w:hAnsi="Book Antiqua"/>
          <w:bCs/>
          <w:sz w:val="22"/>
          <w:szCs w:val="22"/>
        </w:rPr>
      </w:pPr>
      <w:r w:rsidRPr="0084558B">
        <w:rPr>
          <w:rFonts w:ascii="Book Antiqua" w:hAnsi="Book Antiqua"/>
          <w:bCs/>
          <w:sz w:val="22"/>
          <w:szCs w:val="22"/>
        </w:rPr>
        <w:t xml:space="preserve">(4) </w:t>
      </w:r>
      <w:r w:rsidRPr="0084558B">
        <w:rPr>
          <w:rFonts w:ascii="Book Antiqua" w:hAnsi="Book Antiqua"/>
          <w:sz w:val="22"/>
          <w:szCs w:val="22"/>
        </w:rPr>
        <w:t>Na poskytnutie či</w:t>
      </w:r>
      <w:r w:rsidR="00017A1E">
        <w:rPr>
          <w:rFonts w:ascii="Book Antiqua" w:hAnsi="Book Antiqua"/>
          <w:sz w:val="22"/>
          <w:szCs w:val="22"/>
        </w:rPr>
        <w:t xml:space="preserve">astočného odškodnenia je </w:t>
      </w:r>
      <w:r w:rsidRPr="0084558B">
        <w:rPr>
          <w:rFonts w:ascii="Book Antiqua" w:hAnsi="Book Antiqua"/>
          <w:sz w:val="22"/>
          <w:szCs w:val="22"/>
        </w:rPr>
        <w:t xml:space="preserve">nárok, ktorý </w:t>
      </w:r>
      <w:r w:rsidRPr="0084558B" w:rsidR="00DC2C99">
        <w:rPr>
          <w:rFonts w:ascii="Book Antiqua" w:hAnsi="Book Antiqua"/>
          <w:sz w:val="22"/>
          <w:szCs w:val="22"/>
        </w:rPr>
        <w:t>nemožno previesť na tretiu osobu. P</w:t>
      </w:r>
      <w:r w:rsidRPr="0084558B">
        <w:rPr>
          <w:rFonts w:ascii="Book Antiqua" w:hAnsi="Book Antiqua"/>
          <w:sz w:val="22"/>
          <w:szCs w:val="22"/>
        </w:rPr>
        <w:t xml:space="preserve">o smrti oprávnenej osoby prechádza </w:t>
      </w:r>
      <w:r w:rsidR="00017A1E">
        <w:rPr>
          <w:rFonts w:ascii="Book Antiqua" w:hAnsi="Book Antiqua"/>
          <w:sz w:val="22"/>
          <w:szCs w:val="22"/>
        </w:rPr>
        <w:t xml:space="preserve">tento </w:t>
      </w:r>
      <w:r w:rsidRPr="0084558B" w:rsidR="00DC2C99">
        <w:rPr>
          <w:rFonts w:ascii="Book Antiqua" w:hAnsi="Book Antiqua"/>
          <w:sz w:val="22"/>
          <w:szCs w:val="22"/>
        </w:rPr>
        <w:t xml:space="preserve">nárok </w:t>
      </w:r>
      <w:r w:rsidRPr="0084558B">
        <w:rPr>
          <w:rFonts w:ascii="Book Antiqua" w:hAnsi="Book Antiqua"/>
          <w:sz w:val="22"/>
          <w:szCs w:val="22"/>
        </w:rPr>
        <w:t>na jej právnych nástupcov.</w:t>
      </w:r>
      <w:r>
        <w:rPr>
          <w:rStyle w:val="FootnoteReference"/>
          <w:rFonts w:ascii="Book Antiqua" w:hAnsi="Book Antiqua"/>
          <w:sz w:val="22"/>
          <w:szCs w:val="22"/>
        </w:rPr>
        <w:footnoteReference w:id="9"/>
      </w:r>
      <w:r w:rsidRPr="0084558B">
        <w:rPr>
          <w:rFonts w:ascii="Book Antiqua" w:hAnsi="Book Antiqua"/>
          <w:sz w:val="22"/>
          <w:szCs w:val="22"/>
          <w:vertAlign w:val="superscript"/>
        </w:rPr>
        <w:t>)</w:t>
      </w:r>
    </w:p>
    <w:p w:rsidR="00880DFE" w:rsidRPr="0084558B" w:rsidP="009507E9">
      <w:pPr>
        <w:pStyle w:val="ListParagraph"/>
        <w:spacing w:before="120" w:after="0"/>
        <w:ind w:left="0"/>
        <w:jc w:val="center"/>
        <w:rPr>
          <w:rFonts w:ascii="Book Antiqua" w:hAnsi="Book Antiqua"/>
          <w:b/>
          <w:bCs/>
        </w:rPr>
      </w:pPr>
    </w:p>
    <w:p w:rsidR="00880DFE" w:rsidRPr="0084558B" w:rsidP="009507E9">
      <w:pPr>
        <w:pStyle w:val="ListParagraph"/>
        <w:spacing w:before="120" w:after="0"/>
        <w:ind w:left="0"/>
        <w:jc w:val="center"/>
        <w:rPr>
          <w:rFonts w:ascii="Book Antiqua" w:hAnsi="Book Antiqua"/>
          <w:b/>
          <w:bCs/>
        </w:rPr>
      </w:pPr>
      <w:r w:rsidRPr="0084558B">
        <w:rPr>
          <w:rFonts w:ascii="Book Antiqua" w:hAnsi="Book Antiqua"/>
          <w:b/>
          <w:bCs/>
        </w:rPr>
        <w:t>§ 4</w:t>
      </w:r>
    </w:p>
    <w:p w:rsidR="00880DFE" w:rsidRPr="0084558B" w:rsidP="009507E9">
      <w:pPr>
        <w:pStyle w:val="ListParagraph"/>
        <w:spacing w:before="120" w:after="0"/>
        <w:ind w:left="0"/>
        <w:jc w:val="center"/>
        <w:rPr>
          <w:rFonts w:ascii="Book Antiqua" w:hAnsi="Book Antiqua"/>
          <w:b/>
          <w:bCs/>
        </w:rPr>
      </w:pPr>
      <w:r w:rsidRPr="0084558B">
        <w:rPr>
          <w:rFonts w:ascii="Book Antiqua" w:hAnsi="Book Antiqua"/>
          <w:b/>
          <w:bCs/>
        </w:rPr>
        <w:t>Podmienky poskytnutia čiastočného odškodnenia</w:t>
      </w:r>
    </w:p>
    <w:p w:rsidR="00880DFE" w:rsidRPr="0084558B" w:rsidP="009507E9">
      <w:pPr>
        <w:spacing w:before="120" w:line="276" w:lineRule="auto"/>
        <w:jc w:val="both"/>
        <w:rPr>
          <w:rFonts w:ascii="Book Antiqua" w:hAnsi="Book Antiqua"/>
          <w:bCs/>
          <w:sz w:val="22"/>
          <w:szCs w:val="22"/>
        </w:rPr>
      </w:pPr>
      <w:r w:rsidRPr="0084558B">
        <w:rPr>
          <w:rFonts w:ascii="Book Antiqua" w:hAnsi="Book Antiqua"/>
          <w:bCs/>
          <w:sz w:val="22"/>
          <w:szCs w:val="22"/>
        </w:rPr>
        <w:t>(1) Čiastočné odškodnenie sa poskytne oprávnenej osobe, ktorá podala na príslušnom orgáne, ktorým je Ministerstvo financií Slovenskej republiky (ďalej len „mi</w:t>
      </w:r>
      <w:r w:rsidRPr="0084558B" w:rsidR="00DC2C99">
        <w:rPr>
          <w:rFonts w:ascii="Book Antiqua" w:hAnsi="Book Antiqua"/>
          <w:bCs/>
          <w:sz w:val="22"/>
          <w:szCs w:val="22"/>
        </w:rPr>
        <w:t xml:space="preserve">nisterstvo“) žiadosť </w:t>
      </w:r>
      <w:r w:rsidRPr="0084558B" w:rsidR="00DC2C99">
        <w:rPr>
          <w:rFonts w:ascii="Book Antiqua" w:hAnsi="Book Antiqua"/>
          <w:sz w:val="22"/>
          <w:szCs w:val="22"/>
        </w:rPr>
        <w:t xml:space="preserve">o poskytnutie čiastočného odškodnenia (ďalej len „žiadosť“) </w:t>
      </w:r>
      <w:r w:rsidRPr="0084558B" w:rsidR="00DC2C99">
        <w:rPr>
          <w:rFonts w:ascii="Book Antiqua" w:hAnsi="Book Antiqua"/>
          <w:bCs/>
          <w:sz w:val="22"/>
          <w:szCs w:val="22"/>
        </w:rPr>
        <w:t>v </w:t>
      </w:r>
      <w:r w:rsidRPr="0084558B">
        <w:rPr>
          <w:rFonts w:ascii="Book Antiqua" w:hAnsi="Book Antiqua"/>
          <w:bCs/>
          <w:sz w:val="22"/>
          <w:szCs w:val="22"/>
        </w:rPr>
        <w:t>lehote</w:t>
      </w:r>
      <w:r w:rsidRPr="0084558B" w:rsidR="00DC2C99">
        <w:rPr>
          <w:rFonts w:ascii="Book Antiqua" w:hAnsi="Book Antiqua"/>
          <w:bCs/>
          <w:sz w:val="22"/>
          <w:szCs w:val="22"/>
        </w:rPr>
        <w:t xml:space="preserve"> podľa § 6 ods. 1</w:t>
      </w:r>
      <w:r w:rsidRPr="0084558B">
        <w:rPr>
          <w:rFonts w:ascii="Book Antiqua" w:hAnsi="Book Antiqua"/>
          <w:bCs/>
          <w:sz w:val="22"/>
          <w:szCs w:val="22"/>
        </w:rPr>
        <w:t>, ak</w:t>
      </w:r>
    </w:p>
    <w:p w:rsidR="00880DFE" w:rsidRPr="0084558B" w:rsidP="003E60C5">
      <w:pPr>
        <w:pStyle w:val="ListParagraph"/>
        <w:numPr>
          <w:ilvl w:val="0"/>
          <w:numId w:val="18"/>
        </w:numPr>
        <w:spacing w:before="120"/>
        <w:jc w:val="both"/>
        <w:rPr>
          <w:rFonts w:ascii="Book Antiqua" w:hAnsi="Book Antiqua"/>
          <w:bCs/>
        </w:rPr>
      </w:pPr>
      <w:r w:rsidRPr="0084558B">
        <w:rPr>
          <w:rFonts w:ascii="Book Antiqua" w:hAnsi="Book Antiqua"/>
          <w:bCs/>
        </w:rPr>
        <w:t>preukáže, že ako klient uzatvorila zmluvu s nebankovým subjektom,</w:t>
      </w:r>
    </w:p>
    <w:p w:rsidR="00880DFE" w:rsidRPr="0084558B" w:rsidP="003E60C5">
      <w:pPr>
        <w:pStyle w:val="ListParagraph"/>
        <w:numPr>
          <w:ilvl w:val="0"/>
          <w:numId w:val="18"/>
        </w:numPr>
        <w:spacing w:before="120"/>
        <w:jc w:val="both"/>
        <w:rPr>
          <w:rFonts w:ascii="Book Antiqua" w:hAnsi="Book Antiqua"/>
          <w:bCs/>
        </w:rPr>
      </w:pPr>
      <w:r w:rsidRPr="0084558B">
        <w:rPr>
          <w:rFonts w:ascii="Book Antiqua" w:hAnsi="Book Antiqua"/>
          <w:bCs/>
        </w:rPr>
        <w:t xml:space="preserve">predloží doklad o vrátení alebo vyplatení </w:t>
      </w:r>
      <w:r w:rsidRPr="0084558B" w:rsidR="00EA2047">
        <w:rPr>
          <w:rFonts w:ascii="Book Antiqua" w:hAnsi="Book Antiqua"/>
          <w:bCs/>
        </w:rPr>
        <w:t>časti jej podielu</w:t>
      </w:r>
      <w:r w:rsidRPr="0084558B">
        <w:rPr>
          <w:rFonts w:ascii="Book Antiqua" w:hAnsi="Book Antiqua"/>
          <w:bCs/>
        </w:rPr>
        <w:t xml:space="preserve"> nebankovým subjektom </w:t>
      </w:r>
      <w:r w:rsidRPr="0084558B" w:rsidR="00CE055D">
        <w:rPr>
          <w:rFonts w:ascii="Book Antiqua" w:hAnsi="Book Antiqua"/>
          <w:bCs/>
        </w:rPr>
        <w:t xml:space="preserve">alebo podielu na zisku nebankového subjektu z tohto podielu alebo z podielu na výsledku podnikania nebankového subjektu z tohto podielu (ďalej len „výnos z podielu“) </w:t>
      </w:r>
      <w:r w:rsidRPr="0084558B">
        <w:rPr>
          <w:rFonts w:ascii="Book Antiqua" w:hAnsi="Book Antiqua"/>
          <w:bCs/>
        </w:rPr>
        <w:t xml:space="preserve">alebo predloží čestné vyhlásenie, že </w:t>
      </w:r>
      <w:r w:rsidRPr="0084558B" w:rsidR="00EA2047">
        <w:rPr>
          <w:rFonts w:ascii="Book Antiqua" w:hAnsi="Book Antiqua"/>
          <w:bCs/>
        </w:rPr>
        <w:t>jej nebankovým subjektom nebola vrátená alebo vyplatená ani časť jej podielu</w:t>
      </w:r>
      <w:r w:rsidRPr="0084558B">
        <w:rPr>
          <w:rFonts w:ascii="Book Antiqua" w:hAnsi="Book Antiqua"/>
          <w:bCs/>
        </w:rPr>
        <w:t>,</w:t>
      </w:r>
      <w:r w:rsidRPr="0084558B" w:rsidR="00CE055D">
        <w:rPr>
          <w:rFonts w:ascii="Book Antiqua" w:hAnsi="Book Antiqua"/>
          <w:bCs/>
        </w:rPr>
        <w:t xml:space="preserve"> ako ani žiadne výnosy z podielu,</w:t>
      </w:r>
    </w:p>
    <w:p w:rsidR="00880DFE" w:rsidRPr="0084558B" w:rsidP="00001408">
      <w:pPr>
        <w:pStyle w:val="ListParagraph"/>
        <w:numPr>
          <w:ilvl w:val="0"/>
          <w:numId w:val="18"/>
        </w:numPr>
        <w:spacing w:before="120"/>
        <w:jc w:val="both"/>
        <w:rPr>
          <w:rFonts w:ascii="Book Antiqua" w:hAnsi="Book Antiqua"/>
          <w:bCs/>
        </w:rPr>
      </w:pPr>
      <w:r w:rsidRPr="0084558B">
        <w:rPr>
          <w:rFonts w:ascii="Book Antiqua" w:hAnsi="Book Antiqua"/>
          <w:bCs/>
        </w:rPr>
        <w:t>preukáže, že podala návrh na vyhlásenie konkurzu</w:t>
      </w:r>
      <w:r>
        <w:rPr>
          <w:rStyle w:val="FootnoteReference"/>
          <w:rFonts w:ascii="Book Antiqua" w:hAnsi="Book Antiqua"/>
          <w:color w:val="000000"/>
        </w:rPr>
        <w:footnoteReference w:id="10"/>
      </w:r>
      <w:r w:rsidRPr="0084558B">
        <w:rPr>
          <w:rFonts w:ascii="Book Antiqua" w:hAnsi="Book Antiqua"/>
          <w:color w:val="000000"/>
          <w:vertAlign w:val="superscript"/>
        </w:rPr>
        <w:t>)</w:t>
      </w:r>
      <w:r w:rsidRPr="0084558B">
        <w:rPr>
          <w:rFonts w:ascii="Book Antiqua" w:hAnsi="Book Antiqua"/>
          <w:bCs/>
        </w:rPr>
        <w:t xml:space="preserve"> nebankového subjektu a zaplatila príslušný preddavok</w:t>
      </w:r>
      <w:r>
        <w:rPr>
          <w:rStyle w:val="FootnoteReference"/>
          <w:rFonts w:ascii="Book Antiqua" w:hAnsi="Book Antiqua"/>
          <w:color w:val="000000"/>
        </w:rPr>
        <w:footnoteReference w:id="11"/>
      </w:r>
      <w:r w:rsidRPr="0084558B">
        <w:rPr>
          <w:rFonts w:ascii="Book Antiqua" w:hAnsi="Book Antiqua"/>
          <w:color w:val="000000"/>
          <w:vertAlign w:val="superscript"/>
        </w:rPr>
        <w:t>)</w:t>
      </w:r>
      <w:r w:rsidRPr="0084558B">
        <w:rPr>
          <w:rFonts w:ascii="Book Antiqua" w:hAnsi="Book Antiqua"/>
          <w:bCs/>
        </w:rPr>
        <w:t xml:space="preserve"> alebo ak preukáže, že riadne a včas prihlásila</w:t>
      </w:r>
      <w:r>
        <w:rPr>
          <w:rStyle w:val="FootnoteReference"/>
          <w:rFonts w:ascii="Book Antiqua" w:hAnsi="Book Antiqua"/>
          <w:color w:val="000000"/>
        </w:rPr>
        <w:footnoteReference w:id="12"/>
      </w:r>
      <w:r w:rsidRPr="0084558B">
        <w:rPr>
          <w:rFonts w:ascii="Book Antiqua" w:hAnsi="Book Antiqua"/>
          <w:color w:val="000000"/>
          <w:vertAlign w:val="superscript"/>
        </w:rPr>
        <w:t>)</w:t>
      </w:r>
      <w:r w:rsidRPr="0084558B">
        <w:rPr>
          <w:rFonts w:ascii="Book Antiqua" w:hAnsi="Book Antiqua"/>
          <w:bCs/>
        </w:rPr>
        <w:t xml:space="preserve"> svoju pohľadávku do konkurzu voči nebankovému subjektu,</w:t>
      </w:r>
      <w:r w:rsidRPr="0084558B" w:rsidR="00EA2047">
        <w:rPr>
          <w:rFonts w:ascii="Book Antiqua" w:hAnsi="Book Antiqua"/>
          <w:bCs/>
        </w:rPr>
        <w:t xml:space="preserve"> ak </w:t>
      </w:r>
      <w:r w:rsidRPr="0084558B" w:rsidR="00B04EF9">
        <w:rPr>
          <w:rFonts w:ascii="Book Antiqua" w:hAnsi="Book Antiqua"/>
          <w:bCs/>
        </w:rPr>
        <w:t>nepredloží doklad podľa písmena d) alebo e),</w:t>
      </w:r>
    </w:p>
    <w:p w:rsidR="00880DFE" w:rsidRPr="0084558B" w:rsidP="00001408">
      <w:pPr>
        <w:pStyle w:val="ListParagraph"/>
        <w:numPr>
          <w:ilvl w:val="0"/>
          <w:numId w:val="18"/>
        </w:numPr>
        <w:spacing w:before="120"/>
        <w:jc w:val="both"/>
        <w:rPr>
          <w:rFonts w:ascii="Book Antiqua" w:hAnsi="Book Antiqua"/>
          <w:bCs/>
        </w:rPr>
      </w:pPr>
      <w:r w:rsidRPr="0084558B">
        <w:rPr>
          <w:rFonts w:ascii="Book Antiqua" w:hAnsi="Book Antiqua"/>
          <w:bCs/>
        </w:rPr>
        <w:t>predloží doklad preukazujúci ukončenie konkurzu</w:t>
      </w:r>
      <w:r>
        <w:rPr>
          <w:rStyle w:val="FootnoteReference"/>
          <w:rFonts w:ascii="Book Antiqua" w:hAnsi="Book Antiqua"/>
          <w:color w:val="000000"/>
        </w:rPr>
        <w:footnoteReference w:id="13"/>
      </w:r>
      <w:r w:rsidRPr="0084558B">
        <w:rPr>
          <w:rFonts w:ascii="Book Antiqua" w:hAnsi="Book Antiqua"/>
          <w:color w:val="000000"/>
          <w:vertAlign w:val="superscript"/>
        </w:rPr>
        <w:t>)</w:t>
      </w:r>
      <w:r w:rsidRPr="0084558B">
        <w:rPr>
          <w:rFonts w:ascii="Book Antiqua" w:hAnsi="Book Antiqua"/>
          <w:bCs/>
        </w:rPr>
        <w:t xml:space="preserve"> a výšku uspokojenej pohľadávky v konkurznom k</w:t>
      </w:r>
      <w:r w:rsidRPr="0084558B" w:rsidR="00B04EF9">
        <w:rPr>
          <w:rFonts w:ascii="Book Antiqua" w:hAnsi="Book Antiqua"/>
          <w:bCs/>
        </w:rPr>
        <w:t>onaní voči nebankovému subjektu, ak nepreukáže skutočnosti podľa písmena c) alebo nepredloží doklad podľa písmena e),</w:t>
      </w:r>
    </w:p>
    <w:p w:rsidR="00B04EF9" w:rsidRPr="0084558B" w:rsidP="00B04EF9">
      <w:pPr>
        <w:pStyle w:val="ListParagraph"/>
        <w:numPr>
          <w:ilvl w:val="0"/>
          <w:numId w:val="18"/>
        </w:numPr>
        <w:spacing w:before="120"/>
        <w:jc w:val="both"/>
        <w:rPr>
          <w:rFonts w:ascii="Book Antiqua" w:hAnsi="Book Antiqua"/>
          <w:bCs/>
        </w:rPr>
      </w:pPr>
      <w:r w:rsidRPr="0084558B">
        <w:rPr>
          <w:rFonts w:ascii="Book Antiqua" w:hAnsi="Book Antiqua"/>
          <w:bCs/>
        </w:rPr>
        <w:t>predloží doklad preukazujúci skončenie podnikania nebankového subjektu, ak nepreukáže skutočnosti podľa písmena c) alebo nep</w:t>
      </w:r>
      <w:r w:rsidRPr="0084558B" w:rsidR="00041A76">
        <w:rPr>
          <w:rFonts w:ascii="Book Antiqua" w:hAnsi="Book Antiqua"/>
          <w:bCs/>
        </w:rPr>
        <w:t>redloží doklad podľa písmena d),</w:t>
      </w:r>
    </w:p>
    <w:p w:rsidR="00041A76" w:rsidRPr="0084558B" w:rsidP="00B04EF9">
      <w:pPr>
        <w:pStyle w:val="ListParagraph"/>
        <w:numPr>
          <w:ilvl w:val="0"/>
          <w:numId w:val="18"/>
        </w:numPr>
        <w:spacing w:before="120"/>
        <w:jc w:val="both"/>
        <w:rPr>
          <w:rFonts w:ascii="Book Antiqua" w:hAnsi="Book Antiqua"/>
          <w:bCs/>
        </w:rPr>
      </w:pPr>
      <w:r w:rsidRPr="0084558B">
        <w:rPr>
          <w:rFonts w:ascii="Book Antiqua" w:hAnsi="Book Antiqua"/>
          <w:bCs/>
        </w:rPr>
        <w:t>preukáže, že zaplatila príslušnú daň</w:t>
      </w:r>
      <w:r>
        <w:rPr>
          <w:rStyle w:val="FootnoteReference"/>
          <w:rFonts w:ascii="Book Antiqua" w:hAnsi="Book Antiqua"/>
          <w:color w:val="000000"/>
        </w:rPr>
        <w:footnoteReference w:id="14"/>
      </w:r>
      <w:r w:rsidRPr="0084558B" w:rsidR="004A0829">
        <w:rPr>
          <w:rFonts w:ascii="Book Antiqua" w:hAnsi="Book Antiqua"/>
          <w:color w:val="000000"/>
          <w:vertAlign w:val="superscript"/>
        </w:rPr>
        <w:t>)</w:t>
      </w:r>
      <w:r w:rsidRPr="0084558B" w:rsidR="004A0829">
        <w:rPr>
          <w:rFonts w:ascii="Book Antiqua" w:hAnsi="Book Antiqua"/>
          <w:bCs/>
        </w:rPr>
        <w:t xml:space="preserve"> z</w:t>
      </w:r>
      <w:r w:rsidRPr="0084558B" w:rsidR="00CE055D">
        <w:rPr>
          <w:rFonts w:ascii="Book Antiqua" w:hAnsi="Book Antiqua"/>
          <w:bCs/>
        </w:rPr>
        <w:t xml:space="preserve"> výnosu z </w:t>
      </w:r>
      <w:r w:rsidRPr="0084558B" w:rsidR="004A0829">
        <w:rPr>
          <w:rFonts w:ascii="Book Antiqua" w:hAnsi="Book Antiqua"/>
          <w:bCs/>
        </w:rPr>
        <w:t>p</w:t>
      </w:r>
      <w:r w:rsidRPr="0084558B" w:rsidR="00CE055D">
        <w:rPr>
          <w:rFonts w:ascii="Book Antiqua" w:hAnsi="Book Antiqua"/>
          <w:bCs/>
        </w:rPr>
        <w:t>odielu</w:t>
      </w:r>
      <w:r w:rsidRPr="0084558B" w:rsidR="004A0829">
        <w:rPr>
          <w:rFonts w:ascii="Book Antiqua" w:hAnsi="Book Antiqua"/>
          <w:bCs/>
        </w:rPr>
        <w:t xml:space="preserve">, ak jej takýto </w:t>
      </w:r>
      <w:r w:rsidRPr="0084558B" w:rsidR="00F91398">
        <w:rPr>
          <w:rFonts w:ascii="Book Antiqua" w:hAnsi="Book Antiqua"/>
          <w:bCs/>
        </w:rPr>
        <w:t>výnos</w:t>
      </w:r>
      <w:r w:rsidRPr="0084558B" w:rsidR="004A0829">
        <w:rPr>
          <w:rFonts w:ascii="Book Antiqua" w:hAnsi="Book Antiqua"/>
          <w:bCs/>
        </w:rPr>
        <w:t xml:space="preserve"> bol do skončenia činnosti nebankového subjektu alebo do skončenia konkurzu voči nebankovému subjektu vyplatený.</w:t>
      </w:r>
    </w:p>
    <w:p w:rsidR="00880DFE" w:rsidRPr="0084558B" w:rsidP="003B72E7">
      <w:pPr>
        <w:spacing w:before="120" w:line="276" w:lineRule="auto"/>
        <w:jc w:val="both"/>
        <w:rPr>
          <w:rFonts w:ascii="Book Antiqua" w:hAnsi="Book Antiqua"/>
          <w:bCs/>
          <w:sz w:val="22"/>
          <w:szCs w:val="22"/>
        </w:rPr>
      </w:pPr>
      <w:r w:rsidRPr="0084558B">
        <w:rPr>
          <w:rFonts w:ascii="Book Antiqua" w:hAnsi="Book Antiqua"/>
          <w:bCs/>
          <w:sz w:val="22"/>
          <w:szCs w:val="22"/>
        </w:rPr>
        <w:t xml:space="preserve">(2) Ak bola oprávnenej osobe spôsobená majetková ujma </w:t>
      </w:r>
      <w:r w:rsidR="00017A1E">
        <w:rPr>
          <w:rFonts w:ascii="Book Antiqua" w:hAnsi="Book Antiqua"/>
          <w:bCs/>
          <w:sz w:val="22"/>
          <w:szCs w:val="22"/>
        </w:rPr>
        <w:t>v dôsledku nedodržania zmluvy</w:t>
      </w:r>
      <w:r w:rsidRPr="0084558B" w:rsidR="00017A1E">
        <w:rPr>
          <w:rFonts w:ascii="Book Antiqua" w:hAnsi="Book Antiqua"/>
          <w:bCs/>
          <w:sz w:val="22"/>
          <w:szCs w:val="22"/>
        </w:rPr>
        <w:t xml:space="preserve"> </w:t>
      </w:r>
      <w:r w:rsidRPr="0084558B">
        <w:rPr>
          <w:rFonts w:ascii="Book Antiqua" w:hAnsi="Book Antiqua"/>
          <w:bCs/>
          <w:sz w:val="22"/>
          <w:szCs w:val="22"/>
        </w:rPr>
        <w:t xml:space="preserve">viacerými nebankovými subjektmi, čiastočné odškodnenie sa jej poskytne za </w:t>
      </w:r>
      <w:r w:rsidR="0084558B">
        <w:rPr>
          <w:rFonts w:ascii="Book Antiqua" w:hAnsi="Book Antiqua"/>
          <w:bCs/>
          <w:sz w:val="22"/>
          <w:szCs w:val="22"/>
        </w:rPr>
        <w:t>ktorýkoľvek z týchto subjektov alebo za viacero t</w:t>
      </w:r>
      <w:r w:rsidR="008E267E">
        <w:rPr>
          <w:rFonts w:ascii="Book Antiqua" w:hAnsi="Book Antiqua"/>
          <w:bCs/>
          <w:sz w:val="22"/>
          <w:szCs w:val="22"/>
        </w:rPr>
        <w:t>ak</w:t>
      </w:r>
      <w:r w:rsidR="0084558B">
        <w:rPr>
          <w:rFonts w:ascii="Book Antiqua" w:hAnsi="Book Antiqua"/>
          <w:bCs/>
          <w:sz w:val="22"/>
          <w:szCs w:val="22"/>
        </w:rPr>
        <w:t>ýchto subjektov podľa jej výberu</w:t>
      </w:r>
      <w:r w:rsidRPr="0084558B">
        <w:rPr>
          <w:rFonts w:ascii="Book Antiqua" w:hAnsi="Book Antiqua"/>
          <w:bCs/>
          <w:sz w:val="22"/>
          <w:szCs w:val="22"/>
        </w:rPr>
        <w:t xml:space="preserve">, ale len do maximálnej výšky </w:t>
      </w:r>
      <w:r w:rsidRPr="0084558B" w:rsidR="00B04EF9">
        <w:rPr>
          <w:rFonts w:ascii="Book Antiqua" w:hAnsi="Book Antiqua"/>
          <w:bCs/>
          <w:sz w:val="22"/>
          <w:szCs w:val="22"/>
        </w:rPr>
        <w:t xml:space="preserve">čiastočného odškodnenia </w:t>
      </w:r>
      <w:r w:rsidRPr="0084558B">
        <w:rPr>
          <w:rFonts w:ascii="Book Antiqua" w:hAnsi="Book Antiqua"/>
          <w:bCs/>
          <w:sz w:val="22"/>
          <w:szCs w:val="22"/>
        </w:rPr>
        <w:t>uvedenej v § 5 ods. 1.</w:t>
      </w:r>
    </w:p>
    <w:p w:rsidR="00B04EF9" w:rsidRPr="0084558B" w:rsidP="003B72E7">
      <w:pPr>
        <w:spacing w:before="120" w:line="276" w:lineRule="auto"/>
        <w:jc w:val="both"/>
        <w:rPr>
          <w:rFonts w:ascii="Book Antiqua" w:hAnsi="Book Antiqua"/>
          <w:bCs/>
          <w:sz w:val="22"/>
          <w:szCs w:val="22"/>
        </w:rPr>
      </w:pPr>
      <w:r w:rsidRPr="0084558B">
        <w:rPr>
          <w:rFonts w:ascii="Book Antiqua" w:hAnsi="Book Antiqua"/>
          <w:bCs/>
          <w:sz w:val="22"/>
          <w:szCs w:val="22"/>
        </w:rPr>
        <w:t>(3) Čiastočné odškodnenie sa oprávnenej osobe poskytne len pod podmienkou, že nebankový</w:t>
      </w:r>
      <w:r w:rsidR="00711256">
        <w:rPr>
          <w:rFonts w:ascii="Book Antiqua" w:hAnsi="Book Antiqua"/>
          <w:bCs/>
          <w:sz w:val="22"/>
          <w:szCs w:val="22"/>
        </w:rPr>
        <w:t xml:space="preserve"> subjekt </w:t>
      </w:r>
      <w:r w:rsidRPr="0084558B">
        <w:rPr>
          <w:rFonts w:ascii="Book Antiqua" w:hAnsi="Book Antiqua"/>
          <w:bCs/>
          <w:sz w:val="22"/>
          <w:szCs w:val="22"/>
        </w:rPr>
        <w:t>preukázateľne ponúkal klientom možnosť podieľať sa na jeho podnikaní aj prostredníctvom verejnoprávneho vysielateľa</w:t>
      </w:r>
      <w:r w:rsidRPr="0084558B">
        <w:rPr>
          <w:rFonts w:ascii="Book Antiqua" w:hAnsi="Book Antiqua"/>
          <w:color w:val="000000"/>
          <w:sz w:val="22"/>
          <w:szCs w:val="22"/>
        </w:rPr>
        <w:t>.</w:t>
      </w:r>
    </w:p>
    <w:p w:rsidR="00880DFE" w:rsidRPr="0084558B" w:rsidP="003B72E7">
      <w:pPr>
        <w:spacing w:before="120" w:line="276" w:lineRule="auto"/>
        <w:jc w:val="both"/>
        <w:rPr>
          <w:rFonts w:ascii="Book Antiqua" w:hAnsi="Book Antiqua"/>
          <w:bCs/>
          <w:sz w:val="22"/>
          <w:szCs w:val="22"/>
        </w:rPr>
      </w:pPr>
    </w:p>
    <w:p w:rsidR="00880DFE" w:rsidRPr="0084558B" w:rsidP="003B72E7">
      <w:pPr>
        <w:spacing w:before="120" w:line="276" w:lineRule="auto"/>
        <w:jc w:val="center"/>
        <w:rPr>
          <w:rFonts w:ascii="Book Antiqua" w:hAnsi="Book Antiqua"/>
          <w:b/>
          <w:bCs/>
          <w:sz w:val="22"/>
          <w:szCs w:val="22"/>
        </w:rPr>
      </w:pPr>
      <w:r w:rsidRPr="0084558B">
        <w:rPr>
          <w:rFonts w:ascii="Book Antiqua" w:hAnsi="Book Antiqua"/>
          <w:b/>
          <w:bCs/>
          <w:sz w:val="22"/>
          <w:szCs w:val="22"/>
        </w:rPr>
        <w:t>§ 5</w:t>
      </w:r>
    </w:p>
    <w:p w:rsidR="00880DFE" w:rsidRPr="0084558B" w:rsidP="003B72E7">
      <w:pPr>
        <w:spacing w:before="120" w:line="276" w:lineRule="auto"/>
        <w:jc w:val="center"/>
        <w:rPr>
          <w:rFonts w:ascii="Book Antiqua" w:hAnsi="Book Antiqua"/>
          <w:b/>
          <w:bCs/>
          <w:sz w:val="22"/>
          <w:szCs w:val="22"/>
        </w:rPr>
      </w:pPr>
      <w:r w:rsidRPr="0084558B">
        <w:rPr>
          <w:rFonts w:ascii="Book Antiqua" w:hAnsi="Book Antiqua"/>
          <w:b/>
          <w:bCs/>
          <w:sz w:val="22"/>
          <w:szCs w:val="22"/>
        </w:rPr>
        <w:t>Výška čiastočného odškodnenia</w:t>
      </w:r>
    </w:p>
    <w:p w:rsidR="00880DFE" w:rsidRPr="0084558B" w:rsidP="00C50AE8">
      <w:pPr>
        <w:spacing w:before="120" w:line="276" w:lineRule="auto"/>
        <w:jc w:val="both"/>
        <w:rPr>
          <w:rFonts w:ascii="Book Antiqua" w:hAnsi="Book Antiqua"/>
          <w:sz w:val="22"/>
          <w:szCs w:val="22"/>
        </w:rPr>
      </w:pPr>
      <w:r w:rsidRPr="0084558B">
        <w:rPr>
          <w:rFonts w:ascii="Book Antiqua" w:hAnsi="Book Antiqua"/>
          <w:bCs/>
          <w:sz w:val="22"/>
          <w:szCs w:val="22"/>
        </w:rPr>
        <w:t>(1)</w:t>
      </w:r>
      <w:r w:rsidRPr="0084558B">
        <w:rPr>
          <w:rFonts w:ascii="Book Antiqua" w:hAnsi="Book Antiqua"/>
          <w:sz w:val="22"/>
          <w:szCs w:val="22"/>
        </w:rPr>
        <w:t xml:space="preserve"> Pri určení výšky čiastočného odškodnenia sa vychádza z výšky podielu oprávnenej osoby. Maximálna výška podielu oprávnenej osoby, ktorý sa zohľadňuje pri poskytovaní čiastočného odškodnenia, je 33 000 eur a maximálna výška čiastočného odškodnenia pre jednu oprávnenú osobu </w:t>
      </w:r>
      <w:r w:rsidRPr="0084558B" w:rsidR="00CE055D">
        <w:rPr>
          <w:rFonts w:ascii="Book Antiqua" w:hAnsi="Book Antiqua"/>
          <w:sz w:val="22"/>
          <w:szCs w:val="22"/>
        </w:rPr>
        <w:t xml:space="preserve">z tohto podielu </w:t>
      </w:r>
      <w:r w:rsidRPr="0084558B">
        <w:rPr>
          <w:rFonts w:ascii="Book Antiqua" w:hAnsi="Book Antiqua"/>
          <w:sz w:val="22"/>
          <w:szCs w:val="22"/>
        </w:rPr>
        <w:t>je 13 200 eur.</w:t>
      </w:r>
    </w:p>
    <w:p w:rsidR="00880DFE" w:rsidRPr="0084558B" w:rsidP="00C50AE8">
      <w:pPr>
        <w:spacing w:before="120" w:line="276" w:lineRule="auto"/>
        <w:jc w:val="both"/>
        <w:rPr>
          <w:rFonts w:ascii="Book Antiqua" w:hAnsi="Book Antiqua"/>
          <w:sz w:val="22"/>
          <w:szCs w:val="22"/>
        </w:rPr>
      </w:pPr>
      <w:r w:rsidRPr="0084558B">
        <w:rPr>
          <w:rFonts w:ascii="Book Antiqua" w:hAnsi="Book Antiqua"/>
          <w:sz w:val="22"/>
          <w:szCs w:val="22"/>
        </w:rPr>
        <w:t xml:space="preserve">(2) Pri určení výšky čiastočného odškodnenia sa od podielu oprávnenej osoby odpočíta suma finančných prostriedkov, ktorú nebankový subjekt preukázateľne vrátil alebo vyplatil oprávnenej osobe, ako aj suma uspokojenej pohľadávky oprávnenej osoby v konkurznom </w:t>
      </w:r>
      <w:r w:rsidRPr="0084558B">
        <w:rPr>
          <w:rFonts w:ascii="Book Antiqua" w:hAnsi="Book Antiqua"/>
          <w:sz w:val="22"/>
          <w:szCs w:val="22"/>
        </w:rPr>
        <w:t xml:space="preserve">konaní voči takémuto nebankovému subjektu, a to </w:t>
      </w:r>
      <w:r w:rsidRPr="0084558B" w:rsidR="00B04EF9">
        <w:rPr>
          <w:rFonts w:ascii="Book Antiqua" w:hAnsi="Book Antiqua"/>
          <w:sz w:val="22"/>
          <w:szCs w:val="22"/>
        </w:rPr>
        <w:t xml:space="preserve">pri zohľadnení maximálnej výšky čiastočného odškodnenia </w:t>
      </w:r>
      <w:r w:rsidRPr="0084558B">
        <w:rPr>
          <w:rFonts w:ascii="Book Antiqua" w:hAnsi="Book Antiqua"/>
          <w:sz w:val="22"/>
          <w:szCs w:val="22"/>
        </w:rPr>
        <w:t>uvedenej v odseku 1. Takto vypočítaná suma sa následne vynásobí príslušnými koeficientmi takto</w:t>
      </w:r>
    </w:p>
    <w:p w:rsidR="00880DFE" w:rsidRPr="0084558B" w:rsidP="00C50AE8">
      <w:pPr>
        <w:pStyle w:val="ListParagraph"/>
        <w:numPr>
          <w:ilvl w:val="0"/>
          <w:numId w:val="19"/>
        </w:numPr>
        <w:spacing w:before="120"/>
        <w:jc w:val="both"/>
        <w:rPr>
          <w:rFonts w:ascii="Book Antiqua" w:hAnsi="Book Antiqua"/>
        </w:rPr>
      </w:pPr>
      <w:r w:rsidRPr="0084558B">
        <w:rPr>
          <w:rFonts w:ascii="Book Antiqua" w:hAnsi="Book Antiqua"/>
        </w:rPr>
        <w:t>pri podiele vo výške do 10 000 eur koeficientom 0,5,</w:t>
      </w:r>
    </w:p>
    <w:p w:rsidR="00880DFE" w:rsidRPr="0084558B" w:rsidP="00C50AE8">
      <w:pPr>
        <w:pStyle w:val="ListParagraph"/>
        <w:numPr>
          <w:ilvl w:val="0"/>
          <w:numId w:val="19"/>
        </w:numPr>
        <w:spacing w:before="120"/>
        <w:jc w:val="both"/>
        <w:rPr>
          <w:rFonts w:ascii="Book Antiqua" w:hAnsi="Book Antiqua"/>
        </w:rPr>
      </w:pPr>
      <w:r w:rsidRPr="0084558B">
        <w:rPr>
          <w:rFonts w:ascii="Book Antiqua" w:hAnsi="Book Antiqua"/>
        </w:rPr>
        <w:t>pri podiele vo výške od 10 001 eur do 13 000 eur koeficientom 0,48,</w:t>
      </w:r>
    </w:p>
    <w:p w:rsidR="00880DFE" w:rsidRPr="0084558B" w:rsidP="00C50AE8">
      <w:pPr>
        <w:pStyle w:val="ListParagraph"/>
        <w:numPr>
          <w:ilvl w:val="0"/>
          <w:numId w:val="19"/>
        </w:numPr>
        <w:spacing w:before="120"/>
        <w:jc w:val="both"/>
        <w:rPr>
          <w:rFonts w:ascii="Book Antiqua" w:hAnsi="Book Antiqua"/>
        </w:rPr>
      </w:pPr>
      <w:r w:rsidRPr="0084558B">
        <w:rPr>
          <w:rFonts w:ascii="Book Antiqua" w:hAnsi="Book Antiqua"/>
        </w:rPr>
        <w:t>pri podiele vo výške od 13 001 eur do 16 000 eur  koeficientom 0,46,</w:t>
      </w:r>
    </w:p>
    <w:p w:rsidR="00880DFE" w:rsidRPr="0084558B" w:rsidP="00C50AE8">
      <w:pPr>
        <w:pStyle w:val="ListParagraph"/>
        <w:numPr>
          <w:ilvl w:val="0"/>
          <w:numId w:val="19"/>
        </w:numPr>
        <w:spacing w:before="120"/>
        <w:jc w:val="both"/>
        <w:rPr>
          <w:rFonts w:ascii="Book Antiqua" w:hAnsi="Book Antiqua"/>
        </w:rPr>
      </w:pPr>
      <w:r w:rsidRPr="0084558B">
        <w:rPr>
          <w:rFonts w:ascii="Book Antiqua" w:hAnsi="Book Antiqua"/>
        </w:rPr>
        <w:t>pri podiele vo výške od 16 001 eur do 20 000 eur koeficientom 0,44,</w:t>
      </w:r>
    </w:p>
    <w:p w:rsidR="00880DFE" w:rsidRPr="0084558B" w:rsidP="00C50AE8">
      <w:pPr>
        <w:pStyle w:val="ListParagraph"/>
        <w:numPr>
          <w:ilvl w:val="0"/>
          <w:numId w:val="19"/>
        </w:numPr>
        <w:spacing w:before="120"/>
        <w:jc w:val="both"/>
        <w:rPr>
          <w:rFonts w:ascii="Book Antiqua" w:hAnsi="Book Antiqua"/>
        </w:rPr>
      </w:pPr>
      <w:r w:rsidRPr="0084558B">
        <w:rPr>
          <w:rFonts w:ascii="Book Antiqua" w:hAnsi="Book Antiqua"/>
        </w:rPr>
        <w:t>pri podiele vo výške od 20 001 eur do 23 000 eur koeficientom 0,42,</w:t>
      </w:r>
    </w:p>
    <w:p w:rsidR="00880DFE" w:rsidRPr="0084558B" w:rsidP="00C50AE8">
      <w:pPr>
        <w:pStyle w:val="ListParagraph"/>
        <w:numPr>
          <w:ilvl w:val="0"/>
          <w:numId w:val="19"/>
        </w:numPr>
        <w:spacing w:before="120"/>
        <w:jc w:val="both"/>
        <w:rPr>
          <w:rFonts w:ascii="Book Antiqua" w:hAnsi="Book Antiqua"/>
        </w:rPr>
      </w:pPr>
      <w:r w:rsidRPr="0084558B">
        <w:rPr>
          <w:rFonts w:ascii="Book Antiqua" w:hAnsi="Book Antiqua"/>
        </w:rPr>
        <w:t>pri podiele vo výške od 23 001 eur do 33 000 eur koeficientom 0,4.</w:t>
      </w:r>
    </w:p>
    <w:p w:rsidR="00880DFE" w:rsidRPr="0084558B" w:rsidP="00D212CB">
      <w:pPr>
        <w:spacing w:before="120"/>
        <w:jc w:val="both"/>
        <w:rPr>
          <w:rFonts w:ascii="Book Antiqua" w:hAnsi="Book Antiqua"/>
          <w:sz w:val="22"/>
          <w:szCs w:val="22"/>
        </w:rPr>
      </w:pPr>
      <w:r w:rsidRPr="0084558B">
        <w:rPr>
          <w:rFonts w:ascii="Book Antiqua" w:hAnsi="Book Antiqua"/>
          <w:sz w:val="22"/>
          <w:szCs w:val="22"/>
        </w:rPr>
        <w:t>(3) Výsledná suma vypočítaná podľa odseku 2 pri zohľadnení maximálnej výšky podľa odseku 1 je suma vo výške, v akej sa oprávnenej osobe poskytne čiastočné odškodnenie.</w:t>
      </w:r>
    </w:p>
    <w:p w:rsidR="00880DFE" w:rsidRPr="0084558B" w:rsidP="00D212CB">
      <w:pPr>
        <w:spacing w:before="120"/>
        <w:jc w:val="both"/>
        <w:rPr>
          <w:rFonts w:ascii="Book Antiqua" w:hAnsi="Book Antiqua"/>
          <w:sz w:val="22"/>
          <w:szCs w:val="22"/>
        </w:rPr>
      </w:pPr>
    </w:p>
    <w:p w:rsidR="00880DFE" w:rsidRPr="0084558B" w:rsidP="00D212CB">
      <w:pPr>
        <w:spacing w:before="120"/>
        <w:jc w:val="center"/>
        <w:rPr>
          <w:rFonts w:ascii="Book Antiqua" w:hAnsi="Book Antiqua"/>
          <w:b/>
          <w:bCs/>
          <w:sz w:val="22"/>
          <w:szCs w:val="22"/>
        </w:rPr>
      </w:pPr>
      <w:r w:rsidRPr="0084558B">
        <w:rPr>
          <w:rFonts w:ascii="Book Antiqua" w:hAnsi="Book Antiqua"/>
          <w:b/>
          <w:bCs/>
          <w:sz w:val="22"/>
          <w:szCs w:val="22"/>
        </w:rPr>
        <w:t>§ 6</w:t>
      </w:r>
    </w:p>
    <w:p w:rsidR="00880DFE" w:rsidRPr="0084558B" w:rsidP="00D212CB">
      <w:pPr>
        <w:spacing w:before="120"/>
        <w:jc w:val="center"/>
        <w:rPr>
          <w:rFonts w:ascii="Book Antiqua" w:hAnsi="Book Antiqua"/>
          <w:sz w:val="22"/>
          <w:szCs w:val="22"/>
        </w:rPr>
      </w:pPr>
      <w:r w:rsidRPr="0084558B">
        <w:rPr>
          <w:rFonts w:ascii="Book Antiqua" w:hAnsi="Book Antiqua"/>
          <w:b/>
          <w:bCs/>
          <w:sz w:val="22"/>
          <w:szCs w:val="22"/>
        </w:rPr>
        <w:t>Postup pri poskytnutí čiastočného odškodnenia</w:t>
      </w:r>
    </w:p>
    <w:p w:rsidR="00880DFE" w:rsidRPr="0084558B" w:rsidP="00153127">
      <w:pPr>
        <w:spacing w:before="120" w:line="276" w:lineRule="auto"/>
        <w:jc w:val="both"/>
        <w:rPr>
          <w:rFonts w:ascii="Book Antiqua" w:hAnsi="Book Antiqua"/>
          <w:sz w:val="22"/>
          <w:szCs w:val="22"/>
        </w:rPr>
      </w:pPr>
      <w:r w:rsidRPr="0084558B">
        <w:rPr>
          <w:rFonts w:ascii="Book Antiqua" w:hAnsi="Book Antiqua"/>
          <w:bCs/>
          <w:sz w:val="22"/>
          <w:szCs w:val="22"/>
        </w:rPr>
        <w:t>(1)</w:t>
      </w:r>
      <w:r w:rsidRPr="0084558B">
        <w:rPr>
          <w:rFonts w:ascii="Book Antiqua" w:hAnsi="Book Antiqua"/>
          <w:sz w:val="22"/>
          <w:szCs w:val="22"/>
        </w:rPr>
        <w:t xml:space="preserve"> Žiad</w:t>
      </w:r>
      <w:r w:rsidRPr="0084558B" w:rsidR="00DC2C99">
        <w:rPr>
          <w:rFonts w:ascii="Book Antiqua" w:hAnsi="Book Antiqua"/>
          <w:sz w:val="22"/>
          <w:szCs w:val="22"/>
        </w:rPr>
        <w:t xml:space="preserve">osť </w:t>
      </w:r>
      <w:r w:rsidRPr="0084558B">
        <w:rPr>
          <w:rFonts w:ascii="Book Antiqua" w:hAnsi="Book Antiqua"/>
          <w:sz w:val="22"/>
          <w:szCs w:val="22"/>
        </w:rPr>
        <w:t>môže oprávnená osoba podať ministerstvu do jedného roka od skončenia podnikania nebankového subjektu, ktorého sa žiadosť týka, do jedného roka od skončenia konkurzného konania voči nebankovému subjektu, ktorého sa žiadosť týka, alebo do jedného roka od nadobudnutia účinnosti tohto zákona</w:t>
      </w:r>
      <w:r w:rsidRPr="0084558B" w:rsidR="004A0829">
        <w:rPr>
          <w:rFonts w:ascii="Book Antiqua" w:hAnsi="Book Antiqua"/>
          <w:sz w:val="22"/>
          <w:szCs w:val="22"/>
        </w:rPr>
        <w:t xml:space="preserve"> podľa toho, ktorá z týchto skutočností nastane neskôr</w:t>
      </w:r>
      <w:r w:rsidRPr="0084558B">
        <w:rPr>
          <w:rFonts w:ascii="Book Antiqua" w:hAnsi="Book Antiqua"/>
          <w:sz w:val="22"/>
          <w:szCs w:val="22"/>
        </w:rPr>
        <w:t>;</w:t>
      </w:r>
      <w:r w:rsidRPr="0084558B" w:rsidR="00B04EF9">
        <w:rPr>
          <w:rFonts w:ascii="Book Antiqua" w:hAnsi="Book Antiqua"/>
          <w:sz w:val="22"/>
          <w:szCs w:val="22"/>
        </w:rPr>
        <w:t xml:space="preserve"> inak </w:t>
      </w:r>
      <w:r w:rsidR="00177C80">
        <w:rPr>
          <w:rFonts w:ascii="Book Antiqua" w:hAnsi="Book Antiqua"/>
          <w:sz w:val="22"/>
          <w:szCs w:val="22"/>
        </w:rPr>
        <w:t>toto právo zaniká</w:t>
      </w:r>
      <w:r w:rsidRPr="0084558B">
        <w:rPr>
          <w:rFonts w:ascii="Book Antiqua" w:hAnsi="Book Antiqua"/>
          <w:sz w:val="22"/>
          <w:szCs w:val="22"/>
        </w:rPr>
        <w:t>. Na žiadosť po</w:t>
      </w:r>
      <w:r w:rsidRPr="0084558B" w:rsidR="00B04EF9">
        <w:rPr>
          <w:rFonts w:ascii="Book Antiqua" w:hAnsi="Book Antiqua"/>
          <w:sz w:val="22"/>
          <w:szCs w:val="22"/>
        </w:rPr>
        <w:t xml:space="preserve">danú po tejto lehote sa </w:t>
      </w:r>
      <w:r w:rsidRPr="0084558B">
        <w:rPr>
          <w:rFonts w:ascii="Book Antiqua" w:hAnsi="Book Antiqua"/>
          <w:sz w:val="22"/>
          <w:szCs w:val="22"/>
        </w:rPr>
        <w:t>neprihliada.</w:t>
      </w:r>
    </w:p>
    <w:p w:rsidR="00880DFE" w:rsidRPr="0084558B" w:rsidP="00153127">
      <w:pPr>
        <w:spacing w:before="120" w:line="276" w:lineRule="auto"/>
        <w:jc w:val="both"/>
        <w:rPr>
          <w:rFonts w:ascii="Book Antiqua" w:hAnsi="Book Antiqua"/>
          <w:sz w:val="22"/>
          <w:szCs w:val="22"/>
        </w:rPr>
      </w:pPr>
      <w:r w:rsidRPr="0084558B">
        <w:rPr>
          <w:rFonts w:ascii="Book Antiqua" w:hAnsi="Book Antiqua"/>
          <w:sz w:val="22"/>
          <w:szCs w:val="22"/>
        </w:rPr>
        <w:t>(2) Žiadosť sa musí podať osobitne vo vzťahu ku každému nebankovému subjektu, ktorý oprávnenej osobe spôsobil majetkovú ujmu</w:t>
      </w:r>
      <w:r w:rsidR="00177C80">
        <w:rPr>
          <w:rFonts w:ascii="Book Antiqua" w:hAnsi="Book Antiqua"/>
          <w:sz w:val="22"/>
          <w:szCs w:val="22"/>
        </w:rPr>
        <w:t xml:space="preserve"> </w:t>
      </w:r>
      <w:r w:rsidR="00177C80">
        <w:rPr>
          <w:rFonts w:ascii="Book Antiqua" w:hAnsi="Book Antiqua"/>
          <w:bCs/>
          <w:sz w:val="22"/>
          <w:szCs w:val="22"/>
        </w:rPr>
        <w:t>v dôsledku nedodržania zmluvy</w:t>
      </w:r>
      <w:r w:rsidRPr="0084558B">
        <w:rPr>
          <w:rFonts w:ascii="Book Antiqua" w:hAnsi="Book Antiqua"/>
          <w:sz w:val="22"/>
          <w:szCs w:val="22"/>
        </w:rPr>
        <w:t>.</w:t>
      </w:r>
    </w:p>
    <w:p w:rsidR="00880DFE" w:rsidRPr="0084558B" w:rsidP="00153127">
      <w:pPr>
        <w:spacing w:before="120" w:line="276" w:lineRule="auto"/>
        <w:jc w:val="both"/>
        <w:rPr>
          <w:rFonts w:ascii="Book Antiqua" w:hAnsi="Book Antiqua"/>
          <w:sz w:val="22"/>
          <w:szCs w:val="22"/>
        </w:rPr>
      </w:pPr>
      <w:r w:rsidRPr="0084558B">
        <w:rPr>
          <w:rFonts w:ascii="Book Antiqua" w:hAnsi="Book Antiqua"/>
          <w:sz w:val="22"/>
          <w:szCs w:val="22"/>
        </w:rPr>
        <w:t>(3) Žiadosť obsahuje osobné údaje oprávnenej osoby v rozsahu meno a priezvisko, dátum narodenia a adresu bydliska oprávnenej osoby. K žiadosti je oprávnená osoba povinná pr</w:t>
      </w:r>
      <w:r w:rsidRPr="0084558B" w:rsidR="00A57355">
        <w:rPr>
          <w:rFonts w:ascii="Book Antiqua" w:hAnsi="Book Antiqua"/>
          <w:sz w:val="22"/>
          <w:szCs w:val="22"/>
        </w:rPr>
        <w:t xml:space="preserve">iložiť doklady preukazujúce </w:t>
      </w:r>
      <w:r w:rsidRPr="0084558B">
        <w:rPr>
          <w:rFonts w:ascii="Book Antiqua" w:hAnsi="Book Antiqua"/>
          <w:sz w:val="22"/>
          <w:szCs w:val="22"/>
        </w:rPr>
        <w:t>sku</w:t>
      </w:r>
      <w:r w:rsidRPr="0084558B" w:rsidR="00A57355">
        <w:rPr>
          <w:rFonts w:ascii="Book Antiqua" w:hAnsi="Book Antiqua"/>
          <w:sz w:val="22"/>
          <w:szCs w:val="22"/>
        </w:rPr>
        <w:t>točnosti podľa § 4 ods. 1</w:t>
      </w:r>
      <w:r w:rsidRPr="0084558B">
        <w:rPr>
          <w:rFonts w:ascii="Book Antiqua" w:hAnsi="Book Antiqua"/>
          <w:sz w:val="22"/>
          <w:szCs w:val="22"/>
        </w:rPr>
        <w:t>.</w:t>
      </w:r>
    </w:p>
    <w:p w:rsidR="00880DFE" w:rsidRPr="0084558B" w:rsidP="00153127">
      <w:pPr>
        <w:spacing w:before="120" w:line="276" w:lineRule="auto"/>
        <w:jc w:val="both"/>
        <w:rPr>
          <w:rFonts w:ascii="Book Antiqua" w:hAnsi="Book Antiqua"/>
          <w:sz w:val="22"/>
          <w:szCs w:val="22"/>
        </w:rPr>
      </w:pPr>
      <w:r w:rsidRPr="0084558B">
        <w:rPr>
          <w:rFonts w:ascii="Book Antiqua" w:hAnsi="Book Antiqua"/>
          <w:sz w:val="22"/>
          <w:szCs w:val="22"/>
        </w:rPr>
        <w:t>(4) Žiadosť sa podáva na tlačive, ktorého vzor určí ministerstvo podľa § 8</w:t>
      </w:r>
      <w:r w:rsidRPr="0084558B" w:rsidR="005D4005">
        <w:rPr>
          <w:rFonts w:ascii="Book Antiqua" w:hAnsi="Book Antiqua"/>
          <w:sz w:val="22"/>
          <w:szCs w:val="22"/>
        </w:rPr>
        <w:t xml:space="preserve"> ods. 2 a uverejní ho na svojom webovom sídle. T</w:t>
      </w:r>
      <w:r w:rsidRPr="0084558B">
        <w:rPr>
          <w:rFonts w:ascii="Book Antiqua" w:hAnsi="Book Antiqua"/>
          <w:sz w:val="22"/>
          <w:szCs w:val="22"/>
        </w:rPr>
        <w:t>lačivá sú k dispozícii na ministerstve</w:t>
      </w:r>
      <w:r w:rsidRPr="0084558B" w:rsidR="005D4005">
        <w:rPr>
          <w:rFonts w:ascii="Book Antiqua" w:hAnsi="Book Antiqua"/>
          <w:sz w:val="22"/>
          <w:szCs w:val="22"/>
        </w:rPr>
        <w:t xml:space="preserve"> aj v písomnej forme.</w:t>
      </w:r>
    </w:p>
    <w:p w:rsidR="00880DFE" w:rsidRPr="0084558B" w:rsidP="00153127">
      <w:pPr>
        <w:spacing w:before="120" w:line="276" w:lineRule="auto"/>
        <w:jc w:val="both"/>
        <w:rPr>
          <w:rFonts w:ascii="Book Antiqua" w:hAnsi="Book Antiqua"/>
          <w:sz w:val="22"/>
          <w:szCs w:val="22"/>
        </w:rPr>
      </w:pPr>
      <w:r w:rsidRPr="0084558B">
        <w:rPr>
          <w:rFonts w:ascii="Book Antiqua" w:hAnsi="Book Antiqua"/>
          <w:sz w:val="22"/>
          <w:szCs w:val="22"/>
        </w:rPr>
        <w:t>(5) Ministerstvo pri rozhodovaní o žiadosti posúdi, či je žiadateľ oprávnenou osobou</w:t>
      </w:r>
      <w:r w:rsidRPr="0084558B" w:rsidR="008D50BB">
        <w:rPr>
          <w:rFonts w:ascii="Book Antiqua" w:hAnsi="Book Antiqua"/>
          <w:sz w:val="22"/>
          <w:szCs w:val="22"/>
        </w:rPr>
        <w:t>, či spĺňa podmienky poskytnutia čiastočného odškodnenia podľa § 4</w:t>
      </w:r>
      <w:r w:rsidRPr="0084558B">
        <w:rPr>
          <w:rFonts w:ascii="Book Antiqua" w:hAnsi="Book Antiqua"/>
          <w:sz w:val="22"/>
          <w:szCs w:val="22"/>
        </w:rPr>
        <w:t xml:space="preserve"> a v akej výške podľa § 5 mu patrí čiastočné odškodnenie. Ministerstvo tiež posúdi, či bola žiadosť podaná v zákonnej lehote a či žiadateľ uviedol v žiadosti a jej prílohách pravdivé údaje. Ak žiadateľ uvedie v žiadosti alebo jej prílohách nepravdivé údaje, ministerstvo vydá rozhodnutie, ktorým žiadosť odmietne</w:t>
      </w:r>
      <w:r w:rsidRPr="0084558B" w:rsidR="00A57355">
        <w:rPr>
          <w:rFonts w:ascii="Book Antiqua" w:hAnsi="Book Antiqua"/>
          <w:sz w:val="22"/>
          <w:szCs w:val="22"/>
        </w:rPr>
        <w:t xml:space="preserve"> a čiastočné odškodnenie neprizná</w:t>
      </w:r>
      <w:r w:rsidRPr="0084558B">
        <w:rPr>
          <w:rFonts w:ascii="Book Antiqua" w:hAnsi="Book Antiqua"/>
          <w:sz w:val="22"/>
          <w:szCs w:val="22"/>
        </w:rPr>
        <w:t xml:space="preserve">. Ministerstvo zároveň overí, či nebankový subjekt, ktorého sa žiadosť týka, </w:t>
      </w:r>
      <w:r w:rsidRPr="0084558B">
        <w:rPr>
          <w:rFonts w:ascii="Book Antiqua" w:hAnsi="Book Antiqua"/>
          <w:bCs/>
          <w:sz w:val="22"/>
          <w:szCs w:val="22"/>
        </w:rPr>
        <w:t>ponúkal klientom možnosť podieľať sa na jeho podnikaní aj prostredníctvom verejnoprávneho vysielateľa; ak tomu tak nie je, ministerstvo vydá rozhodnutie, ktorým žiadosť odmietne</w:t>
      </w:r>
      <w:r w:rsidRPr="0084558B" w:rsidR="00A57355">
        <w:rPr>
          <w:rFonts w:ascii="Book Antiqua" w:hAnsi="Book Antiqua"/>
          <w:bCs/>
          <w:sz w:val="22"/>
          <w:szCs w:val="22"/>
        </w:rPr>
        <w:t xml:space="preserve"> a čiastočné odškodnenie neprizná</w:t>
      </w:r>
      <w:r w:rsidRPr="0084558B">
        <w:rPr>
          <w:rFonts w:ascii="Book Antiqua" w:hAnsi="Book Antiqua"/>
          <w:bCs/>
          <w:sz w:val="22"/>
          <w:szCs w:val="22"/>
        </w:rPr>
        <w:t>.</w:t>
      </w:r>
    </w:p>
    <w:p w:rsidR="00A57355" w:rsidRPr="0084558B" w:rsidP="00153127">
      <w:pPr>
        <w:spacing w:before="120" w:line="276" w:lineRule="auto"/>
        <w:jc w:val="both"/>
        <w:rPr>
          <w:rFonts w:ascii="Book Antiqua" w:hAnsi="Book Antiqua"/>
          <w:sz w:val="22"/>
          <w:szCs w:val="22"/>
        </w:rPr>
      </w:pPr>
      <w:r w:rsidRPr="0084558B">
        <w:rPr>
          <w:rFonts w:ascii="Book Antiqua" w:hAnsi="Book Antiqua"/>
          <w:sz w:val="22"/>
          <w:szCs w:val="22"/>
        </w:rPr>
        <w:t xml:space="preserve">(6) </w:t>
      </w:r>
      <w:r w:rsidRPr="0084558B">
        <w:rPr>
          <w:rFonts w:ascii="Book Antiqua" w:hAnsi="Book Antiqua"/>
          <w:sz w:val="22"/>
          <w:szCs w:val="22"/>
        </w:rPr>
        <w:t>Ministerstvo nep</w:t>
      </w:r>
      <w:r w:rsidR="00177C80">
        <w:rPr>
          <w:rFonts w:ascii="Book Antiqua" w:hAnsi="Book Antiqua"/>
          <w:sz w:val="22"/>
          <w:szCs w:val="22"/>
        </w:rPr>
        <w:t xml:space="preserve">rihliada na žiadosť, ak </w:t>
      </w:r>
      <w:r w:rsidRPr="0084558B">
        <w:rPr>
          <w:rFonts w:ascii="Book Antiqua" w:hAnsi="Book Antiqua"/>
          <w:sz w:val="22"/>
          <w:szCs w:val="22"/>
        </w:rPr>
        <w:t xml:space="preserve">nemá náležitosti podľa odseku 3 a oprávnená osoba na výzvu ministerstva v určenej lehote neodstránila nedostatky žiadosti; tým nie je </w:t>
      </w:r>
      <w:r w:rsidRPr="0084558B">
        <w:rPr>
          <w:rFonts w:ascii="Book Antiqua" w:hAnsi="Book Antiqua"/>
          <w:sz w:val="22"/>
          <w:szCs w:val="22"/>
        </w:rPr>
        <w:t>dotknuté právo oprávnenej osoby domáhať sa za splnenia podmienok podľa tohto zákona uspokojenia nároku alebo jeho časti na súde.</w:t>
      </w:r>
    </w:p>
    <w:p w:rsidR="00880DFE" w:rsidRPr="0084558B" w:rsidP="00153127">
      <w:pPr>
        <w:spacing w:before="120" w:line="276" w:lineRule="auto"/>
        <w:jc w:val="both"/>
        <w:rPr>
          <w:rFonts w:ascii="Book Antiqua" w:hAnsi="Book Antiqua"/>
          <w:sz w:val="22"/>
          <w:szCs w:val="22"/>
        </w:rPr>
      </w:pPr>
      <w:r w:rsidRPr="0084558B">
        <w:rPr>
          <w:rFonts w:ascii="Book Antiqua" w:hAnsi="Book Antiqua"/>
          <w:sz w:val="22"/>
          <w:szCs w:val="22"/>
        </w:rPr>
        <w:t xml:space="preserve">(7) </w:t>
      </w:r>
      <w:r w:rsidRPr="0084558B">
        <w:rPr>
          <w:rFonts w:ascii="Book Antiqua" w:hAnsi="Book Antiqua"/>
          <w:sz w:val="22"/>
          <w:szCs w:val="22"/>
        </w:rPr>
        <w:t>Ministerstvo rozhodne o žiadosti do jedného roka odo dňa jej doručenia.</w:t>
      </w:r>
    </w:p>
    <w:p w:rsidR="003B5F99" w:rsidRPr="0084558B" w:rsidP="00153127">
      <w:pPr>
        <w:spacing w:before="120" w:line="276" w:lineRule="auto"/>
        <w:jc w:val="both"/>
        <w:rPr>
          <w:rFonts w:ascii="Book Antiqua" w:hAnsi="Book Antiqua"/>
          <w:sz w:val="22"/>
          <w:szCs w:val="22"/>
        </w:rPr>
      </w:pPr>
      <w:r w:rsidRPr="0084558B">
        <w:rPr>
          <w:rFonts w:ascii="Book Antiqua" w:hAnsi="Book Antiqua"/>
          <w:sz w:val="22"/>
          <w:szCs w:val="22"/>
        </w:rPr>
        <w:t>(8</w:t>
      </w:r>
      <w:r w:rsidRPr="0084558B" w:rsidR="00880DFE">
        <w:rPr>
          <w:rFonts w:ascii="Book Antiqua" w:hAnsi="Book Antiqua"/>
          <w:sz w:val="22"/>
          <w:szCs w:val="22"/>
        </w:rPr>
        <w:t>)</w:t>
      </w:r>
      <w:r w:rsidRPr="0084558B">
        <w:rPr>
          <w:rFonts w:ascii="Book Antiqua" w:hAnsi="Book Antiqua"/>
          <w:sz w:val="22"/>
          <w:szCs w:val="22"/>
        </w:rPr>
        <w:t xml:space="preserve"> Ak o žiadosti už bolo rozhodnuté, ministerstvo oznámi oprávnenej osobe, ktorá takúto žiadosť podala, túto skutočnosť s odôvodnením, že o jej žiadosti už bolo rozhodnuté a na opakovanú žiadosť ministerstvo ďalej neprihliada.</w:t>
      </w:r>
    </w:p>
    <w:p w:rsidR="00880DFE" w:rsidRPr="0084558B" w:rsidP="00153127">
      <w:pPr>
        <w:spacing w:before="120" w:line="276" w:lineRule="auto"/>
        <w:jc w:val="both"/>
        <w:rPr>
          <w:rFonts w:ascii="Book Antiqua" w:hAnsi="Book Antiqua"/>
          <w:sz w:val="22"/>
          <w:szCs w:val="22"/>
        </w:rPr>
      </w:pPr>
      <w:r w:rsidRPr="0084558B">
        <w:rPr>
          <w:rFonts w:ascii="Book Antiqua" w:hAnsi="Book Antiqua"/>
          <w:sz w:val="22"/>
          <w:szCs w:val="22"/>
        </w:rPr>
        <w:t xml:space="preserve">(9) </w:t>
      </w:r>
      <w:r w:rsidRPr="0084558B">
        <w:rPr>
          <w:rFonts w:ascii="Book Antiqua" w:hAnsi="Book Antiqua"/>
          <w:sz w:val="22"/>
          <w:szCs w:val="22"/>
        </w:rPr>
        <w:t>Ministerstvo vyplatí oprávnenej osobe čiastočné odškodnenie do 30 dní odo dňa nadobudnutia právoplatnosti rozhodnutia, ktorým sa takéto odškodnenie priznalo.</w:t>
      </w:r>
    </w:p>
    <w:p w:rsidR="00880DFE" w:rsidRPr="0084558B" w:rsidP="00153127">
      <w:pPr>
        <w:spacing w:before="120" w:line="276" w:lineRule="auto"/>
        <w:jc w:val="both"/>
        <w:rPr>
          <w:rFonts w:ascii="Book Antiqua" w:hAnsi="Book Antiqua"/>
          <w:sz w:val="22"/>
          <w:szCs w:val="22"/>
        </w:rPr>
      </w:pPr>
      <w:r w:rsidRPr="0084558B">
        <w:rPr>
          <w:rFonts w:ascii="Book Antiqua" w:hAnsi="Book Antiqua"/>
          <w:sz w:val="22"/>
          <w:szCs w:val="22"/>
        </w:rPr>
        <w:t>(10</w:t>
      </w:r>
      <w:r w:rsidRPr="0084558B">
        <w:rPr>
          <w:rFonts w:ascii="Book Antiqua" w:hAnsi="Book Antiqua"/>
          <w:sz w:val="22"/>
          <w:szCs w:val="22"/>
        </w:rPr>
        <w:t xml:space="preserve">) </w:t>
      </w:r>
      <w:r w:rsidRPr="0084558B">
        <w:rPr>
          <w:rFonts w:ascii="Book Antiqua" w:hAnsi="Book Antiqua"/>
          <w:sz w:val="22"/>
          <w:szCs w:val="22"/>
        </w:rPr>
        <w:t>Ak ministerstvo neuspokojí nárok na čiastočné odškodnenie alebo uspokojí iba jeho časť, môže sa oprávnená osoba domáhať uspokojenia tohto nároku alebo jeho neuspokojenej časti na súde</w:t>
      </w:r>
      <w:r w:rsidRPr="0084558B">
        <w:rPr>
          <w:rFonts w:ascii="Book Antiqua" w:hAnsi="Book Antiqua"/>
          <w:sz w:val="22"/>
          <w:szCs w:val="22"/>
        </w:rPr>
        <w:t xml:space="preserve"> podľa osobitného zákona.</w:t>
      </w:r>
      <w:r>
        <w:rPr>
          <w:rStyle w:val="FootnoteReference"/>
          <w:rFonts w:ascii="Book Antiqua" w:hAnsi="Book Antiqua"/>
          <w:sz w:val="22"/>
          <w:szCs w:val="22"/>
        </w:rPr>
        <w:footnoteReference w:id="15"/>
      </w:r>
      <w:r w:rsidRPr="0084558B">
        <w:rPr>
          <w:rFonts w:ascii="Book Antiqua" w:hAnsi="Book Antiqua"/>
          <w:sz w:val="22"/>
          <w:szCs w:val="22"/>
          <w:vertAlign w:val="superscript"/>
        </w:rPr>
        <w:t>)</w:t>
      </w:r>
    </w:p>
    <w:p w:rsidR="00B04EF9" w:rsidRPr="0084558B" w:rsidP="003B5F99">
      <w:pPr>
        <w:spacing w:before="120" w:line="276" w:lineRule="auto"/>
        <w:rPr>
          <w:rFonts w:ascii="Book Antiqua" w:hAnsi="Book Antiqua"/>
          <w:b/>
          <w:sz w:val="22"/>
          <w:szCs w:val="22"/>
        </w:rPr>
      </w:pPr>
    </w:p>
    <w:p w:rsidR="00880DFE" w:rsidRPr="0084558B" w:rsidP="00153127">
      <w:pPr>
        <w:spacing w:before="120" w:line="276" w:lineRule="auto"/>
        <w:jc w:val="center"/>
        <w:rPr>
          <w:rFonts w:ascii="Book Antiqua" w:hAnsi="Book Antiqua"/>
          <w:b/>
          <w:sz w:val="22"/>
          <w:szCs w:val="22"/>
        </w:rPr>
      </w:pPr>
      <w:r w:rsidRPr="0084558B">
        <w:rPr>
          <w:rFonts w:ascii="Book Antiqua" w:hAnsi="Book Antiqua"/>
          <w:b/>
          <w:sz w:val="22"/>
          <w:szCs w:val="22"/>
        </w:rPr>
        <w:t>§ 7</w:t>
      </w:r>
    </w:p>
    <w:p w:rsidR="00880DFE" w:rsidRPr="0084558B" w:rsidP="00153127">
      <w:pPr>
        <w:spacing w:before="120" w:line="276" w:lineRule="auto"/>
        <w:jc w:val="center"/>
        <w:rPr>
          <w:rFonts w:ascii="Book Antiqua" w:hAnsi="Book Antiqua"/>
          <w:sz w:val="22"/>
          <w:szCs w:val="22"/>
        </w:rPr>
      </w:pPr>
      <w:r w:rsidRPr="0084558B">
        <w:rPr>
          <w:rFonts w:ascii="Book Antiqua" w:hAnsi="Book Antiqua"/>
          <w:b/>
          <w:sz w:val="22"/>
          <w:szCs w:val="22"/>
        </w:rPr>
        <w:t>Oprávnenia a povinnosti zamestnancov ministerstva</w:t>
      </w:r>
    </w:p>
    <w:p w:rsidR="00880DFE" w:rsidRPr="0084558B" w:rsidP="00153127">
      <w:pPr>
        <w:spacing w:before="120" w:line="276" w:lineRule="auto"/>
        <w:jc w:val="both"/>
        <w:rPr>
          <w:rFonts w:ascii="Book Antiqua" w:hAnsi="Book Antiqua"/>
          <w:sz w:val="22"/>
          <w:szCs w:val="22"/>
        </w:rPr>
      </w:pPr>
      <w:r w:rsidRPr="0084558B">
        <w:rPr>
          <w:rFonts w:ascii="Book Antiqua" w:hAnsi="Book Antiqua"/>
          <w:sz w:val="22"/>
          <w:szCs w:val="22"/>
        </w:rPr>
        <w:t>(1) Zamestnanci ministerstva, ktorí rozhodujú o žiadosti, sú pri preverovaní skutočností dôležitých pre rozhodnutie o podanej žiadosti oprávnení nahliadať do príslušných spisov a požadovať od príslušných orgánov a súdov súčinnosť pri získavaní informácií, ktoré sú nevyhnutné na vydanie rozhodnutia o čiastočnom odškodnení.</w:t>
      </w:r>
    </w:p>
    <w:p w:rsidR="00880DFE" w:rsidRPr="0084558B" w:rsidP="009D4A03">
      <w:pPr>
        <w:spacing w:before="120" w:line="276" w:lineRule="auto"/>
        <w:jc w:val="both"/>
        <w:rPr>
          <w:rFonts w:ascii="Book Antiqua" w:hAnsi="Book Antiqua"/>
          <w:b/>
          <w:bCs/>
          <w:sz w:val="22"/>
          <w:szCs w:val="22"/>
        </w:rPr>
      </w:pPr>
      <w:r w:rsidRPr="0084558B">
        <w:rPr>
          <w:rFonts w:ascii="Book Antiqua" w:hAnsi="Book Antiqua"/>
          <w:sz w:val="22"/>
          <w:szCs w:val="22"/>
        </w:rPr>
        <w:t>(2) Zamestnanci ministerstva, ktorí rozhodujú o žiadosti, sú povinní zachovávať mlčanlivosť o obsahu týchto žiadostí a subjektoch, ktoré ich podali, ako aj o ďalších skutočnostiach týkajúcich sa konania o čiastočnom odškodnení, ktoré sa dozvedeli pri plnení svojich úloh. Povinnosť zachovávať mlčanlivosť platí aj vtedy, ak títo zamestnanci prestali byť zamestnancami ministerstva.</w:t>
      </w:r>
    </w:p>
    <w:p w:rsidR="00711256" w:rsidP="00A00CA5">
      <w:pPr>
        <w:spacing w:before="120" w:line="276" w:lineRule="auto"/>
        <w:jc w:val="center"/>
        <w:rPr>
          <w:rFonts w:ascii="Book Antiqua" w:hAnsi="Book Antiqua"/>
          <w:b/>
          <w:bCs/>
          <w:sz w:val="22"/>
          <w:szCs w:val="22"/>
        </w:rPr>
      </w:pPr>
    </w:p>
    <w:p w:rsidR="00880DFE" w:rsidRPr="0084558B" w:rsidP="00A00CA5">
      <w:pPr>
        <w:spacing w:before="120" w:line="276" w:lineRule="auto"/>
        <w:jc w:val="center"/>
        <w:rPr>
          <w:rFonts w:ascii="Book Antiqua" w:hAnsi="Book Antiqua"/>
          <w:b/>
          <w:bCs/>
          <w:sz w:val="22"/>
          <w:szCs w:val="22"/>
        </w:rPr>
      </w:pPr>
      <w:r w:rsidRPr="0084558B">
        <w:rPr>
          <w:rFonts w:ascii="Book Antiqua" w:hAnsi="Book Antiqua"/>
          <w:b/>
          <w:bCs/>
          <w:sz w:val="22"/>
          <w:szCs w:val="22"/>
        </w:rPr>
        <w:t>§ 8</w:t>
      </w:r>
    </w:p>
    <w:p w:rsidR="00880DFE" w:rsidRPr="0084558B" w:rsidP="007B04E5">
      <w:pPr>
        <w:spacing w:before="120" w:line="276" w:lineRule="auto"/>
        <w:jc w:val="center"/>
        <w:rPr>
          <w:rFonts w:ascii="Book Antiqua" w:hAnsi="Book Antiqua"/>
          <w:b/>
          <w:bCs/>
          <w:sz w:val="22"/>
          <w:szCs w:val="22"/>
        </w:rPr>
      </w:pPr>
      <w:r w:rsidRPr="0084558B">
        <w:rPr>
          <w:rFonts w:ascii="Book Antiqua" w:hAnsi="Book Antiqua"/>
          <w:b/>
          <w:bCs/>
          <w:sz w:val="22"/>
          <w:szCs w:val="22"/>
        </w:rPr>
        <w:t>Spoločné ustanovenia</w:t>
      </w:r>
    </w:p>
    <w:p w:rsidR="00880DFE" w:rsidRPr="0084558B" w:rsidP="000C5E24">
      <w:pPr>
        <w:spacing w:before="120" w:line="276" w:lineRule="auto"/>
        <w:jc w:val="both"/>
        <w:rPr>
          <w:rFonts w:ascii="Book Antiqua" w:hAnsi="Book Antiqua"/>
          <w:sz w:val="22"/>
          <w:szCs w:val="22"/>
        </w:rPr>
      </w:pPr>
      <w:r w:rsidRPr="0084558B">
        <w:rPr>
          <w:rFonts w:ascii="Book Antiqua" w:hAnsi="Book Antiqua"/>
          <w:color w:val="000000"/>
          <w:sz w:val="22"/>
          <w:szCs w:val="22"/>
        </w:rPr>
        <w:t xml:space="preserve">(1) Na konanie podľa tohto zákona </w:t>
      </w:r>
      <w:r w:rsidRPr="0084558B">
        <w:rPr>
          <w:rFonts w:ascii="Book Antiqua" w:hAnsi="Book Antiqua"/>
          <w:sz w:val="22"/>
          <w:szCs w:val="22"/>
        </w:rPr>
        <w:t xml:space="preserve">sa </w:t>
      </w:r>
      <w:r w:rsidRPr="0084558B">
        <w:rPr>
          <w:rFonts w:ascii="Book Antiqua" w:hAnsi="Book Antiqua"/>
          <w:color w:val="000000"/>
          <w:sz w:val="22"/>
          <w:szCs w:val="22"/>
        </w:rPr>
        <w:t>vzťahuje všeobecný predpis o správnom konaní,</w:t>
      </w:r>
      <w:r>
        <w:rPr>
          <w:rStyle w:val="FootnoteReference"/>
          <w:rFonts w:ascii="Book Antiqua" w:hAnsi="Book Antiqua"/>
          <w:color w:val="000000"/>
          <w:sz w:val="22"/>
          <w:szCs w:val="22"/>
        </w:rPr>
        <w:footnoteReference w:id="16"/>
      </w:r>
      <w:r w:rsidRPr="0084558B">
        <w:rPr>
          <w:rFonts w:ascii="Book Antiqua" w:hAnsi="Book Antiqua"/>
          <w:color w:val="000000"/>
          <w:sz w:val="22"/>
          <w:szCs w:val="22"/>
          <w:vertAlign w:val="superscript"/>
        </w:rPr>
        <w:t>)</w:t>
      </w:r>
      <w:r w:rsidRPr="0084558B">
        <w:rPr>
          <w:rFonts w:ascii="Book Antiqua" w:hAnsi="Book Antiqua"/>
          <w:color w:val="000000"/>
          <w:sz w:val="22"/>
          <w:szCs w:val="22"/>
        </w:rPr>
        <w:t xml:space="preserve"> ak tento zákon neustanovuje inak.</w:t>
      </w:r>
    </w:p>
    <w:p w:rsidR="008D50BB" w:rsidRPr="0084558B" w:rsidP="009D4A03">
      <w:pPr>
        <w:spacing w:before="120" w:line="276" w:lineRule="auto"/>
        <w:jc w:val="both"/>
        <w:rPr>
          <w:rFonts w:ascii="Book Antiqua" w:hAnsi="Book Antiqua"/>
          <w:color w:val="000000"/>
          <w:sz w:val="22"/>
          <w:szCs w:val="22"/>
        </w:rPr>
      </w:pPr>
      <w:r w:rsidRPr="0084558B">
        <w:rPr>
          <w:rFonts w:ascii="Book Antiqua" w:hAnsi="Book Antiqua"/>
          <w:color w:val="000000"/>
          <w:sz w:val="22"/>
          <w:szCs w:val="22"/>
        </w:rPr>
        <w:t>(2)</w:t>
      </w:r>
      <w:r w:rsidRPr="0084558B">
        <w:rPr>
          <w:rFonts w:ascii="Book Antiqua" w:hAnsi="Book Antiqua"/>
          <w:sz w:val="22"/>
          <w:szCs w:val="22"/>
        </w:rPr>
        <w:t xml:space="preserve"> </w:t>
      </w:r>
      <w:r w:rsidRPr="0084558B">
        <w:rPr>
          <w:rFonts w:ascii="Book Antiqua" w:hAnsi="Book Antiqua"/>
          <w:color w:val="000000"/>
          <w:sz w:val="22"/>
          <w:szCs w:val="22"/>
        </w:rPr>
        <w:t xml:space="preserve">Vzor žiadosti podľa § 6 ods. 4 ustanoví všeobecne záväzný právny predpis, ktorý vydá ministerstvo do </w:t>
      </w:r>
      <w:r w:rsidRPr="0084558B" w:rsidR="005D4005">
        <w:rPr>
          <w:rFonts w:ascii="Book Antiqua" w:hAnsi="Book Antiqua"/>
          <w:color w:val="000000"/>
          <w:sz w:val="22"/>
          <w:szCs w:val="22"/>
        </w:rPr>
        <w:t>30 dní od nadobudnutia účinnosti</w:t>
      </w:r>
      <w:r w:rsidRPr="0084558B">
        <w:rPr>
          <w:rFonts w:ascii="Book Antiqua" w:hAnsi="Book Antiqua"/>
          <w:color w:val="000000"/>
          <w:sz w:val="22"/>
          <w:szCs w:val="22"/>
        </w:rPr>
        <w:t xml:space="preserve"> tohto zákona.</w:t>
      </w:r>
    </w:p>
    <w:p w:rsidR="009D4A03" w:rsidRPr="0084558B" w:rsidP="007B04E5">
      <w:pPr>
        <w:spacing w:before="120" w:line="276" w:lineRule="auto"/>
        <w:jc w:val="center"/>
        <w:rPr>
          <w:rFonts w:ascii="Book Antiqua" w:hAnsi="Book Antiqua"/>
          <w:b/>
          <w:sz w:val="22"/>
          <w:szCs w:val="22"/>
        </w:rPr>
      </w:pPr>
    </w:p>
    <w:p w:rsidR="00880DFE" w:rsidRPr="0084558B" w:rsidP="007B04E5">
      <w:pPr>
        <w:spacing w:before="120" w:line="276" w:lineRule="auto"/>
        <w:jc w:val="center"/>
        <w:rPr>
          <w:rFonts w:ascii="Book Antiqua" w:hAnsi="Book Antiqua"/>
          <w:bCs/>
          <w:sz w:val="22"/>
          <w:szCs w:val="22"/>
        </w:rPr>
      </w:pPr>
      <w:r w:rsidRPr="0084558B">
        <w:rPr>
          <w:rFonts w:ascii="Book Antiqua" w:hAnsi="Book Antiqua"/>
          <w:b/>
          <w:sz w:val="22"/>
          <w:szCs w:val="22"/>
        </w:rPr>
        <w:t>§ 9</w:t>
      </w:r>
    </w:p>
    <w:p w:rsidR="00880DFE" w:rsidRPr="0084558B" w:rsidP="007B04E5">
      <w:pPr>
        <w:spacing w:before="120" w:line="276" w:lineRule="auto"/>
        <w:jc w:val="center"/>
        <w:rPr>
          <w:rFonts w:ascii="Book Antiqua" w:hAnsi="Book Antiqua"/>
          <w:b/>
          <w:bCs/>
          <w:sz w:val="22"/>
          <w:szCs w:val="22"/>
        </w:rPr>
      </w:pPr>
      <w:r w:rsidRPr="0084558B">
        <w:rPr>
          <w:rFonts w:ascii="Book Antiqua" w:hAnsi="Book Antiqua"/>
          <w:b/>
          <w:bCs/>
          <w:sz w:val="22"/>
          <w:szCs w:val="22"/>
        </w:rPr>
        <w:t>Účinnosť</w:t>
      </w:r>
    </w:p>
    <w:p w:rsidR="00880DFE" w:rsidRPr="00A36A3A" w:rsidP="00B7102E">
      <w:pPr>
        <w:pStyle w:val="BodyText"/>
        <w:spacing w:before="120" w:line="276" w:lineRule="auto"/>
        <w:rPr>
          <w:rFonts w:ascii="Book Antiqua" w:hAnsi="Book Antiqua"/>
          <w:sz w:val="22"/>
          <w:szCs w:val="22"/>
        </w:rPr>
      </w:pPr>
      <w:r w:rsidRPr="0084558B">
        <w:rPr>
          <w:rFonts w:ascii="Book Antiqua" w:hAnsi="Book Antiqua"/>
          <w:sz w:val="22"/>
          <w:szCs w:val="22"/>
        </w:rPr>
        <w:t>Tento zá</w:t>
      </w:r>
      <w:r w:rsidR="00177C80">
        <w:rPr>
          <w:rFonts w:ascii="Book Antiqua" w:hAnsi="Book Antiqua"/>
          <w:sz w:val="22"/>
          <w:szCs w:val="22"/>
        </w:rPr>
        <w:t>kon na</w:t>
      </w:r>
      <w:r w:rsidR="00126284">
        <w:rPr>
          <w:rFonts w:ascii="Book Antiqua" w:hAnsi="Book Antiqua"/>
          <w:sz w:val="22"/>
          <w:szCs w:val="22"/>
        </w:rPr>
        <w:t>dobúda účinnosť 1. januára 2019</w:t>
      </w:r>
      <w:r w:rsidRPr="0084558B">
        <w:rPr>
          <w:rFonts w:ascii="Book Antiqua" w:hAnsi="Book Antiqua"/>
          <w:sz w:val="22"/>
          <w:szCs w:val="22"/>
        </w:rPr>
        <w:t>.</w:t>
      </w:r>
    </w:p>
    <w:sectPr w:rsidSect="00336FBD">
      <w:pgSz w:w="11906" w:h="16838"/>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EE"/>
    <w:family w:val="roman"/>
    <w:pitch w:val="variable"/>
    <w:sig w:usb0="E0002EFF" w:usb1="C000785B" w:usb2="00000009" w:usb3="00000000" w:csb0="000001FF" w:csb1="00000000"/>
  </w:font>
  <w:font w:name="Calibri">
    <w:altName w:val="Futura Bk"/>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altName w:val="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altName w:val="Courier New"/>
    <w:panose1 w:val="02070309020205020404"/>
    <w:charset w:val="EE"/>
    <w:family w:val="modern"/>
    <w:pitch w:val="fixed"/>
    <w:sig w:usb0="E0002E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4F0AEC" w:rsidP="008C37B5">
      <w:r>
        <w:separator/>
      </w:r>
    </w:p>
  </w:footnote>
  <w:footnote w:type="continuationSeparator" w:id="1">
    <w:p w:rsidR="004F0AEC" w:rsidP="008C37B5">
      <w:r>
        <w:continuationSeparator/>
      </w:r>
    </w:p>
  </w:footnote>
  <w:footnote w:id="2">
    <w:p w:rsidR="00880DFE" w:rsidRPr="0084558B" w:rsidP="009C2524">
      <w:pPr>
        <w:pStyle w:val="FootnoteText"/>
        <w:jc w:val="both"/>
      </w:pPr>
      <w:r w:rsidRPr="0084558B">
        <w:rPr>
          <w:rStyle w:val="FootnoteReference"/>
          <w:rFonts w:ascii="Book Antiqua" w:hAnsi="Book Antiqua"/>
          <w:sz w:val="18"/>
          <w:szCs w:val="18"/>
        </w:rPr>
        <w:footnoteRef/>
      </w:r>
      <w:r w:rsidRPr="0084558B">
        <w:rPr>
          <w:rFonts w:ascii="Book Antiqua" w:hAnsi="Book Antiqua"/>
          <w:sz w:val="18"/>
          <w:szCs w:val="18"/>
          <w:vertAlign w:val="superscript"/>
        </w:rPr>
        <w:t>)</w:t>
      </w:r>
      <w:r w:rsidRPr="0084558B">
        <w:rPr>
          <w:rFonts w:ascii="Book Antiqua" w:hAnsi="Book Antiqua"/>
          <w:sz w:val="18"/>
          <w:szCs w:val="18"/>
        </w:rPr>
        <w:t xml:space="preserve"> </w:t>
      </w:r>
      <w:r w:rsidRPr="0084558B">
        <w:rPr>
          <w:rFonts w:ascii="Book Antiqua" w:hAnsi="Book Antiqua" w:cs="Tahoma"/>
          <w:sz w:val="18"/>
          <w:szCs w:val="18"/>
        </w:rPr>
        <w:t>Zákon č. 483/2001 Z. z. o bankách a o zmene a doplnení niektorých zákonov v znení neskorších predpisov.</w:t>
      </w:r>
    </w:p>
  </w:footnote>
  <w:footnote w:id="3">
    <w:p w:rsidR="000D4653" w:rsidRPr="0084558B" w:rsidP="000D4653">
      <w:pPr>
        <w:pStyle w:val="FootnoteText"/>
        <w:jc w:val="both"/>
      </w:pPr>
      <w:r w:rsidRPr="00866176">
        <w:rPr>
          <w:rStyle w:val="FootnoteReference"/>
          <w:rFonts w:ascii="Book Antiqua" w:hAnsi="Book Antiqua"/>
          <w:sz w:val="18"/>
          <w:szCs w:val="18"/>
        </w:rPr>
        <w:footnoteRef/>
      </w:r>
      <w:r w:rsidRPr="00866176">
        <w:rPr>
          <w:rFonts w:ascii="Book Antiqua" w:hAnsi="Book Antiqua"/>
          <w:sz w:val="18"/>
          <w:szCs w:val="18"/>
          <w:vertAlign w:val="superscript"/>
        </w:rPr>
        <w:t>)</w:t>
      </w:r>
      <w:r w:rsidRPr="00866176">
        <w:rPr>
          <w:rFonts w:ascii="Book Antiqua" w:hAnsi="Book Antiqua"/>
          <w:sz w:val="18"/>
          <w:szCs w:val="18"/>
        </w:rPr>
        <w:t xml:space="preserve"> § 8 písm. c) </w:t>
      </w:r>
      <w:r w:rsidRPr="00866176">
        <w:rPr>
          <w:rFonts w:ascii="Book Antiqua" w:hAnsi="Book Antiqua" w:cs="Tahoma"/>
          <w:sz w:val="18"/>
          <w:szCs w:val="18"/>
        </w:rPr>
        <w:t>zákona č. 566/2001 Z. z</w:t>
      </w:r>
      <w:r w:rsidRPr="0084558B">
        <w:rPr>
          <w:rFonts w:ascii="Book Antiqua" w:hAnsi="Book Antiqua" w:cs="Tahoma"/>
          <w:sz w:val="18"/>
          <w:szCs w:val="18"/>
        </w:rPr>
        <w:t>. o cenných papieroch a finančných službách a o zmene a doplnení niektorých zákonov (zákon o cenných papieroch)</w:t>
      </w:r>
      <w:r>
        <w:rPr>
          <w:rFonts w:ascii="Book Antiqua" w:hAnsi="Book Antiqua" w:cs="Tahoma"/>
          <w:sz w:val="18"/>
          <w:szCs w:val="18"/>
        </w:rPr>
        <w:t>.</w:t>
      </w:r>
    </w:p>
  </w:footnote>
  <w:footnote w:id="4">
    <w:p w:rsidR="00880DFE" w:rsidRPr="00866176" w:rsidP="009C2524">
      <w:pPr>
        <w:pStyle w:val="FootnoteText"/>
        <w:jc w:val="both"/>
      </w:pPr>
      <w:r w:rsidRPr="0084558B">
        <w:rPr>
          <w:rStyle w:val="FootnoteReference"/>
          <w:rFonts w:ascii="Book Antiqua" w:hAnsi="Book Antiqua"/>
          <w:sz w:val="18"/>
          <w:szCs w:val="18"/>
        </w:rPr>
        <w:footnoteRef/>
      </w:r>
      <w:r w:rsidRPr="0084558B">
        <w:rPr>
          <w:rFonts w:ascii="Book Antiqua" w:hAnsi="Book Antiqua"/>
          <w:sz w:val="18"/>
          <w:szCs w:val="18"/>
          <w:vertAlign w:val="superscript"/>
        </w:rPr>
        <w:t>)</w:t>
      </w:r>
      <w:r w:rsidRPr="0084558B">
        <w:rPr>
          <w:rFonts w:ascii="Book Antiqua" w:hAnsi="Book Antiqua"/>
          <w:sz w:val="18"/>
          <w:szCs w:val="18"/>
        </w:rPr>
        <w:t xml:space="preserve"> </w:t>
      </w:r>
      <w:r w:rsidRPr="00866176">
        <w:rPr>
          <w:rFonts w:ascii="Book Antiqua" w:hAnsi="Book Antiqua"/>
          <w:sz w:val="18"/>
          <w:szCs w:val="18"/>
        </w:rPr>
        <w:t>Nap</w:t>
      </w:r>
      <w:r w:rsidRPr="00866176" w:rsidR="00A27A1A">
        <w:rPr>
          <w:rFonts w:ascii="Book Antiqua" w:hAnsi="Book Antiqua"/>
          <w:sz w:val="18"/>
          <w:szCs w:val="18"/>
        </w:rPr>
        <w:t>r</w:t>
      </w:r>
      <w:r w:rsidRPr="00866176">
        <w:rPr>
          <w:rFonts w:ascii="Book Antiqua" w:hAnsi="Book Antiqua"/>
          <w:sz w:val="18"/>
          <w:szCs w:val="18"/>
        </w:rPr>
        <w:t>íklad zákon Slovenskej národnej rady č. 310/1992 Zb. o stavebnom sporení v znení neskorších predpisov.</w:t>
      </w:r>
    </w:p>
  </w:footnote>
  <w:footnote w:id="5">
    <w:p w:rsidR="00880DFE" w:rsidRPr="0084558B" w:rsidP="009C2524">
      <w:pPr>
        <w:pStyle w:val="FootnoteText"/>
        <w:jc w:val="both"/>
      </w:pPr>
      <w:r w:rsidRPr="00866176">
        <w:rPr>
          <w:rStyle w:val="FootnoteReference"/>
          <w:rFonts w:ascii="Book Antiqua" w:hAnsi="Book Antiqua"/>
          <w:sz w:val="18"/>
          <w:szCs w:val="18"/>
        </w:rPr>
        <w:footnoteRef/>
      </w:r>
      <w:r w:rsidRPr="00866176">
        <w:rPr>
          <w:rFonts w:ascii="Book Antiqua" w:hAnsi="Book Antiqua"/>
          <w:sz w:val="18"/>
          <w:szCs w:val="18"/>
          <w:vertAlign w:val="superscript"/>
        </w:rPr>
        <w:t>)</w:t>
      </w:r>
      <w:r w:rsidRPr="00866176">
        <w:rPr>
          <w:rFonts w:ascii="Book Antiqua" w:hAnsi="Book Antiqua"/>
          <w:sz w:val="18"/>
          <w:szCs w:val="18"/>
        </w:rPr>
        <w:t xml:space="preserve"> § 2 Obchodného zákonníka</w:t>
      </w:r>
      <w:r w:rsidRPr="0084558B">
        <w:rPr>
          <w:rFonts w:ascii="Book Antiqua" w:hAnsi="Book Antiqua"/>
          <w:sz w:val="18"/>
          <w:szCs w:val="18"/>
        </w:rPr>
        <w:t xml:space="preserve"> v znení neskorších predpisov.</w:t>
      </w:r>
    </w:p>
  </w:footnote>
  <w:footnote w:id="6">
    <w:p w:rsidR="00880DFE" w:rsidRPr="0084558B" w:rsidP="009C2524">
      <w:pPr>
        <w:pStyle w:val="FootnoteText"/>
        <w:jc w:val="both"/>
      </w:pPr>
      <w:r w:rsidRPr="0084558B">
        <w:rPr>
          <w:rStyle w:val="FootnoteReference"/>
          <w:rFonts w:ascii="Book Antiqua" w:hAnsi="Book Antiqua"/>
          <w:sz w:val="18"/>
          <w:szCs w:val="18"/>
        </w:rPr>
        <w:footnoteRef/>
      </w:r>
      <w:r w:rsidRPr="0084558B">
        <w:rPr>
          <w:rFonts w:ascii="Book Antiqua" w:hAnsi="Book Antiqua"/>
          <w:sz w:val="18"/>
          <w:szCs w:val="18"/>
          <w:vertAlign w:val="superscript"/>
        </w:rPr>
        <w:t>)</w:t>
      </w:r>
      <w:r w:rsidRPr="0084558B">
        <w:rPr>
          <w:rFonts w:ascii="Book Antiqua" w:hAnsi="Book Antiqua"/>
          <w:sz w:val="18"/>
          <w:szCs w:val="18"/>
        </w:rPr>
        <w:t xml:space="preserve"> </w:t>
      </w:r>
      <w:r w:rsidRPr="0084558B">
        <w:rPr>
          <w:rFonts w:ascii="Book Antiqua" w:hAnsi="Book Antiqua" w:cs="Tahoma"/>
          <w:sz w:val="18"/>
          <w:szCs w:val="18"/>
        </w:rPr>
        <w:t>Zákon č. 532/2010 Z. z. o Rozhlase a televízii Slovenska  a o zmene a doplnení niektorých zákonov v znení neskorších predpisov.</w:t>
      </w:r>
    </w:p>
  </w:footnote>
  <w:footnote w:id="7">
    <w:p w:rsidR="00880DFE" w:rsidRPr="0084558B" w:rsidP="009C2524">
      <w:pPr>
        <w:pStyle w:val="FootnoteText"/>
        <w:jc w:val="both"/>
      </w:pPr>
      <w:r w:rsidRPr="00866176">
        <w:rPr>
          <w:rStyle w:val="FootnoteReference"/>
          <w:rFonts w:ascii="Book Antiqua" w:hAnsi="Book Antiqua"/>
          <w:sz w:val="18"/>
          <w:szCs w:val="18"/>
        </w:rPr>
        <w:footnoteRef/>
      </w:r>
      <w:r w:rsidRPr="00866176">
        <w:rPr>
          <w:rFonts w:ascii="Book Antiqua" w:hAnsi="Book Antiqua"/>
          <w:sz w:val="18"/>
          <w:szCs w:val="18"/>
          <w:vertAlign w:val="superscript"/>
        </w:rPr>
        <w:t>)</w:t>
      </w:r>
      <w:r w:rsidRPr="00866176">
        <w:rPr>
          <w:rFonts w:ascii="Book Antiqua" w:hAnsi="Book Antiqua"/>
          <w:sz w:val="18"/>
          <w:szCs w:val="18"/>
        </w:rPr>
        <w:t xml:space="preserve"> § 14 zákona č. 7/2005 Z. z. o konkurze a reštrukturalizácii a o zmene a doplnení niektorých zákonov v znení neskorších predpisov.</w:t>
      </w:r>
    </w:p>
  </w:footnote>
  <w:footnote w:id="8">
    <w:p w:rsidR="00880DFE" w:rsidRPr="00017A1E" w:rsidP="009C2524">
      <w:pPr>
        <w:pStyle w:val="FootnoteText"/>
        <w:jc w:val="both"/>
        <w:rPr>
          <w:highlight w:val="yellow"/>
        </w:rPr>
      </w:pPr>
      <w:r w:rsidRPr="0084558B">
        <w:rPr>
          <w:rStyle w:val="FootnoteReference"/>
          <w:rFonts w:ascii="Book Antiqua" w:hAnsi="Book Antiqua"/>
          <w:sz w:val="18"/>
          <w:szCs w:val="18"/>
        </w:rPr>
        <w:footnoteRef/>
      </w:r>
      <w:r w:rsidRPr="0084558B">
        <w:rPr>
          <w:rFonts w:ascii="Book Antiqua" w:hAnsi="Book Antiqua"/>
          <w:sz w:val="18"/>
          <w:szCs w:val="18"/>
          <w:vertAlign w:val="superscript"/>
        </w:rPr>
        <w:t>)</w:t>
      </w:r>
      <w:r w:rsidRPr="0084558B">
        <w:rPr>
          <w:rFonts w:ascii="Book Antiqua" w:hAnsi="Book Antiqua"/>
          <w:sz w:val="18"/>
          <w:szCs w:val="18"/>
        </w:rPr>
        <w:t xml:space="preserve"> </w:t>
      </w:r>
      <w:r w:rsidRPr="008148EA">
        <w:rPr>
          <w:rFonts w:ascii="Book Antiqua" w:hAnsi="Book Antiqua"/>
          <w:sz w:val="18"/>
          <w:szCs w:val="18"/>
        </w:rPr>
        <w:t>Nap</w:t>
      </w:r>
      <w:r w:rsidRPr="008148EA" w:rsidR="00072D58">
        <w:rPr>
          <w:rFonts w:ascii="Book Antiqua" w:hAnsi="Book Antiqua"/>
          <w:sz w:val="18"/>
          <w:szCs w:val="18"/>
        </w:rPr>
        <w:t>r</w:t>
      </w:r>
      <w:r w:rsidRPr="008148EA">
        <w:rPr>
          <w:rFonts w:ascii="Book Antiqua" w:hAnsi="Book Antiqua"/>
          <w:sz w:val="18"/>
          <w:szCs w:val="18"/>
        </w:rPr>
        <w:t>íklad § 657 Občianskeho zákonníka v znení zákona č. 509/1991 Zb., § 230 a 673 Obchodného zákonníka</w:t>
      </w:r>
      <w:r w:rsidRPr="008148EA" w:rsidR="008148EA">
        <w:rPr>
          <w:rFonts w:ascii="Book Antiqua" w:hAnsi="Book Antiqua"/>
          <w:sz w:val="18"/>
          <w:szCs w:val="18"/>
        </w:rPr>
        <w:t xml:space="preserve"> v znení neskorších predpisov</w:t>
      </w:r>
      <w:r w:rsidRPr="008148EA">
        <w:rPr>
          <w:rFonts w:ascii="Book Antiqua" w:hAnsi="Book Antiqua" w:cs="Tahoma"/>
          <w:sz w:val="18"/>
          <w:szCs w:val="18"/>
        </w:rPr>
        <w:t>.</w:t>
      </w:r>
    </w:p>
  </w:footnote>
  <w:footnote w:id="9">
    <w:p w:rsidR="00880DFE" w:rsidRPr="0084558B" w:rsidP="009C2524">
      <w:pPr>
        <w:pStyle w:val="FootnoteText"/>
        <w:jc w:val="both"/>
      </w:pPr>
      <w:r w:rsidRPr="008148EA">
        <w:rPr>
          <w:rStyle w:val="FootnoteReference"/>
          <w:rFonts w:ascii="Book Antiqua" w:hAnsi="Book Antiqua"/>
          <w:sz w:val="18"/>
          <w:szCs w:val="18"/>
        </w:rPr>
        <w:footnoteRef/>
      </w:r>
      <w:r w:rsidRPr="008148EA">
        <w:rPr>
          <w:rFonts w:ascii="Book Antiqua" w:hAnsi="Book Antiqua"/>
          <w:sz w:val="18"/>
          <w:szCs w:val="18"/>
          <w:vertAlign w:val="superscript"/>
        </w:rPr>
        <w:t>)</w:t>
      </w:r>
      <w:r w:rsidRPr="008148EA">
        <w:rPr>
          <w:rFonts w:ascii="Book Antiqua" w:hAnsi="Book Antiqua"/>
          <w:sz w:val="18"/>
          <w:szCs w:val="18"/>
        </w:rPr>
        <w:t xml:space="preserve"> § 20a a § 460 až 487 Občianskeho zákonníka v znení neskorších predpisov.</w:t>
      </w:r>
    </w:p>
  </w:footnote>
  <w:footnote w:id="10">
    <w:p w:rsidR="00880DFE" w:rsidRPr="00177C80" w:rsidP="009C2524">
      <w:pPr>
        <w:pStyle w:val="FootnoteText"/>
        <w:jc w:val="both"/>
        <w:rPr>
          <w:highlight w:val="yellow"/>
        </w:rPr>
      </w:pPr>
      <w:r w:rsidRPr="00537330">
        <w:rPr>
          <w:rStyle w:val="FootnoteReference"/>
          <w:rFonts w:ascii="Book Antiqua" w:hAnsi="Book Antiqua"/>
          <w:sz w:val="18"/>
          <w:szCs w:val="18"/>
        </w:rPr>
        <w:footnoteRef/>
      </w:r>
      <w:r w:rsidRPr="00537330">
        <w:rPr>
          <w:rFonts w:ascii="Book Antiqua" w:hAnsi="Book Antiqua"/>
          <w:sz w:val="18"/>
          <w:szCs w:val="18"/>
          <w:vertAlign w:val="superscript"/>
        </w:rPr>
        <w:t>)</w:t>
      </w:r>
      <w:r w:rsidRPr="00537330">
        <w:rPr>
          <w:rFonts w:ascii="Book Antiqua" w:hAnsi="Book Antiqua"/>
          <w:sz w:val="18"/>
          <w:szCs w:val="18"/>
        </w:rPr>
        <w:t xml:space="preserve"> § 11 a 12 </w:t>
      </w:r>
      <w:r w:rsidRPr="00537330">
        <w:rPr>
          <w:rFonts w:ascii="Book Antiqua" w:hAnsi="Book Antiqua" w:cs="Tahoma"/>
          <w:sz w:val="18"/>
          <w:szCs w:val="18"/>
        </w:rPr>
        <w:t xml:space="preserve">zákona </w:t>
      </w:r>
      <w:r w:rsidRPr="00537330">
        <w:rPr>
          <w:rFonts w:ascii="Book Antiqua" w:hAnsi="Book Antiqua"/>
          <w:sz w:val="18"/>
          <w:szCs w:val="18"/>
        </w:rPr>
        <w:t>č. 7/2005 Z. z. v znení neskorších predpisov</w:t>
      </w:r>
      <w:r w:rsidRPr="00537330">
        <w:rPr>
          <w:rFonts w:ascii="Book Antiqua" w:hAnsi="Book Antiqua" w:cs="Tahoma"/>
          <w:sz w:val="18"/>
          <w:szCs w:val="18"/>
        </w:rPr>
        <w:t>.</w:t>
      </w:r>
    </w:p>
  </w:footnote>
  <w:footnote w:id="11">
    <w:p w:rsidR="00880DFE" w:rsidRPr="00177C80" w:rsidP="009C2524">
      <w:pPr>
        <w:pStyle w:val="FootnoteText"/>
        <w:jc w:val="both"/>
        <w:rPr>
          <w:highlight w:val="yellow"/>
        </w:rPr>
      </w:pPr>
      <w:r w:rsidRPr="00537330">
        <w:rPr>
          <w:rStyle w:val="FootnoteReference"/>
          <w:rFonts w:ascii="Book Antiqua" w:hAnsi="Book Antiqua"/>
          <w:sz w:val="18"/>
          <w:szCs w:val="18"/>
        </w:rPr>
        <w:footnoteRef/>
      </w:r>
      <w:r w:rsidRPr="00537330">
        <w:rPr>
          <w:rFonts w:ascii="Book Antiqua" w:hAnsi="Book Antiqua"/>
          <w:sz w:val="18"/>
          <w:szCs w:val="18"/>
          <w:vertAlign w:val="superscript"/>
        </w:rPr>
        <w:t>)</w:t>
      </w:r>
      <w:r w:rsidRPr="00537330">
        <w:rPr>
          <w:rFonts w:ascii="Book Antiqua" w:hAnsi="Book Antiqua"/>
          <w:sz w:val="18"/>
          <w:szCs w:val="18"/>
        </w:rPr>
        <w:t xml:space="preserve"> § 13 </w:t>
      </w:r>
      <w:r w:rsidRPr="00537330">
        <w:rPr>
          <w:rFonts w:ascii="Book Antiqua" w:hAnsi="Book Antiqua" w:cs="Tahoma"/>
          <w:sz w:val="18"/>
          <w:szCs w:val="18"/>
        </w:rPr>
        <w:t xml:space="preserve">zákona </w:t>
      </w:r>
      <w:r w:rsidRPr="00537330">
        <w:rPr>
          <w:rFonts w:ascii="Book Antiqua" w:hAnsi="Book Antiqua"/>
          <w:sz w:val="18"/>
          <w:szCs w:val="18"/>
        </w:rPr>
        <w:t>č. 7/2005 Z. z. v znení neskorších predpisov</w:t>
      </w:r>
      <w:r w:rsidRPr="00537330">
        <w:rPr>
          <w:rFonts w:ascii="Book Antiqua" w:hAnsi="Book Antiqua" w:cs="Tahoma"/>
          <w:sz w:val="18"/>
          <w:szCs w:val="18"/>
        </w:rPr>
        <w:t>.</w:t>
      </w:r>
    </w:p>
  </w:footnote>
  <w:footnote w:id="12">
    <w:p w:rsidR="00880DFE" w:rsidRPr="00177C80" w:rsidP="009C2524">
      <w:pPr>
        <w:pStyle w:val="FootnoteText"/>
        <w:jc w:val="both"/>
        <w:rPr>
          <w:highlight w:val="yellow"/>
        </w:rPr>
      </w:pPr>
      <w:r w:rsidRPr="00537330">
        <w:rPr>
          <w:rStyle w:val="FootnoteReference"/>
          <w:rFonts w:ascii="Book Antiqua" w:hAnsi="Book Antiqua"/>
          <w:sz w:val="18"/>
          <w:szCs w:val="18"/>
        </w:rPr>
        <w:footnoteRef/>
      </w:r>
      <w:r w:rsidRPr="00537330">
        <w:rPr>
          <w:rFonts w:ascii="Book Antiqua" w:hAnsi="Book Antiqua"/>
          <w:sz w:val="18"/>
          <w:szCs w:val="18"/>
          <w:vertAlign w:val="superscript"/>
        </w:rPr>
        <w:t>)</w:t>
      </w:r>
      <w:r w:rsidRPr="00537330">
        <w:rPr>
          <w:rFonts w:ascii="Book Antiqua" w:hAnsi="Book Antiqua"/>
          <w:sz w:val="18"/>
          <w:szCs w:val="18"/>
        </w:rPr>
        <w:t xml:space="preserve"> § 28 až 32 </w:t>
      </w:r>
      <w:r w:rsidRPr="00537330">
        <w:rPr>
          <w:rFonts w:ascii="Book Antiqua" w:hAnsi="Book Antiqua" w:cs="Tahoma"/>
          <w:sz w:val="18"/>
          <w:szCs w:val="18"/>
        </w:rPr>
        <w:t xml:space="preserve">zákona </w:t>
      </w:r>
      <w:r w:rsidRPr="00537330">
        <w:rPr>
          <w:rFonts w:ascii="Book Antiqua" w:hAnsi="Book Antiqua"/>
          <w:sz w:val="18"/>
          <w:szCs w:val="18"/>
        </w:rPr>
        <w:t>č. 7/2005 Z. z. v znení neskorších predpisov</w:t>
      </w:r>
      <w:r w:rsidRPr="00537330">
        <w:rPr>
          <w:rFonts w:ascii="Book Antiqua" w:hAnsi="Book Antiqua" w:cs="Tahoma"/>
          <w:sz w:val="18"/>
          <w:szCs w:val="18"/>
        </w:rPr>
        <w:t>.</w:t>
      </w:r>
    </w:p>
  </w:footnote>
  <w:footnote w:id="13">
    <w:p w:rsidR="00880DFE" w:rsidRPr="00177C80" w:rsidP="009C2524">
      <w:pPr>
        <w:pStyle w:val="FootnoteText"/>
        <w:jc w:val="both"/>
        <w:rPr>
          <w:highlight w:val="yellow"/>
        </w:rPr>
      </w:pPr>
      <w:r w:rsidRPr="00537330">
        <w:rPr>
          <w:rStyle w:val="FootnoteReference"/>
          <w:rFonts w:ascii="Book Antiqua" w:hAnsi="Book Antiqua"/>
          <w:sz w:val="18"/>
          <w:szCs w:val="18"/>
        </w:rPr>
        <w:footnoteRef/>
      </w:r>
      <w:r w:rsidRPr="00537330">
        <w:rPr>
          <w:rFonts w:ascii="Book Antiqua" w:hAnsi="Book Antiqua"/>
          <w:sz w:val="18"/>
          <w:szCs w:val="18"/>
          <w:vertAlign w:val="superscript"/>
        </w:rPr>
        <w:t>)</w:t>
      </w:r>
      <w:r w:rsidRPr="00537330">
        <w:rPr>
          <w:rFonts w:ascii="Book Antiqua" w:hAnsi="Book Antiqua"/>
          <w:sz w:val="18"/>
          <w:szCs w:val="18"/>
        </w:rPr>
        <w:t xml:space="preserve"> Nap</w:t>
      </w:r>
      <w:r w:rsidRPr="00537330" w:rsidR="00072D58">
        <w:rPr>
          <w:rFonts w:ascii="Book Antiqua" w:hAnsi="Book Antiqua"/>
          <w:sz w:val="18"/>
          <w:szCs w:val="18"/>
        </w:rPr>
        <w:t>r</w:t>
      </w:r>
      <w:r w:rsidRPr="00537330">
        <w:rPr>
          <w:rFonts w:ascii="Book Antiqua" w:hAnsi="Book Antiqua"/>
          <w:sz w:val="18"/>
          <w:szCs w:val="18"/>
        </w:rPr>
        <w:t xml:space="preserve">íklad § 102 až 105 </w:t>
      </w:r>
      <w:r w:rsidRPr="00537330">
        <w:rPr>
          <w:rFonts w:ascii="Book Antiqua" w:hAnsi="Book Antiqua" w:cs="Tahoma"/>
          <w:sz w:val="18"/>
          <w:szCs w:val="18"/>
        </w:rPr>
        <w:t xml:space="preserve">zákona </w:t>
      </w:r>
      <w:r w:rsidRPr="00537330">
        <w:rPr>
          <w:rFonts w:ascii="Book Antiqua" w:hAnsi="Book Antiqua"/>
          <w:sz w:val="18"/>
          <w:szCs w:val="18"/>
        </w:rPr>
        <w:t>č. 7/2005 Z. z. v znení neskorších predpisov</w:t>
      </w:r>
      <w:r w:rsidRPr="00537330">
        <w:rPr>
          <w:rFonts w:ascii="Book Antiqua" w:hAnsi="Book Antiqua" w:cs="Tahoma"/>
          <w:sz w:val="18"/>
          <w:szCs w:val="18"/>
        </w:rPr>
        <w:t>.</w:t>
      </w:r>
    </w:p>
  </w:footnote>
  <w:footnote w:id="14">
    <w:p w:rsidR="004A0829" w:rsidRPr="0084558B" w:rsidP="004A0829">
      <w:pPr>
        <w:pStyle w:val="FootnoteText"/>
        <w:jc w:val="both"/>
      </w:pPr>
      <w:r w:rsidRPr="00537330">
        <w:rPr>
          <w:rStyle w:val="FootnoteReference"/>
          <w:rFonts w:ascii="Book Antiqua" w:hAnsi="Book Antiqua"/>
          <w:sz w:val="18"/>
          <w:szCs w:val="18"/>
        </w:rPr>
        <w:footnoteRef/>
      </w:r>
      <w:r w:rsidRPr="00537330">
        <w:rPr>
          <w:rFonts w:ascii="Book Antiqua" w:hAnsi="Book Antiqua"/>
          <w:sz w:val="18"/>
          <w:szCs w:val="18"/>
          <w:vertAlign w:val="superscript"/>
        </w:rPr>
        <w:t>)</w:t>
      </w:r>
      <w:r w:rsidR="005D6967">
        <w:rPr>
          <w:rFonts w:ascii="Book Antiqua" w:hAnsi="Book Antiqua"/>
          <w:sz w:val="18"/>
          <w:szCs w:val="18"/>
        </w:rPr>
        <w:t xml:space="preserve"> § 3 ods. 1</w:t>
      </w:r>
      <w:r w:rsidRPr="00537330">
        <w:rPr>
          <w:rFonts w:ascii="Book Antiqua" w:hAnsi="Book Antiqua"/>
          <w:sz w:val="18"/>
          <w:szCs w:val="18"/>
        </w:rPr>
        <w:t xml:space="preserve"> zákona č. 595/2003 Z. z. o dani z príjmov v znení neskorších predpisov</w:t>
      </w:r>
      <w:r w:rsidRPr="00537330">
        <w:rPr>
          <w:rFonts w:ascii="Book Antiqua" w:hAnsi="Book Antiqua" w:cs="Tahoma"/>
          <w:sz w:val="18"/>
          <w:szCs w:val="18"/>
        </w:rPr>
        <w:t>.</w:t>
      </w:r>
    </w:p>
  </w:footnote>
  <w:footnote w:id="15">
    <w:p w:rsidR="00880DFE" w:rsidRPr="0084558B" w:rsidP="009C2524">
      <w:pPr>
        <w:pStyle w:val="FootnoteText"/>
        <w:jc w:val="both"/>
      </w:pPr>
      <w:r w:rsidRPr="00537330">
        <w:rPr>
          <w:rStyle w:val="FootnoteReference"/>
          <w:rFonts w:ascii="Book Antiqua" w:hAnsi="Book Antiqua"/>
          <w:sz w:val="18"/>
          <w:szCs w:val="18"/>
        </w:rPr>
        <w:footnoteRef/>
      </w:r>
      <w:r w:rsidRPr="00537330">
        <w:rPr>
          <w:rFonts w:ascii="Book Antiqua" w:hAnsi="Book Antiqua"/>
          <w:sz w:val="18"/>
          <w:szCs w:val="18"/>
          <w:vertAlign w:val="superscript"/>
        </w:rPr>
        <w:t>)</w:t>
      </w:r>
      <w:r w:rsidRPr="00537330" w:rsidR="00CE0B56">
        <w:rPr>
          <w:rFonts w:ascii="Book Antiqua" w:hAnsi="Book Antiqua"/>
          <w:sz w:val="18"/>
          <w:szCs w:val="18"/>
        </w:rPr>
        <w:t xml:space="preserve"> § 177 Správneho súdneho poriadku</w:t>
      </w:r>
      <w:r w:rsidRPr="00537330">
        <w:rPr>
          <w:rFonts w:ascii="Book Antiqua" w:hAnsi="Book Antiqua"/>
          <w:sz w:val="18"/>
          <w:szCs w:val="18"/>
        </w:rPr>
        <w:t>.</w:t>
      </w:r>
    </w:p>
  </w:footnote>
  <w:footnote w:id="16">
    <w:p w:rsidR="00880DFE" w:rsidP="009C2524">
      <w:pPr>
        <w:pStyle w:val="FootnoteText"/>
        <w:jc w:val="both"/>
      </w:pPr>
      <w:r w:rsidRPr="0084558B">
        <w:rPr>
          <w:rStyle w:val="FootnoteReference"/>
          <w:rFonts w:ascii="Book Antiqua" w:hAnsi="Book Antiqua"/>
          <w:sz w:val="18"/>
          <w:szCs w:val="18"/>
        </w:rPr>
        <w:footnoteRef/>
      </w:r>
      <w:r w:rsidRPr="0084558B">
        <w:rPr>
          <w:rFonts w:ascii="Book Antiqua" w:hAnsi="Book Antiqua"/>
          <w:sz w:val="18"/>
          <w:szCs w:val="18"/>
          <w:vertAlign w:val="superscript"/>
        </w:rPr>
        <w:t>)</w:t>
      </w:r>
      <w:r w:rsidRPr="0084558B">
        <w:rPr>
          <w:rFonts w:ascii="Book Antiqua" w:hAnsi="Book Antiqua"/>
          <w:sz w:val="18"/>
          <w:szCs w:val="18"/>
        </w:rPr>
        <w:t xml:space="preserve"> </w:t>
      </w:r>
      <w:r w:rsidRPr="0084558B">
        <w:rPr>
          <w:rFonts w:ascii="Book Antiqua" w:hAnsi="Book Antiqua" w:cs="Tahoma"/>
          <w:sz w:val="18"/>
          <w:szCs w:val="18"/>
        </w:rPr>
        <w:t>Zákon č. 71/1967 Zb. o správnom konaní (správny poriadok) v znení neskorších predpisov.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AE7286"/>
    <w:multiLevelType w:val="hybridMultilevel"/>
    <w:tmpl w:val="17E04B28"/>
    <w:lvl w:ilvl="0">
      <w:start w:val="1"/>
      <w:numFmt w:val="decimal"/>
      <w:lvlText w:val="(%1)"/>
      <w:lvlJc w:val="left"/>
      <w:pPr>
        <w:ind w:left="750" w:hanging="39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0447519F"/>
    <w:multiLevelType w:val="hybridMultilevel"/>
    <w:tmpl w:val="126AF460"/>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0C287F27"/>
    <w:multiLevelType w:val="hybridMultilevel"/>
    <w:tmpl w:val="B6AC7ACE"/>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nsid w:val="0E1E5182"/>
    <w:multiLevelType w:val="hybridMultilevel"/>
    <w:tmpl w:val="4E429472"/>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11E1061F"/>
    <w:multiLevelType w:val="hybridMultilevel"/>
    <w:tmpl w:val="4EEAF7FA"/>
    <w:lvl w:ilvl="0">
      <w:start w:val="1"/>
      <w:numFmt w:val="decimal"/>
      <w:lvlText w:val="(%1)"/>
      <w:lvlJc w:val="left"/>
      <w:pPr>
        <w:ind w:left="420" w:hanging="360"/>
      </w:pPr>
      <w:rPr>
        <w:rFonts w:cs="Times New Roman" w:hint="default"/>
      </w:rPr>
    </w:lvl>
    <w:lvl w:ilvl="1">
      <w:start w:val="1"/>
      <w:numFmt w:val="lowerLetter"/>
      <w:lvlText w:val="%2."/>
      <w:lvlJc w:val="left"/>
      <w:pPr>
        <w:ind w:left="1140" w:hanging="360"/>
      </w:pPr>
      <w:rPr>
        <w:rFonts w:cs="Times New Roman"/>
      </w:rPr>
    </w:lvl>
    <w:lvl w:ilvl="2">
      <w:start w:val="1"/>
      <w:numFmt w:val="lowerRoman"/>
      <w:lvlText w:val="%3."/>
      <w:lvlJc w:val="right"/>
      <w:pPr>
        <w:ind w:left="1860" w:hanging="180"/>
      </w:pPr>
      <w:rPr>
        <w:rFonts w:cs="Times New Roman"/>
      </w:rPr>
    </w:lvl>
    <w:lvl w:ilvl="3">
      <w:start w:val="1"/>
      <w:numFmt w:val="decimal"/>
      <w:lvlText w:val="%4."/>
      <w:lvlJc w:val="left"/>
      <w:pPr>
        <w:ind w:left="2580" w:hanging="360"/>
      </w:pPr>
      <w:rPr>
        <w:rFonts w:cs="Times New Roman"/>
      </w:rPr>
    </w:lvl>
    <w:lvl w:ilvl="4">
      <w:start w:val="1"/>
      <w:numFmt w:val="lowerLetter"/>
      <w:lvlText w:val="%5."/>
      <w:lvlJc w:val="left"/>
      <w:pPr>
        <w:ind w:left="3300" w:hanging="360"/>
      </w:pPr>
      <w:rPr>
        <w:rFonts w:cs="Times New Roman"/>
      </w:rPr>
    </w:lvl>
    <w:lvl w:ilvl="5">
      <w:start w:val="1"/>
      <w:numFmt w:val="lowerRoman"/>
      <w:lvlText w:val="%6."/>
      <w:lvlJc w:val="right"/>
      <w:pPr>
        <w:ind w:left="4020" w:hanging="180"/>
      </w:pPr>
      <w:rPr>
        <w:rFonts w:cs="Times New Roman"/>
      </w:rPr>
    </w:lvl>
    <w:lvl w:ilvl="6">
      <w:start w:val="1"/>
      <w:numFmt w:val="decimal"/>
      <w:lvlText w:val="%7."/>
      <w:lvlJc w:val="left"/>
      <w:pPr>
        <w:ind w:left="4740" w:hanging="360"/>
      </w:pPr>
      <w:rPr>
        <w:rFonts w:cs="Times New Roman"/>
      </w:rPr>
    </w:lvl>
    <w:lvl w:ilvl="7">
      <w:start w:val="1"/>
      <w:numFmt w:val="lowerLetter"/>
      <w:lvlText w:val="%8."/>
      <w:lvlJc w:val="left"/>
      <w:pPr>
        <w:ind w:left="5460" w:hanging="360"/>
      </w:pPr>
      <w:rPr>
        <w:rFonts w:cs="Times New Roman"/>
      </w:rPr>
    </w:lvl>
    <w:lvl w:ilvl="8">
      <w:start w:val="1"/>
      <w:numFmt w:val="lowerRoman"/>
      <w:lvlText w:val="%9."/>
      <w:lvlJc w:val="right"/>
      <w:pPr>
        <w:ind w:left="6180" w:hanging="180"/>
      </w:pPr>
      <w:rPr>
        <w:rFonts w:cs="Times New Roman"/>
      </w:rPr>
    </w:lvl>
  </w:abstractNum>
  <w:abstractNum w:abstractNumId="5">
    <w:nsid w:val="1914524E"/>
    <w:multiLevelType w:val="hybridMultilevel"/>
    <w:tmpl w:val="0EEA6968"/>
    <w:lvl w:ilvl="0">
      <w:start w:val="1"/>
      <w:numFmt w:val="upperRoman"/>
      <w:pStyle w:val="lnok1"/>
      <w:lvlText w:val="Čl. %1."/>
      <w:lvlJc w:val="center"/>
      <w:pPr>
        <w:ind w:left="6120" w:hanging="360"/>
      </w:pPr>
      <w:rPr>
        <w:rFonts w:ascii="Times New Roman" w:hAnsi="Times New Roman" w:cs="Times New Roman"/>
        <w:b/>
        <w:bCs/>
        <w:i w:val="0"/>
        <w:iCs w:val="0"/>
        <w:caps w:val="0"/>
        <w:smallCaps w:val="0"/>
        <w:strike w:val="0"/>
        <w:dstrike w:val="0"/>
        <w:vanish w:val="0"/>
        <w:color w:val="000000"/>
        <w:spacing w:val="0"/>
        <w:w w:val="1"/>
        <w:kern w:val="0"/>
        <w:position w:val="0"/>
        <w:sz w:val="22"/>
        <w:szCs w:val="22"/>
        <w:u w:val="none"/>
        <w:effect w:val="none"/>
        <w:vertAlign w:val="baseline"/>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1AA1373C"/>
    <w:multiLevelType w:val="hybridMultilevel"/>
    <w:tmpl w:val="5F78E96C"/>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nsid w:val="1B8442D4"/>
    <w:multiLevelType w:val="multilevel"/>
    <w:tmpl w:val="9AE01AF8"/>
    <w:lvl w:ilvl="0">
      <w:start w:val="1"/>
      <w:numFmt w:val="upperLetter"/>
      <w:pStyle w:val="Nadpis1orobas"/>
      <w:lvlText w:val="%1."/>
      <w:lvlJc w:val="left"/>
      <w:pPr>
        <w:tabs>
          <w:tab w:val="num" w:pos="567"/>
        </w:tabs>
        <w:ind w:left="567" w:hanging="567"/>
      </w:pPr>
      <w:rPr>
        <w:rFonts w:ascii="Times New Roman" w:hAnsi="Times New Roman" w:cs="Times New Roman" w:hint="default"/>
        <w:b/>
        <w:bCs/>
        <w:i w:val="0"/>
        <w:iCs w:val="0"/>
        <w:sz w:val="28"/>
        <w:szCs w:val="28"/>
      </w:rPr>
    </w:lvl>
    <w:lvl w:ilvl="1">
      <w:start w:val="1"/>
      <w:numFmt w:val="decimal"/>
      <w:pStyle w:val="Nadpis2loha"/>
      <w:lvlText w:val="%1.%2."/>
      <w:lvlJc w:val="left"/>
      <w:pPr>
        <w:tabs>
          <w:tab w:val="num" w:pos="1418"/>
        </w:tabs>
        <w:ind w:left="1418" w:hanging="851"/>
      </w:pPr>
      <w:rPr>
        <w:rFonts w:ascii="Times New Roman" w:hAnsi="Times New Roman" w:cs="Times New Roman" w:hint="default"/>
        <w:b w:val="0"/>
        <w:bCs w:val="0"/>
        <w:i w:val="0"/>
        <w:iCs w:val="0"/>
        <w:sz w:val="24"/>
        <w:szCs w:val="24"/>
      </w:rPr>
    </w:lvl>
    <w:lvl w:ilvl="2">
      <w:start w:val="1"/>
      <w:numFmt w:val="none"/>
      <w:lvlRestart w:val="0"/>
      <w:pStyle w:val="Nadpis3Podloha"/>
      <w:lvlJc w:val="left"/>
      <w:pPr>
        <w:tabs>
          <w:tab w:val="num" w:pos="1418"/>
        </w:tabs>
        <w:ind w:left="1418" w:hanging="851"/>
      </w:pPr>
      <w:rPr>
        <w:rFonts w:ascii="Times New Roman" w:hAnsi="Times New Roman" w:cs="Times New Roman" w:hint="default"/>
        <w:b w:val="0"/>
        <w:bCs w:val="0"/>
        <w:i w:val="0"/>
        <w:iCs w:val="0"/>
        <w:sz w:val="24"/>
        <w:szCs w:val="24"/>
      </w:rPr>
    </w:lvl>
    <w:lvl w:ilvl="3">
      <w:start w:val="1"/>
      <w:numFmt w:val="none"/>
      <w:pStyle w:val="Nadpis4Termn"/>
      <w:lvlText w:val="%4"/>
      <w:lvlJc w:val="left"/>
      <w:pPr>
        <w:tabs>
          <w:tab w:val="num" w:pos="1418"/>
        </w:tabs>
        <w:ind w:left="1418" w:hanging="1418"/>
      </w:pPr>
      <w:rPr>
        <w:rFonts w:ascii="Times New Roman" w:hAnsi="Times New Roman" w:cs="Times New Roman" w:hint="default"/>
        <w:b w:val="0"/>
        <w:bCs w:val="0"/>
        <w:i/>
        <w:iCs/>
        <w:sz w:val="24"/>
        <w:szCs w:val="24"/>
      </w:rPr>
    </w:lvl>
    <w:lvl w:ilvl="4">
      <w:start w:val="1"/>
      <w:numFmt w:val="decimal"/>
      <w:pStyle w:val="Heading5"/>
      <w:lvlText w:val="(%5)"/>
      <w:lvlJc w:val="left"/>
      <w:pPr>
        <w:tabs>
          <w:tab w:val="num" w:pos="3240"/>
        </w:tabs>
        <w:ind w:left="2880"/>
      </w:pPr>
      <w:rPr>
        <w:rFonts w:cs="Times New Roman" w:hint="default"/>
      </w:rPr>
    </w:lvl>
    <w:lvl w:ilvl="5">
      <w:start w:val="1"/>
      <w:numFmt w:val="lowerLetter"/>
      <w:pStyle w:val="Heading6"/>
      <w:lvlText w:val="(%6)"/>
      <w:lvlJc w:val="left"/>
      <w:pPr>
        <w:tabs>
          <w:tab w:val="num" w:pos="3960"/>
        </w:tabs>
        <w:ind w:left="3600"/>
      </w:pPr>
      <w:rPr>
        <w:rFonts w:cs="Times New Roman" w:hint="default"/>
      </w:rPr>
    </w:lvl>
    <w:lvl w:ilvl="6">
      <w:start w:val="1"/>
      <w:numFmt w:val="lowerRoman"/>
      <w:pStyle w:val="Heading7"/>
      <w:lvlText w:val="(%7)"/>
      <w:lvlJc w:val="left"/>
      <w:pPr>
        <w:tabs>
          <w:tab w:val="num" w:pos="4680"/>
        </w:tabs>
        <w:ind w:left="4320"/>
      </w:pPr>
      <w:rPr>
        <w:rFonts w:cs="Times New Roman" w:hint="default"/>
      </w:rPr>
    </w:lvl>
    <w:lvl w:ilvl="7">
      <w:start w:val="1"/>
      <w:numFmt w:val="lowerLetter"/>
      <w:pStyle w:val="Heading8"/>
      <w:lvlText w:val="(%8)"/>
      <w:lvlJc w:val="left"/>
      <w:pPr>
        <w:tabs>
          <w:tab w:val="num" w:pos="5400"/>
        </w:tabs>
        <w:ind w:left="5040"/>
      </w:pPr>
      <w:rPr>
        <w:rFonts w:cs="Times New Roman" w:hint="default"/>
      </w:rPr>
    </w:lvl>
    <w:lvl w:ilvl="8">
      <w:start w:val="1"/>
      <w:numFmt w:val="lowerRoman"/>
      <w:pStyle w:val="Heading9"/>
      <w:lvlText w:val="(%9)"/>
      <w:lvlJc w:val="left"/>
      <w:pPr>
        <w:tabs>
          <w:tab w:val="num" w:pos="6120"/>
        </w:tabs>
        <w:ind w:left="5760"/>
      </w:pPr>
      <w:rPr>
        <w:rFonts w:cs="Times New Roman" w:hint="default"/>
      </w:rPr>
    </w:lvl>
  </w:abstractNum>
  <w:abstractNum w:abstractNumId="8">
    <w:nsid w:val="1C4008D1"/>
    <w:multiLevelType w:val="hybridMultilevel"/>
    <w:tmpl w:val="621E9AC4"/>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nsid w:val="25BC515B"/>
    <w:multiLevelType w:val="hybridMultilevel"/>
    <w:tmpl w:val="F8E2A27E"/>
    <w:lvl w:ilvl="0">
      <w:start w:val="1"/>
      <w:numFmt w:val="upperRoman"/>
      <w:lvlText w:val="%1."/>
      <w:lvlJc w:val="left"/>
      <w:pPr>
        <w:ind w:left="1080" w:hanging="72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nsid w:val="25E61BA7"/>
    <w:multiLevelType w:val="hybridMultilevel"/>
    <w:tmpl w:val="3DE86AC4"/>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nsid w:val="26413AAC"/>
    <w:multiLevelType w:val="hybridMultilevel"/>
    <w:tmpl w:val="4DB0B5E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nsid w:val="33A325FE"/>
    <w:multiLevelType w:val="hybridMultilevel"/>
    <w:tmpl w:val="C1D46C82"/>
    <w:lvl w:ilvl="0">
      <w:start w:val="1"/>
      <w:numFmt w:val="decimal"/>
      <w:lvlText w:val="%1."/>
      <w:lvlJc w:val="left"/>
      <w:pPr>
        <w:ind w:left="2061" w:hanging="360"/>
      </w:pPr>
      <w:rPr>
        <w:rFonts w:cs="Times New Roman" w:hint="default"/>
      </w:rPr>
    </w:lvl>
    <w:lvl w:ilvl="1">
      <w:start w:val="1"/>
      <w:numFmt w:val="lowerLetter"/>
      <w:lvlText w:val="%2."/>
      <w:lvlJc w:val="left"/>
      <w:pPr>
        <w:ind w:left="2781" w:hanging="360"/>
      </w:pPr>
      <w:rPr>
        <w:rFonts w:cs="Times New Roman"/>
      </w:rPr>
    </w:lvl>
    <w:lvl w:ilvl="2">
      <w:start w:val="1"/>
      <w:numFmt w:val="lowerRoman"/>
      <w:lvlText w:val="%3."/>
      <w:lvlJc w:val="right"/>
      <w:pPr>
        <w:ind w:left="3501" w:hanging="180"/>
      </w:pPr>
      <w:rPr>
        <w:rFonts w:cs="Times New Roman"/>
      </w:rPr>
    </w:lvl>
    <w:lvl w:ilvl="3">
      <w:start w:val="1"/>
      <w:numFmt w:val="decimal"/>
      <w:lvlText w:val="%4."/>
      <w:lvlJc w:val="left"/>
      <w:pPr>
        <w:ind w:left="4221" w:hanging="360"/>
      </w:pPr>
      <w:rPr>
        <w:rFonts w:cs="Times New Roman"/>
      </w:rPr>
    </w:lvl>
    <w:lvl w:ilvl="4">
      <w:start w:val="1"/>
      <w:numFmt w:val="lowerLetter"/>
      <w:lvlText w:val="%5."/>
      <w:lvlJc w:val="left"/>
      <w:pPr>
        <w:ind w:left="4941" w:hanging="360"/>
      </w:pPr>
      <w:rPr>
        <w:rFonts w:cs="Times New Roman"/>
      </w:rPr>
    </w:lvl>
    <w:lvl w:ilvl="5">
      <w:start w:val="1"/>
      <w:numFmt w:val="lowerRoman"/>
      <w:lvlText w:val="%6."/>
      <w:lvlJc w:val="right"/>
      <w:pPr>
        <w:ind w:left="5661" w:hanging="180"/>
      </w:pPr>
      <w:rPr>
        <w:rFonts w:cs="Times New Roman"/>
      </w:rPr>
    </w:lvl>
    <w:lvl w:ilvl="6">
      <w:start w:val="1"/>
      <w:numFmt w:val="decimal"/>
      <w:lvlText w:val="%7."/>
      <w:lvlJc w:val="left"/>
      <w:pPr>
        <w:ind w:left="6381" w:hanging="360"/>
      </w:pPr>
      <w:rPr>
        <w:rFonts w:cs="Times New Roman"/>
      </w:rPr>
    </w:lvl>
    <w:lvl w:ilvl="7">
      <w:start w:val="1"/>
      <w:numFmt w:val="lowerLetter"/>
      <w:lvlText w:val="%8."/>
      <w:lvlJc w:val="left"/>
      <w:pPr>
        <w:ind w:left="7101" w:hanging="360"/>
      </w:pPr>
      <w:rPr>
        <w:rFonts w:cs="Times New Roman"/>
      </w:rPr>
    </w:lvl>
    <w:lvl w:ilvl="8">
      <w:start w:val="1"/>
      <w:numFmt w:val="lowerRoman"/>
      <w:lvlText w:val="%9."/>
      <w:lvlJc w:val="right"/>
      <w:pPr>
        <w:ind w:left="7821" w:hanging="180"/>
      </w:pPr>
      <w:rPr>
        <w:rFonts w:cs="Times New Roman"/>
      </w:rPr>
    </w:lvl>
  </w:abstractNum>
  <w:abstractNum w:abstractNumId="13">
    <w:nsid w:val="4010717F"/>
    <w:multiLevelType w:val="hybridMultilevel"/>
    <w:tmpl w:val="BB761AB6"/>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nsid w:val="5136547D"/>
    <w:multiLevelType w:val="hybridMultilevel"/>
    <w:tmpl w:val="FF609486"/>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nsid w:val="561F349E"/>
    <w:multiLevelType w:val="hybridMultilevel"/>
    <w:tmpl w:val="6E121E60"/>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nsid w:val="62C14F5C"/>
    <w:multiLevelType w:val="hybridMultilevel"/>
    <w:tmpl w:val="16227C60"/>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nsid w:val="66AA4D77"/>
    <w:multiLevelType w:val="hybridMultilevel"/>
    <w:tmpl w:val="3078DBBA"/>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nsid w:val="7E0905CA"/>
    <w:multiLevelType w:val="hybridMultilevel"/>
    <w:tmpl w:val="CDC207BA"/>
    <w:lvl w:ilvl="0">
      <w:start w:val="1"/>
      <w:numFmt w:val="decimal"/>
      <w:lvlText w:val="(%1)"/>
      <w:lvlJc w:val="left"/>
      <w:pPr>
        <w:ind w:left="750" w:hanging="39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7"/>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6"/>
  </w:num>
  <w:num w:numId="5">
    <w:abstractNumId w:val="2"/>
  </w:num>
  <w:num w:numId="6">
    <w:abstractNumId w:val="17"/>
  </w:num>
  <w:num w:numId="7">
    <w:abstractNumId w:val="15"/>
  </w:num>
  <w:num w:numId="8">
    <w:abstractNumId w:val="11"/>
  </w:num>
  <w:num w:numId="9">
    <w:abstractNumId w:val="12"/>
  </w:num>
  <w:num w:numId="10">
    <w:abstractNumId w:val="13"/>
  </w:num>
  <w:num w:numId="11">
    <w:abstractNumId w:val="16"/>
  </w:num>
  <w:num w:numId="12">
    <w:abstractNumId w:val="14"/>
  </w:num>
  <w:num w:numId="13">
    <w:abstractNumId w:val="8"/>
  </w:num>
  <w:num w:numId="14">
    <w:abstractNumId w:val="0"/>
  </w:num>
  <w:num w:numId="15">
    <w:abstractNumId w:val="18"/>
  </w:num>
  <w:num w:numId="16">
    <w:abstractNumId w:val="4"/>
  </w:num>
  <w:num w:numId="17">
    <w:abstractNumId w:val="1"/>
  </w:num>
  <w:num w:numId="18">
    <w:abstractNumId w:val="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A29"/>
    <w:rsid w:val="000006EA"/>
    <w:rsid w:val="00000ECE"/>
    <w:rsid w:val="00001408"/>
    <w:rsid w:val="000078F6"/>
    <w:rsid w:val="00015315"/>
    <w:rsid w:val="0001734B"/>
    <w:rsid w:val="00017A1E"/>
    <w:rsid w:val="000202BD"/>
    <w:rsid w:val="00022541"/>
    <w:rsid w:val="00022921"/>
    <w:rsid w:val="000230CC"/>
    <w:rsid w:val="0002601B"/>
    <w:rsid w:val="0002689B"/>
    <w:rsid w:val="00027EF7"/>
    <w:rsid w:val="0003276E"/>
    <w:rsid w:val="00032A27"/>
    <w:rsid w:val="0003516C"/>
    <w:rsid w:val="00036CBC"/>
    <w:rsid w:val="00036D31"/>
    <w:rsid w:val="0003727A"/>
    <w:rsid w:val="000375EB"/>
    <w:rsid w:val="00041A76"/>
    <w:rsid w:val="00041AA6"/>
    <w:rsid w:val="00041D7D"/>
    <w:rsid w:val="0004796B"/>
    <w:rsid w:val="00051BDE"/>
    <w:rsid w:val="000526C1"/>
    <w:rsid w:val="00052BD3"/>
    <w:rsid w:val="000544D0"/>
    <w:rsid w:val="00055036"/>
    <w:rsid w:val="00055B7A"/>
    <w:rsid w:val="00057D69"/>
    <w:rsid w:val="00060961"/>
    <w:rsid w:val="0006494A"/>
    <w:rsid w:val="00065BFC"/>
    <w:rsid w:val="000664A0"/>
    <w:rsid w:val="00071193"/>
    <w:rsid w:val="00071F0F"/>
    <w:rsid w:val="00072A29"/>
    <w:rsid w:val="00072AA1"/>
    <w:rsid w:val="00072D58"/>
    <w:rsid w:val="00080A5E"/>
    <w:rsid w:val="00087355"/>
    <w:rsid w:val="000900AD"/>
    <w:rsid w:val="000902E7"/>
    <w:rsid w:val="00092C82"/>
    <w:rsid w:val="000941C0"/>
    <w:rsid w:val="00096340"/>
    <w:rsid w:val="00096F4E"/>
    <w:rsid w:val="0009726C"/>
    <w:rsid w:val="000A2056"/>
    <w:rsid w:val="000A35A1"/>
    <w:rsid w:val="000A76AD"/>
    <w:rsid w:val="000A7CAC"/>
    <w:rsid w:val="000B0093"/>
    <w:rsid w:val="000B09C6"/>
    <w:rsid w:val="000B2914"/>
    <w:rsid w:val="000B7180"/>
    <w:rsid w:val="000C2FF2"/>
    <w:rsid w:val="000C3282"/>
    <w:rsid w:val="000C461E"/>
    <w:rsid w:val="000C5E24"/>
    <w:rsid w:val="000D1F21"/>
    <w:rsid w:val="000D3DF8"/>
    <w:rsid w:val="000D4653"/>
    <w:rsid w:val="000D4F15"/>
    <w:rsid w:val="000D52E4"/>
    <w:rsid w:val="000D58F7"/>
    <w:rsid w:val="000D7A94"/>
    <w:rsid w:val="000D7DFF"/>
    <w:rsid w:val="000E1348"/>
    <w:rsid w:val="000E4CB4"/>
    <w:rsid w:val="000E4F04"/>
    <w:rsid w:val="000F0D57"/>
    <w:rsid w:val="000F3C01"/>
    <w:rsid w:val="000F618C"/>
    <w:rsid w:val="00100978"/>
    <w:rsid w:val="001019D5"/>
    <w:rsid w:val="00104B45"/>
    <w:rsid w:val="00104D88"/>
    <w:rsid w:val="001053DE"/>
    <w:rsid w:val="001063FB"/>
    <w:rsid w:val="00106DEB"/>
    <w:rsid w:val="00107B6D"/>
    <w:rsid w:val="00110B7C"/>
    <w:rsid w:val="00111288"/>
    <w:rsid w:val="0011436A"/>
    <w:rsid w:val="001143CF"/>
    <w:rsid w:val="001227B7"/>
    <w:rsid w:val="0012445C"/>
    <w:rsid w:val="0012547C"/>
    <w:rsid w:val="001256A0"/>
    <w:rsid w:val="00125EA0"/>
    <w:rsid w:val="0012601C"/>
    <w:rsid w:val="00126284"/>
    <w:rsid w:val="00127376"/>
    <w:rsid w:val="0012741D"/>
    <w:rsid w:val="0013145B"/>
    <w:rsid w:val="001319D5"/>
    <w:rsid w:val="00131F57"/>
    <w:rsid w:val="0013366D"/>
    <w:rsid w:val="00135531"/>
    <w:rsid w:val="00135C26"/>
    <w:rsid w:val="00136462"/>
    <w:rsid w:val="00141F2A"/>
    <w:rsid w:val="00142725"/>
    <w:rsid w:val="001437A4"/>
    <w:rsid w:val="00143A22"/>
    <w:rsid w:val="00144CBA"/>
    <w:rsid w:val="00146EAE"/>
    <w:rsid w:val="00152031"/>
    <w:rsid w:val="00153127"/>
    <w:rsid w:val="00155E74"/>
    <w:rsid w:val="00156201"/>
    <w:rsid w:val="001638C7"/>
    <w:rsid w:val="00166176"/>
    <w:rsid w:val="001730CC"/>
    <w:rsid w:val="00174778"/>
    <w:rsid w:val="00177C80"/>
    <w:rsid w:val="0018171B"/>
    <w:rsid w:val="00183AC1"/>
    <w:rsid w:val="00191CFA"/>
    <w:rsid w:val="001A1752"/>
    <w:rsid w:val="001A3006"/>
    <w:rsid w:val="001B3623"/>
    <w:rsid w:val="001C3049"/>
    <w:rsid w:val="001C3741"/>
    <w:rsid w:val="001D22D9"/>
    <w:rsid w:val="001D31D3"/>
    <w:rsid w:val="001D7A22"/>
    <w:rsid w:val="001D7D58"/>
    <w:rsid w:val="001E06CD"/>
    <w:rsid w:val="001E1A11"/>
    <w:rsid w:val="001E24E9"/>
    <w:rsid w:val="001E64B8"/>
    <w:rsid w:val="001E6ACC"/>
    <w:rsid w:val="001F11DE"/>
    <w:rsid w:val="001F34AA"/>
    <w:rsid w:val="001F493B"/>
    <w:rsid w:val="001F4B63"/>
    <w:rsid w:val="001F4F63"/>
    <w:rsid w:val="00201B49"/>
    <w:rsid w:val="00203ACB"/>
    <w:rsid w:val="002054BB"/>
    <w:rsid w:val="002071BA"/>
    <w:rsid w:val="00210F97"/>
    <w:rsid w:val="00217025"/>
    <w:rsid w:val="00217A49"/>
    <w:rsid w:val="00226348"/>
    <w:rsid w:val="0023030D"/>
    <w:rsid w:val="00231824"/>
    <w:rsid w:val="00237CA2"/>
    <w:rsid w:val="00237CC1"/>
    <w:rsid w:val="002401E7"/>
    <w:rsid w:val="002412CD"/>
    <w:rsid w:val="002421C7"/>
    <w:rsid w:val="0024317D"/>
    <w:rsid w:val="00244AF5"/>
    <w:rsid w:val="0024597E"/>
    <w:rsid w:val="00250098"/>
    <w:rsid w:val="00252B36"/>
    <w:rsid w:val="00254D4E"/>
    <w:rsid w:val="002601FF"/>
    <w:rsid w:val="002665F9"/>
    <w:rsid w:val="00272711"/>
    <w:rsid w:val="00275EED"/>
    <w:rsid w:val="00275F76"/>
    <w:rsid w:val="00281A0F"/>
    <w:rsid w:val="00282B1C"/>
    <w:rsid w:val="00283FD0"/>
    <w:rsid w:val="00284D00"/>
    <w:rsid w:val="00287A47"/>
    <w:rsid w:val="002906D3"/>
    <w:rsid w:val="00291061"/>
    <w:rsid w:val="002923AB"/>
    <w:rsid w:val="00292899"/>
    <w:rsid w:val="00294261"/>
    <w:rsid w:val="00297CFF"/>
    <w:rsid w:val="002A0F8F"/>
    <w:rsid w:val="002A1D10"/>
    <w:rsid w:val="002B283F"/>
    <w:rsid w:val="002B3483"/>
    <w:rsid w:val="002B664D"/>
    <w:rsid w:val="002B79D8"/>
    <w:rsid w:val="002C08B0"/>
    <w:rsid w:val="002C210A"/>
    <w:rsid w:val="002C3953"/>
    <w:rsid w:val="002C4533"/>
    <w:rsid w:val="002C52D3"/>
    <w:rsid w:val="002C5945"/>
    <w:rsid w:val="002C78FF"/>
    <w:rsid w:val="002D5718"/>
    <w:rsid w:val="002D5C46"/>
    <w:rsid w:val="002E2F42"/>
    <w:rsid w:val="002E4174"/>
    <w:rsid w:val="002E516A"/>
    <w:rsid w:val="002E521E"/>
    <w:rsid w:val="002F4EA4"/>
    <w:rsid w:val="003003A1"/>
    <w:rsid w:val="00303581"/>
    <w:rsid w:val="0030752A"/>
    <w:rsid w:val="00310419"/>
    <w:rsid w:val="0031197A"/>
    <w:rsid w:val="00311EA9"/>
    <w:rsid w:val="00312482"/>
    <w:rsid w:val="00313E2D"/>
    <w:rsid w:val="00313EDF"/>
    <w:rsid w:val="0031503A"/>
    <w:rsid w:val="003152FB"/>
    <w:rsid w:val="00327CDA"/>
    <w:rsid w:val="00330D3F"/>
    <w:rsid w:val="00331223"/>
    <w:rsid w:val="00331311"/>
    <w:rsid w:val="003366FA"/>
    <w:rsid w:val="00336D35"/>
    <w:rsid w:val="00336FBD"/>
    <w:rsid w:val="0033717A"/>
    <w:rsid w:val="00337707"/>
    <w:rsid w:val="003424FF"/>
    <w:rsid w:val="00343DD0"/>
    <w:rsid w:val="00347EDB"/>
    <w:rsid w:val="00351B1F"/>
    <w:rsid w:val="00353BF0"/>
    <w:rsid w:val="00360A48"/>
    <w:rsid w:val="00361BF6"/>
    <w:rsid w:val="00361FDA"/>
    <w:rsid w:val="003647E7"/>
    <w:rsid w:val="0036587C"/>
    <w:rsid w:val="00370705"/>
    <w:rsid w:val="00373436"/>
    <w:rsid w:val="003741CB"/>
    <w:rsid w:val="00374E44"/>
    <w:rsid w:val="00381DCA"/>
    <w:rsid w:val="00383D48"/>
    <w:rsid w:val="003871AB"/>
    <w:rsid w:val="00390408"/>
    <w:rsid w:val="00390C34"/>
    <w:rsid w:val="00391F1D"/>
    <w:rsid w:val="0039247F"/>
    <w:rsid w:val="00393DF1"/>
    <w:rsid w:val="00394123"/>
    <w:rsid w:val="00396362"/>
    <w:rsid w:val="003A0399"/>
    <w:rsid w:val="003A1268"/>
    <w:rsid w:val="003A1F5E"/>
    <w:rsid w:val="003A3E41"/>
    <w:rsid w:val="003A45DE"/>
    <w:rsid w:val="003B08EB"/>
    <w:rsid w:val="003B12E0"/>
    <w:rsid w:val="003B1335"/>
    <w:rsid w:val="003B5F99"/>
    <w:rsid w:val="003B72E7"/>
    <w:rsid w:val="003B76CB"/>
    <w:rsid w:val="003C3744"/>
    <w:rsid w:val="003C6D33"/>
    <w:rsid w:val="003D2435"/>
    <w:rsid w:val="003D3535"/>
    <w:rsid w:val="003E0C9D"/>
    <w:rsid w:val="003E14D2"/>
    <w:rsid w:val="003E260A"/>
    <w:rsid w:val="003E2C4A"/>
    <w:rsid w:val="003E5341"/>
    <w:rsid w:val="003E60C5"/>
    <w:rsid w:val="003E6C64"/>
    <w:rsid w:val="003E77D8"/>
    <w:rsid w:val="003F01D0"/>
    <w:rsid w:val="003F5C0E"/>
    <w:rsid w:val="003F68FD"/>
    <w:rsid w:val="003F7334"/>
    <w:rsid w:val="00405E83"/>
    <w:rsid w:val="0040611A"/>
    <w:rsid w:val="0040622B"/>
    <w:rsid w:val="00410A98"/>
    <w:rsid w:val="00415B24"/>
    <w:rsid w:val="00416C05"/>
    <w:rsid w:val="00420B1F"/>
    <w:rsid w:val="00421ABA"/>
    <w:rsid w:val="00423A37"/>
    <w:rsid w:val="00423CAA"/>
    <w:rsid w:val="0042685C"/>
    <w:rsid w:val="00432FE9"/>
    <w:rsid w:val="00433167"/>
    <w:rsid w:val="00433A45"/>
    <w:rsid w:val="00436551"/>
    <w:rsid w:val="004378D9"/>
    <w:rsid w:val="0044024E"/>
    <w:rsid w:val="00440413"/>
    <w:rsid w:val="00446263"/>
    <w:rsid w:val="00446AD7"/>
    <w:rsid w:val="00446FE2"/>
    <w:rsid w:val="00450051"/>
    <w:rsid w:val="00450A50"/>
    <w:rsid w:val="00450D82"/>
    <w:rsid w:val="00450FB1"/>
    <w:rsid w:val="00452582"/>
    <w:rsid w:val="00452958"/>
    <w:rsid w:val="004538A8"/>
    <w:rsid w:val="00456AD6"/>
    <w:rsid w:val="00460430"/>
    <w:rsid w:val="004632F2"/>
    <w:rsid w:val="00464058"/>
    <w:rsid w:val="004643BD"/>
    <w:rsid w:val="00465552"/>
    <w:rsid w:val="004729C2"/>
    <w:rsid w:val="004755E3"/>
    <w:rsid w:val="00475AF7"/>
    <w:rsid w:val="0047747C"/>
    <w:rsid w:val="00477F79"/>
    <w:rsid w:val="00480A6F"/>
    <w:rsid w:val="00482CC4"/>
    <w:rsid w:val="00484CBD"/>
    <w:rsid w:val="004865B6"/>
    <w:rsid w:val="004918A0"/>
    <w:rsid w:val="00494617"/>
    <w:rsid w:val="00494EF6"/>
    <w:rsid w:val="004977B3"/>
    <w:rsid w:val="004A0829"/>
    <w:rsid w:val="004A19DB"/>
    <w:rsid w:val="004A2268"/>
    <w:rsid w:val="004A5943"/>
    <w:rsid w:val="004A798C"/>
    <w:rsid w:val="004B53F6"/>
    <w:rsid w:val="004B5947"/>
    <w:rsid w:val="004C1C56"/>
    <w:rsid w:val="004C252B"/>
    <w:rsid w:val="004C2A4D"/>
    <w:rsid w:val="004C45B9"/>
    <w:rsid w:val="004C7C8E"/>
    <w:rsid w:val="004D013E"/>
    <w:rsid w:val="004D62AE"/>
    <w:rsid w:val="004D642C"/>
    <w:rsid w:val="004D697C"/>
    <w:rsid w:val="004E01D0"/>
    <w:rsid w:val="004E053A"/>
    <w:rsid w:val="004E182C"/>
    <w:rsid w:val="004E3261"/>
    <w:rsid w:val="004E542A"/>
    <w:rsid w:val="004E6A96"/>
    <w:rsid w:val="004E7584"/>
    <w:rsid w:val="004F0AEC"/>
    <w:rsid w:val="004F1F34"/>
    <w:rsid w:val="004F2244"/>
    <w:rsid w:val="004F4B22"/>
    <w:rsid w:val="004F78DC"/>
    <w:rsid w:val="0050086C"/>
    <w:rsid w:val="005012AF"/>
    <w:rsid w:val="00502FC7"/>
    <w:rsid w:val="00503C1B"/>
    <w:rsid w:val="005044D2"/>
    <w:rsid w:val="00504764"/>
    <w:rsid w:val="005074C6"/>
    <w:rsid w:val="0050773F"/>
    <w:rsid w:val="00511609"/>
    <w:rsid w:val="00511B32"/>
    <w:rsid w:val="005143BB"/>
    <w:rsid w:val="00514F5A"/>
    <w:rsid w:val="00515977"/>
    <w:rsid w:val="005164CA"/>
    <w:rsid w:val="005216C6"/>
    <w:rsid w:val="00525BA5"/>
    <w:rsid w:val="005315BF"/>
    <w:rsid w:val="0053372D"/>
    <w:rsid w:val="00533E0A"/>
    <w:rsid w:val="005354E9"/>
    <w:rsid w:val="00535D9F"/>
    <w:rsid w:val="00537330"/>
    <w:rsid w:val="00537ABD"/>
    <w:rsid w:val="005401B9"/>
    <w:rsid w:val="005419C8"/>
    <w:rsid w:val="00542DCE"/>
    <w:rsid w:val="00544111"/>
    <w:rsid w:val="00544B8E"/>
    <w:rsid w:val="00546749"/>
    <w:rsid w:val="00551277"/>
    <w:rsid w:val="005517B7"/>
    <w:rsid w:val="005526E7"/>
    <w:rsid w:val="0055703D"/>
    <w:rsid w:val="00557A03"/>
    <w:rsid w:val="00557EC0"/>
    <w:rsid w:val="00562F8E"/>
    <w:rsid w:val="005639E0"/>
    <w:rsid w:val="005653D1"/>
    <w:rsid w:val="00566994"/>
    <w:rsid w:val="00567B63"/>
    <w:rsid w:val="0057044D"/>
    <w:rsid w:val="0057127A"/>
    <w:rsid w:val="00571EEF"/>
    <w:rsid w:val="00575208"/>
    <w:rsid w:val="00575CC6"/>
    <w:rsid w:val="0057643F"/>
    <w:rsid w:val="005765DD"/>
    <w:rsid w:val="00577427"/>
    <w:rsid w:val="005776F8"/>
    <w:rsid w:val="00587AD2"/>
    <w:rsid w:val="005918AE"/>
    <w:rsid w:val="00593CFC"/>
    <w:rsid w:val="00597768"/>
    <w:rsid w:val="00597C5B"/>
    <w:rsid w:val="00597CB6"/>
    <w:rsid w:val="005A2CAF"/>
    <w:rsid w:val="005A372C"/>
    <w:rsid w:val="005A4B18"/>
    <w:rsid w:val="005A6162"/>
    <w:rsid w:val="005A769A"/>
    <w:rsid w:val="005B047C"/>
    <w:rsid w:val="005B1612"/>
    <w:rsid w:val="005B3A09"/>
    <w:rsid w:val="005B499E"/>
    <w:rsid w:val="005B4B2A"/>
    <w:rsid w:val="005B4DEF"/>
    <w:rsid w:val="005C1798"/>
    <w:rsid w:val="005C207B"/>
    <w:rsid w:val="005C33AA"/>
    <w:rsid w:val="005C69B2"/>
    <w:rsid w:val="005D4005"/>
    <w:rsid w:val="005D4397"/>
    <w:rsid w:val="005D6967"/>
    <w:rsid w:val="005E5037"/>
    <w:rsid w:val="005E503A"/>
    <w:rsid w:val="005E6064"/>
    <w:rsid w:val="005E68D9"/>
    <w:rsid w:val="005F2A93"/>
    <w:rsid w:val="005F4A23"/>
    <w:rsid w:val="005F50BC"/>
    <w:rsid w:val="005F5763"/>
    <w:rsid w:val="005F74D4"/>
    <w:rsid w:val="005F761E"/>
    <w:rsid w:val="006034D9"/>
    <w:rsid w:val="006103B2"/>
    <w:rsid w:val="006135E8"/>
    <w:rsid w:val="00614EC6"/>
    <w:rsid w:val="006150FE"/>
    <w:rsid w:val="00616D94"/>
    <w:rsid w:val="006173C0"/>
    <w:rsid w:val="006173E5"/>
    <w:rsid w:val="006205FE"/>
    <w:rsid w:val="00621EB8"/>
    <w:rsid w:val="006249C0"/>
    <w:rsid w:val="00627E68"/>
    <w:rsid w:val="0063284E"/>
    <w:rsid w:val="00632E4D"/>
    <w:rsid w:val="00635A1C"/>
    <w:rsid w:val="00636620"/>
    <w:rsid w:val="00644071"/>
    <w:rsid w:val="0065083F"/>
    <w:rsid w:val="00650BA2"/>
    <w:rsid w:val="00651563"/>
    <w:rsid w:val="00652C50"/>
    <w:rsid w:val="00654216"/>
    <w:rsid w:val="0065754F"/>
    <w:rsid w:val="00657C6D"/>
    <w:rsid w:val="00662A0C"/>
    <w:rsid w:val="0066739C"/>
    <w:rsid w:val="0067296F"/>
    <w:rsid w:val="00672D91"/>
    <w:rsid w:val="0067594F"/>
    <w:rsid w:val="006773B8"/>
    <w:rsid w:val="00677D31"/>
    <w:rsid w:val="00677E88"/>
    <w:rsid w:val="006813C2"/>
    <w:rsid w:val="00681BF4"/>
    <w:rsid w:val="00682B82"/>
    <w:rsid w:val="00686079"/>
    <w:rsid w:val="006946EF"/>
    <w:rsid w:val="0069486A"/>
    <w:rsid w:val="006964C3"/>
    <w:rsid w:val="006A04D1"/>
    <w:rsid w:val="006A06D9"/>
    <w:rsid w:val="006A2139"/>
    <w:rsid w:val="006A2E84"/>
    <w:rsid w:val="006A30D9"/>
    <w:rsid w:val="006A36C5"/>
    <w:rsid w:val="006A437D"/>
    <w:rsid w:val="006A55B2"/>
    <w:rsid w:val="006A58F9"/>
    <w:rsid w:val="006B3411"/>
    <w:rsid w:val="006B4724"/>
    <w:rsid w:val="006B6086"/>
    <w:rsid w:val="006B6497"/>
    <w:rsid w:val="006C0CD2"/>
    <w:rsid w:val="006C1DFE"/>
    <w:rsid w:val="006C3A71"/>
    <w:rsid w:val="006C60CD"/>
    <w:rsid w:val="006C66F5"/>
    <w:rsid w:val="006C776D"/>
    <w:rsid w:val="006D05C4"/>
    <w:rsid w:val="006D23B0"/>
    <w:rsid w:val="006D2615"/>
    <w:rsid w:val="006D2C8E"/>
    <w:rsid w:val="006D6362"/>
    <w:rsid w:val="006D692D"/>
    <w:rsid w:val="006E0A7E"/>
    <w:rsid w:val="006E289C"/>
    <w:rsid w:val="006E4CB0"/>
    <w:rsid w:val="006F198A"/>
    <w:rsid w:val="006F344E"/>
    <w:rsid w:val="006F35CB"/>
    <w:rsid w:val="006F6591"/>
    <w:rsid w:val="006F7C5F"/>
    <w:rsid w:val="00700872"/>
    <w:rsid w:val="00703216"/>
    <w:rsid w:val="007037D4"/>
    <w:rsid w:val="0070568F"/>
    <w:rsid w:val="0070719B"/>
    <w:rsid w:val="0071046F"/>
    <w:rsid w:val="00711256"/>
    <w:rsid w:val="00714078"/>
    <w:rsid w:val="00717629"/>
    <w:rsid w:val="007176FE"/>
    <w:rsid w:val="0072187A"/>
    <w:rsid w:val="00721945"/>
    <w:rsid w:val="00721E05"/>
    <w:rsid w:val="0072229F"/>
    <w:rsid w:val="00722416"/>
    <w:rsid w:val="00723219"/>
    <w:rsid w:val="007244E7"/>
    <w:rsid w:val="00725101"/>
    <w:rsid w:val="00726248"/>
    <w:rsid w:val="00727F69"/>
    <w:rsid w:val="00734706"/>
    <w:rsid w:val="00737B53"/>
    <w:rsid w:val="00740B77"/>
    <w:rsid w:val="00743D3E"/>
    <w:rsid w:val="00744464"/>
    <w:rsid w:val="00745142"/>
    <w:rsid w:val="00745DD3"/>
    <w:rsid w:val="007467EB"/>
    <w:rsid w:val="0075006C"/>
    <w:rsid w:val="007516AC"/>
    <w:rsid w:val="00752116"/>
    <w:rsid w:val="00753E90"/>
    <w:rsid w:val="007541B2"/>
    <w:rsid w:val="007546A1"/>
    <w:rsid w:val="00757778"/>
    <w:rsid w:val="007600DC"/>
    <w:rsid w:val="007618C7"/>
    <w:rsid w:val="0076303E"/>
    <w:rsid w:val="007645F7"/>
    <w:rsid w:val="00765CF9"/>
    <w:rsid w:val="00765DC1"/>
    <w:rsid w:val="00767480"/>
    <w:rsid w:val="007677B6"/>
    <w:rsid w:val="00770E94"/>
    <w:rsid w:val="00772802"/>
    <w:rsid w:val="00772DBA"/>
    <w:rsid w:val="0077386A"/>
    <w:rsid w:val="00775E4C"/>
    <w:rsid w:val="0078067F"/>
    <w:rsid w:val="00781E7C"/>
    <w:rsid w:val="00781F43"/>
    <w:rsid w:val="00782C59"/>
    <w:rsid w:val="00784CE5"/>
    <w:rsid w:val="00784EDE"/>
    <w:rsid w:val="00784FCB"/>
    <w:rsid w:val="00785265"/>
    <w:rsid w:val="007863E5"/>
    <w:rsid w:val="0078738B"/>
    <w:rsid w:val="007875A5"/>
    <w:rsid w:val="00787AA0"/>
    <w:rsid w:val="00792E82"/>
    <w:rsid w:val="0079467E"/>
    <w:rsid w:val="00794ED1"/>
    <w:rsid w:val="00794F16"/>
    <w:rsid w:val="00797E51"/>
    <w:rsid w:val="007A378A"/>
    <w:rsid w:val="007A53AB"/>
    <w:rsid w:val="007A7106"/>
    <w:rsid w:val="007B04E5"/>
    <w:rsid w:val="007B050D"/>
    <w:rsid w:val="007B7A65"/>
    <w:rsid w:val="007B7F2E"/>
    <w:rsid w:val="007C2B40"/>
    <w:rsid w:val="007C3198"/>
    <w:rsid w:val="007C322E"/>
    <w:rsid w:val="007C3B68"/>
    <w:rsid w:val="007C3D87"/>
    <w:rsid w:val="007C5BB0"/>
    <w:rsid w:val="007D1F9C"/>
    <w:rsid w:val="007D2B90"/>
    <w:rsid w:val="007D6758"/>
    <w:rsid w:val="007E0555"/>
    <w:rsid w:val="007E16FA"/>
    <w:rsid w:val="007E1940"/>
    <w:rsid w:val="007E1D81"/>
    <w:rsid w:val="007E3566"/>
    <w:rsid w:val="007E43A6"/>
    <w:rsid w:val="007E5667"/>
    <w:rsid w:val="007E7AEE"/>
    <w:rsid w:val="007F38BE"/>
    <w:rsid w:val="007F5489"/>
    <w:rsid w:val="007F560F"/>
    <w:rsid w:val="007F71A9"/>
    <w:rsid w:val="00800FF7"/>
    <w:rsid w:val="0080209E"/>
    <w:rsid w:val="008045D2"/>
    <w:rsid w:val="00806164"/>
    <w:rsid w:val="00811191"/>
    <w:rsid w:val="008148EA"/>
    <w:rsid w:val="00817C63"/>
    <w:rsid w:val="00820143"/>
    <w:rsid w:val="00821B1F"/>
    <w:rsid w:val="00824BB9"/>
    <w:rsid w:val="00825780"/>
    <w:rsid w:val="008269CB"/>
    <w:rsid w:val="00830FD3"/>
    <w:rsid w:val="00840942"/>
    <w:rsid w:val="00842CF6"/>
    <w:rsid w:val="008439EE"/>
    <w:rsid w:val="0084558B"/>
    <w:rsid w:val="008462B7"/>
    <w:rsid w:val="00846D87"/>
    <w:rsid w:val="00851176"/>
    <w:rsid w:val="00855398"/>
    <w:rsid w:val="0086106D"/>
    <w:rsid w:val="0086127B"/>
    <w:rsid w:val="008617F4"/>
    <w:rsid w:val="008629EE"/>
    <w:rsid w:val="00862E96"/>
    <w:rsid w:val="00863CC0"/>
    <w:rsid w:val="00863E5B"/>
    <w:rsid w:val="00865178"/>
    <w:rsid w:val="00866176"/>
    <w:rsid w:val="0086738B"/>
    <w:rsid w:val="00867736"/>
    <w:rsid w:val="00873346"/>
    <w:rsid w:val="00873FA0"/>
    <w:rsid w:val="00874049"/>
    <w:rsid w:val="0087506C"/>
    <w:rsid w:val="00880DFE"/>
    <w:rsid w:val="0088374E"/>
    <w:rsid w:val="008869EF"/>
    <w:rsid w:val="00887B2F"/>
    <w:rsid w:val="00893688"/>
    <w:rsid w:val="0089370D"/>
    <w:rsid w:val="008A0565"/>
    <w:rsid w:val="008A19BF"/>
    <w:rsid w:val="008A41F6"/>
    <w:rsid w:val="008A5732"/>
    <w:rsid w:val="008B1C40"/>
    <w:rsid w:val="008B26D0"/>
    <w:rsid w:val="008B4EC2"/>
    <w:rsid w:val="008B6EEF"/>
    <w:rsid w:val="008C10F5"/>
    <w:rsid w:val="008C1A3B"/>
    <w:rsid w:val="008C2D68"/>
    <w:rsid w:val="008C37B5"/>
    <w:rsid w:val="008C50F3"/>
    <w:rsid w:val="008D50BB"/>
    <w:rsid w:val="008D5E21"/>
    <w:rsid w:val="008D5FB3"/>
    <w:rsid w:val="008D6243"/>
    <w:rsid w:val="008D74D6"/>
    <w:rsid w:val="008D7D19"/>
    <w:rsid w:val="008E08E5"/>
    <w:rsid w:val="008E0C61"/>
    <w:rsid w:val="008E267E"/>
    <w:rsid w:val="008E64F0"/>
    <w:rsid w:val="008F0C90"/>
    <w:rsid w:val="008F3A3C"/>
    <w:rsid w:val="008F6057"/>
    <w:rsid w:val="00900ECE"/>
    <w:rsid w:val="00903898"/>
    <w:rsid w:val="00910803"/>
    <w:rsid w:val="009140F3"/>
    <w:rsid w:val="00916604"/>
    <w:rsid w:val="009176CB"/>
    <w:rsid w:val="00917808"/>
    <w:rsid w:val="0092003C"/>
    <w:rsid w:val="009219AA"/>
    <w:rsid w:val="009257E0"/>
    <w:rsid w:val="00927E04"/>
    <w:rsid w:val="00937435"/>
    <w:rsid w:val="00942E4E"/>
    <w:rsid w:val="00942FDD"/>
    <w:rsid w:val="00943382"/>
    <w:rsid w:val="00944E3B"/>
    <w:rsid w:val="009464AB"/>
    <w:rsid w:val="009469D1"/>
    <w:rsid w:val="009507E9"/>
    <w:rsid w:val="00952978"/>
    <w:rsid w:val="00953B12"/>
    <w:rsid w:val="0095466D"/>
    <w:rsid w:val="00964259"/>
    <w:rsid w:val="00966B08"/>
    <w:rsid w:val="00971D2C"/>
    <w:rsid w:val="00975763"/>
    <w:rsid w:val="00982065"/>
    <w:rsid w:val="00984CF7"/>
    <w:rsid w:val="00984FDD"/>
    <w:rsid w:val="009878B6"/>
    <w:rsid w:val="00990C05"/>
    <w:rsid w:val="00992536"/>
    <w:rsid w:val="00997D57"/>
    <w:rsid w:val="009A1957"/>
    <w:rsid w:val="009A3D2C"/>
    <w:rsid w:val="009A4A69"/>
    <w:rsid w:val="009A4CFA"/>
    <w:rsid w:val="009A5306"/>
    <w:rsid w:val="009A5696"/>
    <w:rsid w:val="009A5A2E"/>
    <w:rsid w:val="009A61D8"/>
    <w:rsid w:val="009B13D8"/>
    <w:rsid w:val="009B605D"/>
    <w:rsid w:val="009C0315"/>
    <w:rsid w:val="009C2524"/>
    <w:rsid w:val="009C5A40"/>
    <w:rsid w:val="009D4A03"/>
    <w:rsid w:val="009D7F2A"/>
    <w:rsid w:val="009E5C80"/>
    <w:rsid w:val="009E6AF9"/>
    <w:rsid w:val="009F08A3"/>
    <w:rsid w:val="009F11F5"/>
    <w:rsid w:val="009F2AAF"/>
    <w:rsid w:val="009F4744"/>
    <w:rsid w:val="009F7EBB"/>
    <w:rsid w:val="00A00CA5"/>
    <w:rsid w:val="00A064E7"/>
    <w:rsid w:val="00A07E1F"/>
    <w:rsid w:val="00A13C8A"/>
    <w:rsid w:val="00A14317"/>
    <w:rsid w:val="00A20979"/>
    <w:rsid w:val="00A219A9"/>
    <w:rsid w:val="00A230DA"/>
    <w:rsid w:val="00A2698D"/>
    <w:rsid w:val="00A27A1A"/>
    <w:rsid w:val="00A319D0"/>
    <w:rsid w:val="00A323A3"/>
    <w:rsid w:val="00A339CE"/>
    <w:rsid w:val="00A33B2C"/>
    <w:rsid w:val="00A36A3A"/>
    <w:rsid w:val="00A37688"/>
    <w:rsid w:val="00A37AAA"/>
    <w:rsid w:val="00A44161"/>
    <w:rsid w:val="00A466BA"/>
    <w:rsid w:val="00A55C36"/>
    <w:rsid w:val="00A5606D"/>
    <w:rsid w:val="00A5629E"/>
    <w:rsid w:val="00A57355"/>
    <w:rsid w:val="00A61224"/>
    <w:rsid w:val="00A61AA6"/>
    <w:rsid w:val="00A63210"/>
    <w:rsid w:val="00A65E34"/>
    <w:rsid w:val="00A65FBD"/>
    <w:rsid w:val="00A66A54"/>
    <w:rsid w:val="00A66AC9"/>
    <w:rsid w:val="00A6769E"/>
    <w:rsid w:val="00A70242"/>
    <w:rsid w:val="00A71162"/>
    <w:rsid w:val="00A71365"/>
    <w:rsid w:val="00A72917"/>
    <w:rsid w:val="00A736DC"/>
    <w:rsid w:val="00A7658E"/>
    <w:rsid w:val="00A8030E"/>
    <w:rsid w:val="00A82AF5"/>
    <w:rsid w:val="00A8445D"/>
    <w:rsid w:val="00A85596"/>
    <w:rsid w:val="00A85A29"/>
    <w:rsid w:val="00A91581"/>
    <w:rsid w:val="00A91749"/>
    <w:rsid w:val="00A92187"/>
    <w:rsid w:val="00A92E00"/>
    <w:rsid w:val="00A94067"/>
    <w:rsid w:val="00A9506E"/>
    <w:rsid w:val="00A95188"/>
    <w:rsid w:val="00A967BC"/>
    <w:rsid w:val="00A979EF"/>
    <w:rsid w:val="00AA2175"/>
    <w:rsid w:val="00AA3C09"/>
    <w:rsid w:val="00AA53F0"/>
    <w:rsid w:val="00AA6159"/>
    <w:rsid w:val="00AA6469"/>
    <w:rsid w:val="00AB1C95"/>
    <w:rsid w:val="00AB20FB"/>
    <w:rsid w:val="00AB2EEA"/>
    <w:rsid w:val="00AB7218"/>
    <w:rsid w:val="00AC2726"/>
    <w:rsid w:val="00AC35B6"/>
    <w:rsid w:val="00AC5771"/>
    <w:rsid w:val="00AC6860"/>
    <w:rsid w:val="00AD0C32"/>
    <w:rsid w:val="00AD5D5D"/>
    <w:rsid w:val="00AD6981"/>
    <w:rsid w:val="00AE1CD6"/>
    <w:rsid w:val="00AE328D"/>
    <w:rsid w:val="00AE3E4E"/>
    <w:rsid w:val="00AE4C37"/>
    <w:rsid w:val="00AE4EF7"/>
    <w:rsid w:val="00AE5E94"/>
    <w:rsid w:val="00AF08B6"/>
    <w:rsid w:val="00AF4B94"/>
    <w:rsid w:val="00B00758"/>
    <w:rsid w:val="00B0374A"/>
    <w:rsid w:val="00B04EF9"/>
    <w:rsid w:val="00B05F7B"/>
    <w:rsid w:val="00B0642D"/>
    <w:rsid w:val="00B06CC6"/>
    <w:rsid w:val="00B06F3B"/>
    <w:rsid w:val="00B108E8"/>
    <w:rsid w:val="00B10D0B"/>
    <w:rsid w:val="00B1101C"/>
    <w:rsid w:val="00B1166C"/>
    <w:rsid w:val="00B13E13"/>
    <w:rsid w:val="00B15C71"/>
    <w:rsid w:val="00B1684A"/>
    <w:rsid w:val="00B20EF0"/>
    <w:rsid w:val="00B30553"/>
    <w:rsid w:val="00B35A8C"/>
    <w:rsid w:val="00B42113"/>
    <w:rsid w:val="00B431C6"/>
    <w:rsid w:val="00B4480A"/>
    <w:rsid w:val="00B45BCC"/>
    <w:rsid w:val="00B46502"/>
    <w:rsid w:val="00B46CDA"/>
    <w:rsid w:val="00B52F2D"/>
    <w:rsid w:val="00B57040"/>
    <w:rsid w:val="00B62A11"/>
    <w:rsid w:val="00B634EE"/>
    <w:rsid w:val="00B655AE"/>
    <w:rsid w:val="00B7102E"/>
    <w:rsid w:val="00B71ED1"/>
    <w:rsid w:val="00B77B91"/>
    <w:rsid w:val="00B81252"/>
    <w:rsid w:val="00B821AD"/>
    <w:rsid w:val="00B84773"/>
    <w:rsid w:val="00B85CA5"/>
    <w:rsid w:val="00B860DE"/>
    <w:rsid w:val="00B90FF6"/>
    <w:rsid w:val="00B93CCF"/>
    <w:rsid w:val="00B93F12"/>
    <w:rsid w:val="00B946A0"/>
    <w:rsid w:val="00B95FB7"/>
    <w:rsid w:val="00BA3ADF"/>
    <w:rsid w:val="00BA49A5"/>
    <w:rsid w:val="00BA4D28"/>
    <w:rsid w:val="00BA62C9"/>
    <w:rsid w:val="00BB453E"/>
    <w:rsid w:val="00BC10FC"/>
    <w:rsid w:val="00BC12BF"/>
    <w:rsid w:val="00BC2389"/>
    <w:rsid w:val="00BC4680"/>
    <w:rsid w:val="00BC5D7E"/>
    <w:rsid w:val="00BC75EB"/>
    <w:rsid w:val="00BD2F2C"/>
    <w:rsid w:val="00BD53EA"/>
    <w:rsid w:val="00BD5FBB"/>
    <w:rsid w:val="00BE2DF2"/>
    <w:rsid w:val="00BE4757"/>
    <w:rsid w:val="00BE4CFF"/>
    <w:rsid w:val="00BE58DB"/>
    <w:rsid w:val="00BE5A30"/>
    <w:rsid w:val="00BE7339"/>
    <w:rsid w:val="00BF04EB"/>
    <w:rsid w:val="00BF0E6F"/>
    <w:rsid w:val="00BF101B"/>
    <w:rsid w:val="00BF16DE"/>
    <w:rsid w:val="00BF41C9"/>
    <w:rsid w:val="00BF4777"/>
    <w:rsid w:val="00BF5167"/>
    <w:rsid w:val="00BF5209"/>
    <w:rsid w:val="00BF6ABD"/>
    <w:rsid w:val="00BF6E58"/>
    <w:rsid w:val="00BF6FD0"/>
    <w:rsid w:val="00BF7A19"/>
    <w:rsid w:val="00C116A1"/>
    <w:rsid w:val="00C11A08"/>
    <w:rsid w:val="00C177D8"/>
    <w:rsid w:val="00C20173"/>
    <w:rsid w:val="00C24B54"/>
    <w:rsid w:val="00C25817"/>
    <w:rsid w:val="00C37ACD"/>
    <w:rsid w:val="00C40303"/>
    <w:rsid w:val="00C40379"/>
    <w:rsid w:val="00C4217F"/>
    <w:rsid w:val="00C421A3"/>
    <w:rsid w:val="00C42E72"/>
    <w:rsid w:val="00C4752F"/>
    <w:rsid w:val="00C5037A"/>
    <w:rsid w:val="00C50AE8"/>
    <w:rsid w:val="00C51225"/>
    <w:rsid w:val="00C52041"/>
    <w:rsid w:val="00C60C4A"/>
    <w:rsid w:val="00C612F8"/>
    <w:rsid w:val="00C6174A"/>
    <w:rsid w:val="00C64112"/>
    <w:rsid w:val="00C64E44"/>
    <w:rsid w:val="00C67E64"/>
    <w:rsid w:val="00C74931"/>
    <w:rsid w:val="00C84AA5"/>
    <w:rsid w:val="00C86B47"/>
    <w:rsid w:val="00C87808"/>
    <w:rsid w:val="00C90ED6"/>
    <w:rsid w:val="00C94E7B"/>
    <w:rsid w:val="00C9712C"/>
    <w:rsid w:val="00CA2D73"/>
    <w:rsid w:val="00CA3F26"/>
    <w:rsid w:val="00CA3F59"/>
    <w:rsid w:val="00CA621F"/>
    <w:rsid w:val="00CA6663"/>
    <w:rsid w:val="00CA6D3C"/>
    <w:rsid w:val="00CB0694"/>
    <w:rsid w:val="00CB13A8"/>
    <w:rsid w:val="00CB2CAC"/>
    <w:rsid w:val="00CB5B4D"/>
    <w:rsid w:val="00CB7838"/>
    <w:rsid w:val="00CC060A"/>
    <w:rsid w:val="00CC0B01"/>
    <w:rsid w:val="00CC1E30"/>
    <w:rsid w:val="00CC5FA3"/>
    <w:rsid w:val="00CC6046"/>
    <w:rsid w:val="00CC761C"/>
    <w:rsid w:val="00CD1A44"/>
    <w:rsid w:val="00CD1A68"/>
    <w:rsid w:val="00CD4676"/>
    <w:rsid w:val="00CD4C4F"/>
    <w:rsid w:val="00CD76B9"/>
    <w:rsid w:val="00CE0201"/>
    <w:rsid w:val="00CE055D"/>
    <w:rsid w:val="00CE0B56"/>
    <w:rsid w:val="00CE1194"/>
    <w:rsid w:val="00CE21A8"/>
    <w:rsid w:val="00CE44E6"/>
    <w:rsid w:val="00CE6B7F"/>
    <w:rsid w:val="00CF0C2B"/>
    <w:rsid w:val="00CF3502"/>
    <w:rsid w:val="00CF40FB"/>
    <w:rsid w:val="00CF6378"/>
    <w:rsid w:val="00D015AA"/>
    <w:rsid w:val="00D029FB"/>
    <w:rsid w:val="00D060D7"/>
    <w:rsid w:val="00D068F0"/>
    <w:rsid w:val="00D11C76"/>
    <w:rsid w:val="00D12F74"/>
    <w:rsid w:val="00D1300B"/>
    <w:rsid w:val="00D17313"/>
    <w:rsid w:val="00D212CB"/>
    <w:rsid w:val="00D223FB"/>
    <w:rsid w:val="00D22852"/>
    <w:rsid w:val="00D22D6B"/>
    <w:rsid w:val="00D232BE"/>
    <w:rsid w:val="00D25B44"/>
    <w:rsid w:val="00D326AD"/>
    <w:rsid w:val="00D33516"/>
    <w:rsid w:val="00D34917"/>
    <w:rsid w:val="00D34D1B"/>
    <w:rsid w:val="00D35BD0"/>
    <w:rsid w:val="00D365F0"/>
    <w:rsid w:val="00D40712"/>
    <w:rsid w:val="00D40943"/>
    <w:rsid w:val="00D41E9B"/>
    <w:rsid w:val="00D4365F"/>
    <w:rsid w:val="00D44BDF"/>
    <w:rsid w:val="00D46C16"/>
    <w:rsid w:val="00D46F98"/>
    <w:rsid w:val="00D5074D"/>
    <w:rsid w:val="00D5174B"/>
    <w:rsid w:val="00D60E25"/>
    <w:rsid w:val="00D619D0"/>
    <w:rsid w:val="00D6373E"/>
    <w:rsid w:val="00D64430"/>
    <w:rsid w:val="00D65155"/>
    <w:rsid w:val="00D7030D"/>
    <w:rsid w:val="00D713D9"/>
    <w:rsid w:val="00D734E6"/>
    <w:rsid w:val="00D77840"/>
    <w:rsid w:val="00D811C4"/>
    <w:rsid w:val="00D81DB6"/>
    <w:rsid w:val="00D83183"/>
    <w:rsid w:val="00D83C51"/>
    <w:rsid w:val="00D8423E"/>
    <w:rsid w:val="00D845BF"/>
    <w:rsid w:val="00D849B4"/>
    <w:rsid w:val="00D84BD6"/>
    <w:rsid w:val="00D8763A"/>
    <w:rsid w:val="00D909A1"/>
    <w:rsid w:val="00D90EF1"/>
    <w:rsid w:val="00D92F8D"/>
    <w:rsid w:val="00D93664"/>
    <w:rsid w:val="00D9441A"/>
    <w:rsid w:val="00D94BD5"/>
    <w:rsid w:val="00D9656B"/>
    <w:rsid w:val="00DA212E"/>
    <w:rsid w:val="00DB0255"/>
    <w:rsid w:val="00DB230F"/>
    <w:rsid w:val="00DC2C99"/>
    <w:rsid w:val="00DC2FD8"/>
    <w:rsid w:val="00DD3ADE"/>
    <w:rsid w:val="00DD45C6"/>
    <w:rsid w:val="00DD5B41"/>
    <w:rsid w:val="00DD5E80"/>
    <w:rsid w:val="00DD6512"/>
    <w:rsid w:val="00DD68C1"/>
    <w:rsid w:val="00DD76C3"/>
    <w:rsid w:val="00DE0207"/>
    <w:rsid w:val="00DE1CEA"/>
    <w:rsid w:val="00DE54CF"/>
    <w:rsid w:val="00DE58FD"/>
    <w:rsid w:val="00DE7E59"/>
    <w:rsid w:val="00DF034C"/>
    <w:rsid w:val="00DF229A"/>
    <w:rsid w:val="00DF496C"/>
    <w:rsid w:val="00DF5EAD"/>
    <w:rsid w:val="00E053DD"/>
    <w:rsid w:val="00E067AC"/>
    <w:rsid w:val="00E10C22"/>
    <w:rsid w:val="00E113A0"/>
    <w:rsid w:val="00E11B71"/>
    <w:rsid w:val="00E11DA5"/>
    <w:rsid w:val="00E15E21"/>
    <w:rsid w:val="00E1730A"/>
    <w:rsid w:val="00E31BE7"/>
    <w:rsid w:val="00E31EEB"/>
    <w:rsid w:val="00E33B9F"/>
    <w:rsid w:val="00E378E1"/>
    <w:rsid w:val="00E44C20"/>
    <w:rsid w:val="00E455AC"/>
    <w:rsid w:val="00E459C6"/>
    <w:rsid w:val="00E46E3D"/>
    <w:rsid w:val="00E471FA"/>
    <w:rsid w:val="00E50701"/>
    <w:rsid w:val="00E51B38"/>
    <w:rsid w:val="00E529A9"/>
    <w:rsid w:val="00E57FD9"/>
    <w:rsid w:val="00E641C0"/>
    <w:rsid w:val="00E650B5"/>
    <w:rsid w:val="00E67159"/>
    <w:rsid w:val="00E70237"/>
    <w:rsid w:val="00E72C11"/>
    <w:rsid w:val="00E7374E"/>
    <w:rsid w:val="00E762E9"/>
    <w:rsid w:val="00E8327B"/>
    <w:rsid w:val="00E84E00"/>
    <w:rsid w:val="00E85E26"/>
    <w:rsid w:val="00E86F32"/>
    <w:rsid w:val="00E90D5E"/>
    <w:rsid w:val="00EA2047"/>
    <w:rsid w:val="00EA4CFF"/>
    <w:rsid w:val="00EA511A"/>
    <w:rsid w:val="00EA72B2"/>
    <w:rsid w:val="00EA7C06"/>
    <w:rsid w:val="00EB00DA"/>
    <w:rsid w:val="00EB079D"/>
    <w:rsid w:val="00EB2A23"/>
    <w:rsid w:val="00EB4F58"/>
    <w:rsid w:val="00EB65BB"/>
    <w:rsid w:val="00EB6C30"/>
    <w:rsid w:val="00EC1C07"/>
    <w:rsid w:val="00EC2023"/>
    <w:rsid w:val="00EC4703"/>
    <w:rsid w:val="00EC6040"/>
    <w:rsid w:val="00EC6DAD"/>
    <w:rsid w:val="00ED0CEB"/>
    <w:rsid w:val="00ED386E"/>
    <w:rsid w:val="00ED7BEF"/>
    <w:rsid w:val="00EE010D"/>
    <w:rsid w:val="00EE42E0"/>
    <w:rsid w:val="00EE5086"/>
    <w:rsid w:val="00EE7011"/>
    <w:rsid w:val="00EF0476"/>
    <w:rsid w:val="00EF0E8C"/>
    <w:rsid w:val="00EF149F"/>
    <w:rsid w:val="00EF1D41"/>
    <w:rsid w:val="00EF2AEB"/>
    <w:rsid w:val="00EF36F5"/>
    <w:rsid w:val="00EF4B85"/>
    <w:rsid w:val="00EF5219"/>
    <w:rsid w:val="00EF70BB"/>
    <w:rsid w:val="00F00674"/>
    <w:rsid w:val="00F06A93"/>
    <w:rsid w:val="00F10110"/>
    <w:rsid w:val="00F10BCF"/>
    <w:rsid w:val="00F11B5A"/>
    <w:rsid w:val="00F153CC"/>
    <w:rsid w:val="00F15AF0"/>
    <w:rsid w:val="00F15D9F"/>
    <w:rsid w:val="00F223AF"/>
    <w:rsid w:val="00F224EC"/>
    <w:rsid w:val="00F3133F"/>
    <w:rsid w:val="00F31ED4"/>
    <w:rsid w:val="00F32300"/>
    <w:rsid w:val="00F340A9"/>
    <w:rsid w:val="00F3783F"/>
    <w:rsid w:val="00F41605"/>
    <w:rsid w:val="00F425AD"/>
    <w:rsid w:val="00F42DE1"/>
    <w:rsid w:val="00F4306C"/>
    <w:rsid w:val="00F438A3"/>
    <w:rsid w:val="00F44C47"/>
    <w:rsid w:val="00F56B9E"/>
    <w:rsid w:val="00F6359F"/>
    <w:rsid w:val="00F636A2"/>
    <w:rsid w:val="00F641DC"/>
    <w:rsid w:val="00F65453"/>
    <w:rsid w:val="00F67C20"/>
    <w:rsid w:val="00F71C5D"/>
    <w:rsid w:val="00F72618"/>
    <w:rsid w:val="00F72F1B"/>
    <w:rsid w:val="00F743FE"/>
    <w:rsid w:val="00F755F9"/>
    <w:rsid w:val="00F777B3"/>
    <w:rsid w:val="00F8449E"/>
    <w:rsid w:val="00F84522"/>
    <w:rsid w:val="00F84F11"/>
    <w:rsid w:val="00F86DBE"/>
    <w:rsid w:val="00F90922"/>
    <w:rsid w:val="00F91398"/>
    <w:rsid w:val="00F91A15"/>
    <w:rsid w:val="00F9414E"/>
    <w:rsid w:val="00FA00E1"/>
    <w:rsid w:val="00FA1335"/>
    <w:rsid w:val="00FB1BA3"/>
    <w:rsid w:val="00FB40F5"/>
    <w:rsid w:val="00FB624C"/>
    <w:rsid w:val="00FB68E4"/>
    <w:rsid w:val="00FB76F3"/>
    <w:rsid w:val="00FC01A4"/>
    <w:rsid w:val="00FC1416"/>
    <w:rsid w:val="00FC46EB"/>
    <w:rsid w:val="00FC4905"/>
    <w:rsid w:val="00FC739F"/>
    <w:rsid w:val="00FD0A3C"/>
    <w:rsid w:val="00FD0B4D"/>
    <w:rsid w:val="00FD25C4"/>
    <w:rsid w:val="00FD6872"/>
    <w:rsid w:val="00FE0597"/>
    <w:rsid w:val="00FE41BC"/>
    <w:rsid w:val="00FE7AE9"/>
    <w:rsid w:val="00FF2D57"/>
    <w:rsid w:val="00FF6A2D"/>
    <w:rsid w:val="00FF6B5C"/>
    <w:rsid w:val="00FF7240"/>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sk-SK" w:eastAsia="sk-SK"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336FBD"/>
    <w:pPr>
      <w:autoSpaceDE w:val="0"/>
      <w:autoSpaceDN w:val="0"/>
    </w:pPr>
    <w:rPr>
      <w:rFonts w:ascii="Times New Roman" w:hAnsi="Times New Roman" w:cs="Times New Roman"/>
      <w:sz w:val="20"/>
      <w:szCs w:val="20"/>
    </w:rPr>
  </w:style>
  <w:style w:type="paragraph" w:styleId="Heading2">
    <w:name w:val="heading 2"/>
    <w:basedOn w:val="Normal"/>
    <w:next w:val="Normal"/>
    <w:link w:val="Nadpis2Char"/>
    <w:uiPriority w:val="99"/>
    <w:qFormat/>
    <w:rsid w:val="00DB230F"/>
    <w:pPr>
      <w:keepNext/>
      <w:spacing w:before="240" w:after="60"/>
      <w:outlineLvl w:val="1"/>
    </w:pPr>
    <w:rPr>
      <w:rFonts w:ascii="Cambria" w:hAnsi="Cambria"/>
      <w:b/>
      <w:i/>
      <w:sz w:val="28"/>
    </w:rPr>
  </w:style>
  <w:style w:type="paragraph" w:styleId="Heading3">
    <w:name w:val="heading 3"/>
    <w:basedOn w:val="Normal"/>
    <w:next w:val="Normal"/>
    <w:link w:val="Nadpis3Char"/>
    <w:uiPriority w:val="99"/>
    <w:qFormat/>
    <w:rsid w:val="00DB230F"/>
    <w:pPr>
      <w:keepNext/>
      <w:spacing w:before="240" w:after="60"/>
      <w:outlineLvl w:val="2"/>
    </w:pPr>
    <w:rPr>
      <w:rFonts w:ascii="Cambria" w:hAnsi="Cambria"/>
      <w:b/>
      <w:sz w:val="26"/>
    </w:rPr>
  </w:style>
  <w:style w:type="paragraph" w:styleId="Heading5">
    <w:name w:val="heading 5"/>
    <w:basedOn w:val="Normal"/>
    <w:next w:val="Normal"/>
    <w:link w:val="Nadpis5Char"/>
    <w:uiPriority w:val="99"/>
    <w:qFormat/>
    <w:rsid w:val="00336FBD"/>
    <w:pPr>
      <w:numPr>
        <w:ilvl w:val="4"/>
        <w:numId w:val="1"/>
      </w:numPr>
      <w:spacing w:before="240" w:after="60"/>
      <w:outlineLvl w:val="4"/>
    </w:pPr>
    <w:rPr>
      <w:b/>
      <w:i/>
      <w:sz w:val="26"/>
    </w:rPr>
  </w:style>
  <w:style w:type="paragraph" w:styleId="Heading6">
    <w:name w:val="heading 6"/>
    <w:basedOn w:val="Normal"/>
    <w:next w:val="Normal"/>
    <w:link w:val="Nadpis6Char"/>
    <w:uiPriority w:val="99"/>
    <w:qFormat/>
    <w:rsid w:val="00336FBD"/>
    <w:pPr>
      <w:numPr>
        <w:ilvl w:val="5"/>
        <w:numId w:val="1"/>
      </w:numPr>
      <w:spacing w:before="240" w:after="60"/>
      <w:outlineLvl w:val="5"/>
    </w:pPr>
    <w:rPr>
      <w:b/>
      <w:sz w:val="22"/>
    </w:rPr>
  </w:style>
  <w:style w:type="paragraph" w:styleId="Heading7">
    <w:name w:val="heading 7"/>
    <w:basedOn w:val="Normal"/>
    <w:next w:val="Normal"/>
    <w:link w:val="Nadpis7Char"/>
    <w:uiPriority w:val="99"/>
    <w:qFormat/>
    <w:rsid w:val="00336FBD"/>
    <w:pPr>
      <w:numPr>
        <w:ilvl w:val="6"/>
        <w:numId w:val="1"/>
      </w:numPr>
      <w:spacing w:before="240" w:after="60"/>
      <w:outlineLvl w:val="6"/>
    </w:pPr>
    <w:rPr>
      <w:sz w:val="24"/>
    </w:rPr>
  </w:style>
  <w:style w:type="paragraph" w:styleId="Heading8">
    <w:name w:val="heading 8"/>
    <w:basedOn w:val="Normal"/>
    <w:next w:val="Normal"/>
    <w:link w:val="Nadpis8Char"/>
    <w:uiPriority w:val="99"/>
    <w:qFormat/>
    <w:rsid w:val="00336FBD"/>
    <w:pPr>
      <w:numPr>
        <w:ilvl w:val="7"/>
        <w:numId w:val="1"/>
      </w:numPr>
      <w:spacing w:before="240" w:after="60"/>
      <w:outlineLvl w:val="7"/>
    </w:pPr>
    <w:rPr>
      <w:i/>
      <w:sz w:val="24"/>
    </w:rPr>
  </w:style>
  <w:style w:type="paragraph" w:styleId="Heading9">
    <w:name w:val="heading 9"/>
    <w:basedOn w:val="Normal"/>
    <w:next w:val="Normal"/>
    <w:link w:val="Nadpis9Char"/>
    <w:uiPriority w:val="99"/>
    <w:qFormat/>
    <w:rsid w:val="00336FBD"/>
    <w:pPr>
      <w:numPr>
        <w:ilvl w:val="8"/>
        <w:numId w:val="1"/>
      </w:num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2Char">
    <w:name w:val="Nadpis 2 Char"/>
    <w:basedOn w:val="DefaultParagraphFont"/>
    <w:link w:val="Heading2"/>
    <w:uiPriority w:val="99"/>
    <w:semiHidden/>
    <w:locked/>
    <w:rsid w:val="00DB230F"/>
    <w:rPr>
      <w:rFonts w:ascii="Cambria" w:hAnsi="Cambria" w:cs="Times New Roman"/>
      <w:b/>
      <w:i/>
      <w:sz w:val="28"/>
    </w:rPr>
  </w:style>
  <w:style w:type="character" w:customStyle="1" w:styleId="Nadpis3Char">
    <w:name w:val="Nadpis 3 Char"/>
    <w:basedOn w:val="DefaultParagraphFont"/>
    <w:link w:val="Heading3"/>
    <w:uiPriority w:val="99"/>
    <w:semiHidden/>
    <w:locked/>
    <w:rsid w:val="00DB230F"/>
    <w:rPr>
      <w:rFonts w:ascii="Cambria" w:hAnsi="Cambria" w:cs="Times New Roman"/>
      <w:b/>
      <w:sz w:val="26"/>
    </w:rPr>
  </w:style>
  <w:style w:type="character" w:customStyle="1" w:styleId="Nadpis5Char">
    <w:name w:val="Nadpis 5 Char"/>
    <w:basedOn w:val="DefaultParagraphFont"/>
    <w:link w:val="Heading5"/>
    <w:uiPriority w:val="99"/>
    <w:locked/>
    <w:rsid w:val="00336FBD"/>
    <w:rPr>
      <w:rFonts w:ascii="Times New Roman" w:hAnsi="Times New Roman" w:cs="Times New Roman"/>
      <w:b/>
      <w:i/>
      <w:sz w:val="26"/>
    </w:rPr>
  </w:style>
  <w:style w:type="character" w:customStyle="1" w:styleId="Nadpis6Char">
    <w:name w:val="Nadpis 6 Char"/>
    <w:basedOn w:val="DefaultParagraphFont"/>
    <w:link w:val="Heading6"/>
    <w:uiPriority w:val="99"/>
    <w:locked/>
    <w:rsid w:val="00336FBD"/>
    <w:rPr>
      <w:rFonts w:ascii="Times New Roman" w:hAnsi="Times New Roman" w:cs="Times New Roman"/>
      <w:b/>
      <w:sz w:val="22"/>
    </w:rPr>
  </w:style>
  <w:style w:type="character" w:customStyle="1" w:styleId="Nadpis7Char">
    <w:name w:val="Nadpis 7 Char"/>
    <w:basedOn w:val="DefaultParagraphFont"/>
    <w:link w:val="Heading7"/>
    <w:uiPriority w:val="99"/>
    <w:locked/>
    <w:rsid w:val="00336FBD"/>
    <w:rPr>
      <w:rFonts w:ascii="Times New Roman" w:hAnsi="Times New Roman" w:cs="Times New Roman"/>
      <w:sz w:val="24"/>
    </w:rPr>
  </w:style>
  <w:style w:type="character" w:customStyle="1" w:styleId="Nadpis8Char">
    <w:name w:val="Nadpis 8 Char"/>
    <w:basedOn w:val="DefaultParagraphFont"/>
    <w:link w:val="Heading8"/>
    <w:uiPriority w:val="99"/>
    <w:locked/>
    <w:rsid w:val="00336FBD"/>
    <w:rPr>
      <w:rFonts w:ascii="Times New Roman" w:hAnsi="Times New Roman" w:cs="Times New Roman"/>
      <w:i/>
      <w:sz w:val="24"/>
    </w:rPr>
  </w:style>
  <w:style w:type="character" w:customStyle="1" w:styleId="Nadpis9Char">
    <w:name w:val="Nadpis 9 Char"/>
    <w:basedOn w:val="DefaultParagraphFont"/>
    <w:link w:val="Heading9"/>
    <w:uiPriority w:val="99"/>
    <w:locked/>
    <w:rsid w:val="00336FBD"/>
    <w:rPr>
      <w:rFonts w:ascii="Arial" w:hAnsi="Arial" w:cs="Times New Roman"/>
      <w:sz w:val="22"/>
    </w:rPr>
  </w:style>
  <w:style w:type="table" w:styleId="TableGrid">
    <w:name w:val="Table Grid"/>
    <w:basedOn w:val="TableNormal"/>
    <w:uiPriority w:val="99"/>
    <w:rsid w:val="00440413"/>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1orobas">
    <w:name w:val="Nadpis 1.Čo robí (časť)"/>
    <w:basedOn w:val="Normal"/>
    <w:next w:val="Normal"/>
    <w:uiPriority w:val="99"/>
    <w:rsid w:val="00336FBD"/>
    <w:pPr>
      <w:keepNext/>
      <w:numPr>
        <w:numId w:val="1"/>
      </w:numPr>
      <w:spacing w:before="360"/>
      <w:outlineLvl w:val="0"/>
    </w:pPr>
    <w:rPr>
      <w:b/>
      <w:bCs/>
      <w:kern w:val="32"/>
      <w:sz w:val="28"/>
      <w:szCs w:val="28"/>
    </w:rPr>
  </w:style>
  <w:style w:type="paragraph" w:customStyle="1" w:styleId="Nadpis2loha">
    <w:name w:val="Nadpis 2.Úloha"/>
    <w:basedOn w:val="Normal"/>
    <w:uiPriority w:val="99"/>
    <w:rsid w:val="00336FBD"/>
    <w:pPr>
      <w:numPr>
        <w:ilvl w:val="1"/>
        <w:numId w:val="1"/>
      </w:numPr>
      <w:spacing w:before="120"/>
      <w:jc w:val="both"/>
      <w:outlineLvl w:val="1"/>
    </w:pPr>
    <w:rPr>
      <w:sz w:val="24"/>
      <w:szCs w:val="24"/>
    </w:rPr>
  </w:style>
  <w:style w:type="paragraph" w:customStyle="1" w:styleId="Nadpis3Podloha">
    <w:name w:val="Nadpis 3.Podúloha"/>
    <w:basedOn w:val="Normal"/>
    <w:uiPriority w:val="99"/>
    <w:rsid w:val="00336FBD"/>
    <w:pPr>
      <w:keepNext/>
      <w:numPr>
        <w:ilvl w:val="2"/>
        <w:numId w:val="1"/>
      </w:numPr>
      <w:spacing w:before="120"/>
      <w:ind w:left="2269"/>
      <w:outlineLvl w:val="2"/>
    </w:pPr>
    <w:rPr>
      <w:sz w:val="24"/>
      <w:szCs w:val="24"/>
    </w:rPr>
  </w:style>
  <w:style w:type="paragraph" w:customStyle="1" w:styleId="Nadpis4Termn">
    <w:name w:val="Nadpis 4.Termín"/>
    <w:basedOn w:val="Normal"/>
    <w:next w:val="Nadpis2loha"/>
    <w:uiPriority w:val="99"/>
    <w:rsid w:val="00336FBD"/>
    <w:pPr>
      <w:numPr>
        <w:ilvl w:val="3"/>
        <w:numId w:val="1"/>
      </w:numPr>
      <w:spacing w:before="120" w:after="120"/>
      <w:outlineLvl w:val="3"/>
    </w:pPr>
    <w:rPr>
      <w:i/>
      <w:iCs/>
      <w:sz w:val="24"/>
      <w:szCs w:val="24"/>
    </w:rPr>
  </w:style>
  <w:style w:type="paragraph" w:styleId="BodyText">
    <w:name w:val="Body Text"/>
    <w:basedOn w:val="Normal"/>
    <w:link w:val="ZkladntextChar"/>
    <w:uiPriority w:val="99"/>
    <w:rsid w:val="00336FBD"/>
    <w:pPr>
      <w:jc w:val="both"/>
    </w:pPr>
  </w:style>
  <w:style w:type="character" w:customStyle="1" w:styleId="ZkladntextChar">
    <w:name w:val="Základný text Char"/>
    <w:basedOn w:val="DefaultParagraphFont"/>
    <w:link w:val="BodyText"/>
    <w:uiPriority w:val="99"/>
    <w:locked/>
    <w:rsid w:val="00336FBD"/>
    <w:rPr>
      <w:rFonts w:ascii="Times New Roman" w:hAnsi="Times New Roman" w:cs="Times New Roman"/>
      <w:sz w:val="20"/>
    </w:rPr>
  </w:style>
  <w:style w:type="character" w:customStyle="1" w:styleId="Heading1CharorobasChar">
    <w:name w:val="Heading 1 Char.Čo robí (časť) Char"/>
    <w:uiPriority w:val="99"/>
    <w:rsid w:val="00336FBD"/>
    <w:rPr>
      <w:rFonts w:ascii="Times New Roman" w:hAnsi="Times New Roman"/>
      <w:b/>
      <w:kern w:val="32"/>
      <w:sz w:val="28"/>
    </w:rPr>
  </w:style>
  <w:style w:type="character" w:styleId="CommentReference">
    <w:name w:val="annotation reference"/>
    <w:basedOn w:val="DefaultParagraphFont"/>
    <w:uiPriority w:val="99"/>
    <w:semiHidden/>
    <w:rsid w:val="00336FBD"/>
    <w:rPr>
      <w:rFonts w:cs="Times New Roman"/>
      <w:sz w:val="16"/>
    </w:rPr>
  </w:style>
  <w:style w:type="paragraph" w:styleId="CommentText">
    <w:name w:val="annotation text"/>
    <w:basedOn w:val="Normal"/>
    <w:link w:val="TextkomentraChar"/>
    <w:uiPriority w:val="99"/>
    <w:semiHidden/>
    <w:rsid w:val="00336FBD"/>
  </w:style>
  <w:style w:type="character" w:customStyle="1" w:styleId="TextkomentraChar">
    <w:name w:val="Text komentára Char"/>
    <w:basedOn w:val="DefaultParagraphFont"/>
    <w:link w:val="CommentText"/>
    <w:uiPriority w:val="99"/>
    <w:locked/>
    <w:rsid w:val="00336FBD"/>
    <w:rPr>
      <w:rFonts w:ascii="Times New Roman" w:hAnsi="Times New Roman" w:cs="Times New Roman"/>
      <w:sz w:val="20"/>
    </w:rPr>
  </w:style>
  <w:style w:type="paragraph" w:styleId="BalloonText">
    <w:name w:val="Balloon Text"/>
    <w:basedOn w:val="Normal"/>
    <w:link w:val="TextbublinyChar"/>
    <w:uiPriority w:val="99"/>
    <w:semiHidden/>
    <w:rsid w:val="00336FBD"/>
    <w:rPr>
      <w:rFonts w:ascii="Tahoma" w:hAnsi="Tahoma"/>
      <w:sz w:val="16"/>
    </w:rPr>
  </w:style>
  <w:style w:type="character" w:customStyle="1" w:styleId="TextbublinyChar">
    <w:name w:val="Text bubliny Char"/>
    <w:basedOn w:val="DefaultParagraphFont"/>
    <w:link w:val="BalloonText"/>
    <w:uiPriority w:val="99"/>
    <w:locked/>
    <w:rsid w:val="00336FBD"/>
    <w:rPr>
      <w:rFonts w:ascii="Tahoma" w:hAnsi="Tahoma" w:cs="Times New Roman"/>
      <w:sz w:val="16"/>
    </w:rPr>
  </w:style>
  <w:style w:type="paragraph" w:styleId="CommentSubject">
    <w:name w:val="annotation subject"/>
    <w:basedOn w:val="CommentText"/>
    <w:next w:val="CommentText"/>
    <w:link w:val="PredmetkomentraChar"/>
    <w:uiPriority w:val="99"/>
    <w:semiHidden/>
    <w:rsid w:val="007546A1"/>
    <w:rPr>
      <w:b/>
    </w:rPr>
  </w:style>
  <w:style w:type="character" w:customStyle="1" w:styleId="PredmetkomentraChar">
    <w:name w:val="Predmet komentára Char"/>
    <w:basedOn w:val="TextkomentraChar"/>
    <w:link w:val="CommentSubject"/>
    <w:uiPriority w:val="99"/>
    <w:semiHidden/>
    <w:locked/>
    <w:rsid w:val="007546A1"/>
    <w:rPr>
      <w:rFonts w:ascii="Times New Roman" w:hAnsi="Times New Roman" w:cs="Times New Roman"/>
      <w:b/>
      <w:sz w:val="20"/>
    </w:rPr>
  </w:style>
  <w:style w:type="paragraph" w:styleId="FootnoteText">
    <w:name w:val="footnote text"/>
    <w:basedOn w:val="Normal"/>
    <w:link w:val="TextpoznmkypodiarouChar"/>
    <w:uiPriority w:val="99"/>
    <w:semiHidden/>
    <w:rsid w:val="008C37B5"/>
  </w:style>
  <w:style w:type="character" w:customStyle="1" w:styleId="TextpoznmkypodiarouChar">
    <w:name w:val="Text poznámky pod čiarou Char"/>
    <w:basedOn w:val="DefaultParagraphFont"/>
    <w:link w:val="FootnoteText"/>
    <w:uiPriority w:val="99"/>
    <w:semiHidden/>
    <w:locked/>
    <w:rsid w:val="008C37B5"/>
    <w:rPr>
      <w:rFonts w:ascii="Times New Roman" w:hAnsi="Times New Roman" w:cs="Times New Roman"/>
    </w:rPr>
  </w:style>
  <w:style w:type="character" w:styleId="FootnoteReference">
    <w:name w:val="footnote reference"/>
    <w:basedOn w:val="DefaultParagraphFont"/>
    <w:uiPriority w:val="99"/>
    <w:semiHidden/>
    <w:rsid w:val="008C37B5"/>
    <w:rPr>
      <w:rFonts w:cs="Times New Roman"/>
      <w:vertAlign w:val="superscript"/>
    </w:rPr>
  </w:style>
  <w:style w:type="paragraph" w:styleId="ListParagraph">
    <w:name w:val="List Paragraph"/>
    <w:basedOn w:val="Normal"/>
    <w:uiPriority w:val="99"/>
    <w:qFormat/>
    <w:rsid w:val="00C86B47"/>
    <w:pPr>
      <w:autoSpaceDE/>
      <w:autoSpaceDN/>
      <w:spacing w:after="200" w:line="276" w:lineRule="auto"/>
      <w:ind w:left="720"/>
    </w:pPr>
    <w:rPr>
      <w:rFonts w:ascii="Calibri" w:hAnsi="Calibri"/>
      <w:sz w:val="22"/>
      <w:szCs w:val="22"/>
      <w:lang w:eastAsia="en-US"/>
    </w:rPr>
  </w:style>
  <w:style w:type="paragraph" w:customStyle="1" w:styleId="lnok1">
    <w:name w:val="článok1"/>
    <w:basedOn w:val="Normal"/>
    <w:next w:val="Normal"/>
    <w:uiPriority w:val="99"/>
    <w:rsid w:val="007C3D87"/>
    <w:pPr>
      <w:numPr>
        <w:numId w:val="2"/>
      </w:numPr>
      <w:autoSpaceDE/>
      <w:autoSpaceDN/>
      <w:snapToGrid w:val="0"/>
      <w:spacing w:before="120"/>
      <w:jc w:val="center"/>
    </w:pPr>
    <w:rPr>
      <w:sz w:val="24"/>
      <w:szCs w:val="24"/>
      <w:lang w:val="en-US" w:eastAsia="cs-CZ"/>
    </w:rPr>
  </w:style>
  <w:style w:type="character" w:styleId="Hyperlink">
    <w:name w:val="Hyperlink"/>
    <w:basedOn w:val="DefaultParagraphFont"/>
    <w:uiPriority w:val="99"/>
    <w:semiHidden/>
    <w:rsid w:val="003741CB"/>
    <w:rPr>
      <w:rFonts w:cs="Times New Roman"/>
      <w:color w:val="0000FF"/>
      <w:u w:val="single"/>
    </w:rPr>
  </w:style>
  <w:style w:type="character" w:styleId="HTMLTypewriter">
    <w:name w:val="HTML Typewriter"/>
    <w:basedOn w:val="DefaultParagraphFont"/>
    <w:uiPriority w:val="99"/>
    <w:semiHidden/>
    <w:rsid w:val="00F84F11"/>
    <w:rPr>
      <w:rFonts w:ascii="Courier New" w:hAnsi="Courier New" w:cs="Times New Roman"/>
      <w:sz w:val="20"/>
    </w:rPr>
  </w:style>
  <w:style w:type="character" w:customStyle="1" w:styleId="apple-converted-space">
    <w:name w:val="apple-converted-space"/>
    <w:uiPriority w:val="99"/>
    <w:rsid w:val="00740B77"/>
  </w:style>
  <w:style w:type="paragraph" w:styleId="EndnoteText">
    <w:name w:val="endnote text"/>
    <w:basedOn w:val="Normal"/>
    <w:link w:val="TextvysvetlivkyChar"/>
    <w:uiPriority w:val="99"/>
    <w:semiHidden/>
    <w:rsid w:val="00A63210"/>
  </w:style>
  <w:style w:type="character" w:customStyle="1" w:styleId="TextvysvetlivkyChar">
    <w:name w:val="Text vysvetlivky Char"/>
    <w:basedOn w:val="DefaultParagraphFont"/>
    <w:link w:val="EndnoteText"/>
    <w:uiPriority w:val="99"/>
    <w:semiHidden/>
    <w:locked/>
    <w:rsid w:val="00A63210"/>
    <w:rPr>
      <w:rFonts w:ascii="Times New Roman" w:hAnsi="Times New Roman" w:cs="Times New Roman"/>
    </w:rPr>
  </w:style>
  <w:style w:type="character" w:styleId="EndnoteReference">
    <w:name w:val="endnote reference"/>
    <w:basedOn w:val="DefaultParagraphFont"/>
    <w:uiPriority w:val="99"/>
    <w:semiHidden/>
    <w:rsid w:val="00A63210"/>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TotalTime>
  <Pages>5</Pages>
  <Words>1449</Words>
  <Characters>8265</Characters>
  <Application>Microsoft Office Word</Application>
  <DocSecurity>0</DocSecurity>
  <Lines>68</Lines>
  <Paragraphs>19</Paragraphs>
  <ScaleCrop>false</ScaleCrop>
  <HeadingPairs>
    <vt:vector size="2" baseType="variant">
      <vt:variant>
        <vt:lpstr>Názov</vt:lpstr>
      </vt:variant>
      <vt:variant>
        <vt:i4>1</vt:i4>
      </vt:variant>
    </vt:vector>
  </HeadingPairs>
  <TitlesOfParts>
    <vt:vector size="1" baseType="lpstr">
      <vt:lpstr/>
    </vt:vector>
  </TitlesOfParts>
  <Company>Nebo</Company>
  <LinksUpToDate>false</LinksUpToDate>
  <CharactersWithSpaces>9695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 Mészáros</dc:creator>
  <cp:lastModifiedBy>Milan</cp:lastModifiedBy>
  <cp:revision>10</cp:revision>
  <cp:lastPrinted>2013-04-24T14:34:00Z</cp:lastPrinted>
  <dcterms:created xsi:type="dcterms:W3CDTF">2017-02-21T10:41:00Z</dcterms:created>
  <dcterms:modified xsi:type="dcterms:W3CDTF">2018-01-06T22:52:00Z</dcterms:modified>
</cp:coreProperties>
</file>