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C737D6" w:rsidRPr="00904FE2" w:rsidP="00C737D6">
      <w:pPr>
        <w:pBdr>
          <w:bottom w:val="single" w:sz="12" w:space="1" w:color="00000A"/>
        </w:pBdr>
        <w:bidi w:val="0"/>
        <w:spacing w:before="120" w:after="0"/>
        <w:jc w:val="center"/>
        <w:rPr>
          <w:rFonts w:ascii="Book Antiqua" w:hAnsi="Book Antiqua"/>
          <w:color w:val="000000" w:themeColor="tx1" w:themeShade="FF"/>
          <w:spacing w:val="20"/>
        </w:rPr>
      </w:pPr>
      <w:r w:rsidRPr="00904FE2">
        <w:rPr>
          <w:rFonts w:ascii="Book Antiqua" w:hAnsi="Book Antiqua"/>
          <w:b/>
          <w:color w:val="000000" w:themeColor="tx1" w:themeShade="FF"/>
          <w:spacing w:val="20"/>
        </w:rPr>
        <w:t>NÁRODNÁ  RADA  SLOVENSKEJ  REPUBLIKY</w:t>
      </w:r>
    </w:p>
    <w:p w:rsidR="00C5238B" w:rsidRPr="00904FE2" w:rsidP="00C737D6">
      <w:pPr>
        <w:widowControl w:val="0"/>
        <w:tabs>
          <w:tab w:val="left" w:leader="dot" w:pos="3515"/>
        </w:tabs>
        <w:autoSpaceDE w:val="0"/>
        <w:autoSpaceDN w:val="0"/>
        <w:bidi w:val="0"/>
        <w:adjustRightInd w:val="0"/>
        <w:spacing w:after="0" w:line="240" w:lineRule="auto"/>
        <w:jc w:val="center"/>
        <w:rPr>
          <w:rFonts w:ascii="Book Antiqua" w:hAnsi="Book Antiqua"/>
          <w:color w:val="000000" w:themeColor="tx1" w:themeShade="FF"/>
          <w:spacing w:val="20"/>
        </w:rPr>
      </w:pPr>
      <w:r w:rsidRPr="00904FE2" w:rsidR="000B2FAE">
        <w:rPr>
          <w:rFonts w:ascii="Times New Roman" w:hAnsi="Times New Roman"/>
          <w:color w:val="000000" w:themeColor="tx1" w:themeShade="FF"/>
          <w:sz w:val="28"/>
          <w:szCs w:val="28"/>
        </w:rPr>
        <w:br/>
      </w:r>
    </w:p>
    <w:p w:rsidR="00C5238B" w:rsidRPr="00904FE2" w:rsidP="00C5238B">
      <w:pPr>
        <w:bidi w:val="0"/>
        <w:spacing w:before="120" w:after="0"/>
        <w:jc w:val="center"/>
        <w:rPr>
          <w:rFonts w:ascii="Book Antiqua" w:hAnsi="Book Antiqua"/>
          <w:b/>
          <w:color w:val="000000" w:themeColor="tx1" w:themeShade="FF"/>
          <w:spacing w:val="30"/>
        </w:rPr>
      </w:pPr>
      <w:r w:rsidRPr="00904FE2">
        <w:rPr>
          <w:rFonts w:ascii="Book Antiqua" w:hAnsi="Book Antiqua"/>
          <w:color w:val="000000" w:themeColor="tx1" w:themeShade="FF"/>
          <w:spacing w:val="20"/>
        </w:rPr>
        <w:t>VII. volebné obdobie</w:t>
      </w:r>
    </w:p>
    <w:p w:rsidR="00C5238B" w:rsidRPr="00904FE2" w:rsidP="00C5238B">
      <w:pPr>
        <w:bidi w:val="0"/>
        <w:spacing w:before="120" w:after="0"/>
        <w:jc w:val="center"/>
        <w:rPr>
          <w:rFonts w:ascii="Book Antiqua" w:hAnsi="Book Antiqua"/>
          <w:b/>
          <w:color w:val="000000" w:themeColor="tx1" w:themeShade="FF"/>
          <w:spacing w:val="30"/>
        </w:rPr>
      </w:pPr>
    </w:p>
    <w:p w:rsidR="00C5238B" w:rsidRPr="00904FE2" w:rsidP="00C5238B">
      <w:pPr>
        <w:bidi w:val="0"/>
        <w:spacing w:before="120" w:after="0"/>
        <w:jc w:val="center"/>
        <w:rPr>
          <w:rFonts w:ascii="Book Antiqua" w:hAnsi="Book Antiqua"/>
          <w:b/>
          <w:color w:val="000000" w:themeColor="tx1" w:themeShade="FF"/>
          <w:spacing w:val="30"/>
        </w:rPr>
      </w:pPr>
      <w:r w:rsidRPr="00904FE2">
        <w:rPr>
          <w:rFonts w:ascii="Book Antiqua" w:hAnsi="Book Antiqua"/>
          <w:b/>
          <w:color w:val="000000" w:themeColor="tx1" w:themeShade="FF"/>
          <w:spacing w:val="30"/>
        </w:rPr>
        <w:t>Návrh</w:t>
      </w:r>
    </w:p>
    <w:p w:rsidR="00C5238B" w:rsidRPr="00904FE2" w:rsidP="00C5238B">
      <w:pPr>
        <w:bidi w:val="0"/>
        <w:spacing w:before="120" w:after="0"/>
        <w:jc w:val="center"/>
        <w:rPr>
          <w:rFonts w:ascii="Book Antiqua" w:hAnsi="Book Antiqua"/>
          <w:b/>
          <w:color w:val="000000" w:themeColor="tx1" w:themeShade="FF"/>
          <w:spacing w:val="30"/>
        </w:rPr>
      </w:pPr>
    </w:p>
    <w:p w:rsidR="00C5238B" w:rsidRPr="00904FE2" w:rsidP="00C5238B">
      <w:pPr>
        <w:bidi w:val="0"/>
        <w:spacing w:before="120" w:after="0"/>
        <w:jc w:val="center"/>
        <w:rPr>
          <w:rFonts w:ascii="Book Antiqua" w:hAnsi="Book Antiqua"/>
          <w:color w:val="000000" w:themeColor="tx1" w:themeShade="FF"/>
        </w:rPr>
      </w:pPr>
      <w:r w:rsidR="001703B5">
        <w:rPr>
          <w:rFonts w:ascii="Book Antiqua" w:hAnsi="Book Antiqua"/>
          <w:b/>
          <w:caps/>
          <w:color w:val="000000" w:themeColor="tx1" w:themeShade="FF"/>
          <w:spacing w:val="30"/>
        </w:rPr>
        <w:t xml:space="preserve">ÚSTAVNÝ </w:t>
      </w:r>
      <w:r w:rsidRPr="00904FE2">
        <w:rPr>
          <w:rFonts w:ascii="Book Antiqua" w:hAnsi="Book Antiqua"/>
          <w:b/>
          <w:caps/>
          <w:color w:val="000000" w:themeColor="tx1" w:themeShade="FF"/>
          <w:spacing w:val="30"/>
        </w:rPr>
        <w:t>zákon</w:t>
      </w:r>
    </w:p>
    <w:p w:rsidR="00C5238B" w:rsidRPr="00904FE2" w:rsidP="00C5238B">
      <w:pPr>
        <w:bidi w:val="0"/>
        <w:spacing w:before="120" w:after="0"/>
        <w:jc w:val="center"/>
        <w:rPr>
          <w:rFonts w:ascii="Book Antiqua" w:hAnsi="Book Antiqua"/>
          <w:color w:val="000000" w:themeColor="tx1" w:themeShade="FF"/>
        </w:rPr>
      </w:pPr>
    </w:p>
    <w:p w:rsidR="00C5238B" w:rsidRPr="00904FE2" w:rsidP="00C5238B">
      <w:pPr>
        <w:bidi w:val="0"/>
        <w:spacing w:before="120" w:after="0"/>
        <w:jc w:val="center"/>
        <w:rPr>
          <w:rFonts w:ascii="Book Antiqua" w:hAnsi="Book Antiqua"/>
          <w:b/>
          <w:color w:val="000000" w:themeColor="tx1" w:themeShade="FF"/>
        </w:rPr>
      </w:pPr>
      <w:r w:rsidRPr="00904FE2">
        <w:rPr>
          <w:rFonts w:ascii="Book Antiqua" w:hAnsi="Book Antiqua"/>
          <w:color w:val="000000" w:themeColor="tx1" w:themeShade="FF"/>
        </w:rPr>
        <w:t>z ... 201</w:t>
      </w:r>
      <w:r w:rsidRPr="00904FE2" w:rsidR="00162D55">
        <w:rPr>
          <w:rFonts w:ascii="Book Antiqua" w:hAnsi="Book Antiqua"/>
          <w:color w:val="000000" w:themeColor="tx1" w:themeShade="FF"/>
        </w:rPr>
        <w:t>7</w:t>
      </w:r>
      <w:r w:rsidRPr="00904FE2">
        <w:rPr>
          <w:rFonts w:ascii="Book Antiqua" w:hAnsi="Book Antiqua"/>
          <w:color w:val="000000" w:themeColor="tx1" w:themeShade="FF"/>
        </w:rPr>
        <w:t>,</w:t>
      </w:r>
    </w:p>
    <w:p w:rsidR="00C5238B" w:rsidRPr="00904FE2" w:rsidP="00C5238B">
      <w:pPr>
        <w:bidi w:val="0"/>
        <w:spacing w:before="120" w:after="0"/>
        <w:jc w:val="center"/>
        <w:rPr>
          <w:rFonts w:ascii="Book Antiqua" w:hAnsi="Book Antiqua"/>
          <w:b/>
          <w:color w:val="000000" w:themeColor="tx1" w:themeShade="FF"/>
        </w:rPr>
      </w:pPr>
    </w:p>
    <w:p w:rsidR="00591AE0" w:rsidRPr="00904FE2" w:rsidP="001240CA">
      <w:pPr>
        <w:pStyle w:val="TextBody"/>
        <w:bidi w:val="0"/>
        <w:jc w:val="center"/>
        <w:rPr>
          <w:rFonts w:ascii="Book Antiqua" w:hAnsi="Book Antiqua"/>
          <w:b/>
          <w:color w:themeColor="tx1" w:themeShade="FF"/>
          <w:u w:val="single"/>
        </w:rPr>
      </w:pPr>
      <w:r w:rsidRPr="00904FE2" w:rsidR="009436E6">
        <w:rPr>
          <w:rFonts w:ascii="Book Antiqua" w:hAnsi="Book Antiqua" w:cs="Times New Roman"/>
          <w:b/>
          <w:color w:themeColor="tx1" w:themeShade="FF"/>
          <w:sz w:val="22"/>
          <w:szCs w:val="22"/>
        </w:rPr>
        <w:t>ktorým sa</w:t>
      </w:r>
      <w:r w:rsidRPr="00904FE2">
        <w:rPr>
          <w:rFonts w:ascii="Book Antiqua" w:hAnsi="Book Antiqua" w:cs="Times New Roman"/>
          <w:b/>
          <w:color w:themeColor="tx1" w:themeShade="FF"/>
          <w:sz w:val="22"/>
          <w:szCs w:val="22"/>
        </w:rPr>
        <w:t xml:space="preserve"> mení a </w:t>
      </w:r>
      <w:r w:rsidRPr="00904FE2" w:rsidR="009436E6">
        <w:rPr>
          <w:rFonts w:ascii="Book Antiqua" w:hAnsi="Book Antiqua" w:cs="Times New Roman"/>
          <w:b/>
          <w:color w:themeColor="tx1" w:themeShade="FF"/>
          <w:sz w:val="22"/>
          <w:szCs w:val="22"/>
        </w:rPr>
        <w:t>dopĺňa</w:t>
      </w:r>
      <w:r w:rsidRPr="00904FE2" w:rsidR="00C5238B">
        <w:rPr>
          <w:rFonts w:ascii="Book Antiqua" w:hAnsi="Book Antiqua" w:cs="Times New Roman"/>
          <w:b/>
          <w:color w:themeColor="tx1" w:themeShade="FF"/>
          <w:sz w:val="22"/>
          <w:szCs w:val="22"/>
        </w:rPr>
        <w:t xml:space="preserve"> </w:t>
      </w:r>
      <w:r w:rsidRPr="001703B5" w:rsidR="001703B5">
        <w:rPr>
          <w:rFonts w:ascii="Book Antiqua" w:hAnsi="Book Antiqua" w:cs="Times New Roman"/>
          <w:b/>
          <w:color w:themeColor="tx1" w:themeShade="FF"/>
          <w:sz w:val="22"/>
          <w:szCs w:val="22"/>
        </w:rPr>
        <w:t>Ústava Slovenskej republiky</w:t>
      </w:r>
      <w:r w:rsidR="001703B5">
        <w:rPr>
          <w:rFonts w:ascii="Book Antiqua" w:hAnsi="Book Antiqua" w:cs="Times New Roman"/>
          <w:b/>
          <w:color w:themeColor="tx1" w:themeShade="FF"/>
          <w:sz w:val="22"/>
          <w:szCs w:val="22"/>
        </w:rPr>
        <w:t xml:space="preserve"> </w:t>
      </w:r>
      <w:r w:rsidRPr="00904FE2">
        <w:rPr>
          <w:rFonts w:ascii="Book Antiqua" w:hAnsi="Book Antiqua" w:cs="Times New Roman"/>
          <w:b/>
          <w:color w:themeColor="tx1" w:themeShade="FF"/>
          <w:sz w:val="22"/>
          <w:szCs w:val="22"/>
        </w:rPr>
        <w:t xml:space="preserve">č. </w:t>
      </w:r>
      <w:r w:rsidR="001703B5">
        <w:rPr>
          <w:rFonts w:ascii="Book Antiqua" w:hAnsi="Book Antiqua" w:cs="Times New Roman"/>
          <w:b/>
          <w:color w:themeColor="tx1" w:themeShade="FF"/>
          <w:sz w:val="22"/>
          <w:szCs w:val="22"/>
        </w:rPr>
        <w:t>460/1992 Zb.</w:t>
      </w:r>
      <w:r w:rsidRPr="00904FE2">
        <w:rPr>
          <w:rFonts w:ascii="Book Antiqua" w:hAnsi="Book Antiqua" w:cs="Times New Roman"/>
          <w:b/>
          <w:color w:themeColor="tx1" w:themeShade="FF"/>
          <w:sz w:val="22"/>
          <w:szCs w:val="22"/>
        </w:rPr>
        <w:t xml:space="preserve"> v znení neskorších predpisov</w:t>
      </w:r>
    </w:p>
    <w:p w:rsidR="00C5238B" w:rsidRPr="00904FE2" w:rsidP="00C5238B">
      <w:pPr>
        <w:pStyle w:val="TextBody"/>
        <w:bidi w:val="0"/>
        <w:jc w:val="center"/>
        <w:rPr>
          <w:rFonts w:ascii="Book Antiqua" w:hAnsi="Book Antiqua" w:cs="Times New Roman"/>
          <w:color w:themeColor="tx1" w:themeShade="FF"/>
          <w:sz w:val="22"/>
          <w:szCs w:val="22"/>
        </w:rPr>
      </w:pPr>
    </w:p>
    <w:p w:rsidR="00C5238B" w:rsidRPr="00904FE2" w:rsidP="001240CA">
      <w:pPr>
        <w:pStyle w:val="TextBody"/>
        <w:bidi w:val="0"/>
        <w:jc w:val="center"/>
        <w:rPr>
          <w:rFonts w:ascii="Book Antiqua" w:hAnsi="Book Antiqua" w:cs="Times New Roman"/>
          <w:color w:themeColor="tx1" w:themeShade="FF"/>
          <w:sz w:val="22"/>
          <w:szCs w:val="22"/>
        </w:rPr>
      </w:pPr>
      <w:r w:rsidRPr="00904FE2">
        <w:rPr>
          <w:rFonts w:ascii="Book Antiqua" w:hAnsi="Book Antiqua" w:cs="Times New Roman"/>
          <w:color w:themeColor="tx1" w:themeShade="FF"/>
          <w:sz w:val="22"/>
          <w:szCs w:val="22"/>
        </w:rPr>
        <w:t>Národná rada Slovenskej republiky sa uzniesla na tomto</w:t>
      </w:r>
      <w:r w:rsidRPr="00904FE2" w:rsidR="0032109D">
        <w:rPr>
          <w:rFonts w:ascii="Book Antiqua" w:hAnsi="Book Antiqua" w:cs="Times New Roman"/>
          <w:color w:themeColor="tx1" w:themeShade="FF"/>
          <w:sz w:val="22"/>
          <w:szCs w:val="22"/>
        </w:rPr>
        <w:t xml:space="preserve"> </w:t>
      </w:r>
      <w:r w:rsidR="00811A36">
        <w:rPr>
          <w:rFonts w:ascii="Book Antiqua" w:hAnsi="Book Antiqua" w:cs="Times New Roman"/>
          <w:color w:themeColor="tx1" w:themeShade="FF"/>
          <w:sz w:val="22"/>
          <w:szCs w:val="22"/>
        </w:rPr>
        <w:t xml:space="preserve">ústavnom </w:t>
      </w:r>
      <w:r w:rsidRPr="00904FE2">
        <w:rPr>
          <w:rFonts w:ascii="Book Antiqua" w:hAnsi="Book Antiqua" w:cs="Times New Roman"/>
          <w:color w:themeColor="tx1" w:themeShade="FF"/>
          <w:sz w:val="22"/>
          <w:szCs w:val="22"/>
        </w:rPr>
        <w:t>zákone:</w:t>
      </w:r>
    </w:p>
    <w:p w:rsidR="00C5238B" w:rsidRPr="00904FE2" w:rsidP="00C5238B">
      <w:pPr>
        <w:pStyle w:val="Default"/>
        <w:bidi w:val="0"/>
        <w:rPr>
          <w:rFonts w:ascii="Book Antiqua" w:hAnsi="Book Antiqua" w:cs="Times New Roman"/>
          <w:color w:themeColor="tx1" w:themeShade="FF"/>
          <w:sz w:val="22"/>
          <w:szCs w:val="22"/>
          <w:lang w:bidi="ar-SA"/>
        </w:rPr>
      </w:pPr>
    </w:p>
    <w:p w:rsidR="00C5238B" w:rsidRPr="00904FE2" w:rsidP="00C5238B">
      <w:pPr>
        <w:pStyle w:val="Default"/>
        <w:bidi w:val="0"/>
        <w:jc w:val="center"/>
        <w:rPr>
          <w:rFonts w:ascii="Book Antiqua" w:hAnsi="Book Antiqua" w:cs="Times New Roman"/>
          <w:color w:themeColor="tx1" w:themeShade="FF"/>
          <w:sz w:val="22"/>
          <w:szCs w:val="22"/>
          <w:lang w:bidi="ar-SA"/>
        </w:rPr>
      </w:pPr>
      <w:r w:rsidRPr="00904FE2">
        <w:rPr>
          <w:rFonts w:ascii="Book Antiqua" w:hAnsi="Book Antiqua" w:cs="Times New Roman"/>
          <w:b/>
          <w:color w:themeColor="tx1" w:themeShade="FF"/>
          <w:sz w:val="22"/>
          <w:szCs w:val="22"/>
          <w:lang w:eastAsia="en-US" w:bidi="ar-SA"/>
        </w:rPr>
        <w:t>Čl. I</w:t>
      </w:r>
    </w:p>
    <w:p w:rsidR="00C5238B" w:rsidRPr="00904FE2" w:rsidP="00C5238B">
      <w:pPr>
        <w:pStyle w:val="Default"/>
        <w:bidi w:val="0"/>
        <w:rPr>
          <w:rFonts w:ascii="Book Antiqua" w:hAnsi="Book Antiqua" w:cs="Times New Roman"/>
          <w:color w:themeColor="tx1" w:themeShade="FF"/>
          <w:sz w:val="22"/>
          <w:szCs w:val="22"/>
          <w:lang w:bidi="ar-SA"/>
        </w:rPr>
      </w:pPr>
    </w:p>
    <w:p w:rsidR="00C5238B" w:rsidP="00C5238B">
      <w:pPr>
        <w:pStyle w:val="Default"/>
        <w:bidi w:val="0"/>
        <w:jc w:val="both"/>
        <w:rPr>
          <w:rFonts w:ascii="Book Antiqua" w:hAnsi="Book Antiqua" w:cs="Times New Roman"/>
          <w:color w:themeColor="tx1" w:themeShade="FF"/>
          <w:sz w:val="22"/>
          <w:szCs w:val="22"/>
          <w:lang w:eastAsia="en-US" w:bidi="ar-SA"/>
        </w:rPr>
      </w:pPr>
      <w:r w:rsidRPr="00811A36" w:rsidR="00811A36">
        <w:rPr>
          <w:rFonts w:ascii="Book Antiqua" w:hAnsi="Book Antiqua" w:cs="Times New Roman"/>
          <w:color w:themeColor="tx1" w:themeShade="FF"/>
          <w:sz w:val="22"/>
          <w:szCs w:val="22"/>
        </w:rPr>
        <w:t>Ústava Slove</w:t>
      </w:r>
      <w:r w:rsidR="00811A36">
        <w:rPr>
          <w:rFonts w:ascii="Book Antiqua" w:hAnsi="Book Antiqua" w:cs="Times New Roman"/>
          <w:color w:themeColor="tx1" w:themeShade="FF"/>
          <w:sz w:val="22"/>
          <w:szCs w:val="22"/>
        </w:rPr>
        <w:t xml:space="preserve">nskej republiky č. 460/1992 Zb. </w:t>
      </w:r>
      <w:r w:rsidRPr="00904FE2" w:rsidR="00591AE0">
        <w:rPr>
          <w:rFonts w:ascii="Book Antiqua" w:hAnsi="Book Antiqua" w:cs="Times New Roman"/>
          <w:color w:themeColor="tx1" w:themeShade="FF"/>
          <w:sz w:val="22"/>
          <w:szCs w:val="22"/>
        </w:rPr>
        <w:t xml:space="preserve">v znení </w:t>
      </w:r>
      <w:r w:rsidRPr="00811A36" w:rsidR="00811A36">
        <w:rPr>
          <w:rFonts w:ascii="Book Antiqua" w:hAnsi="Book Antiqua" w:cs="Times New Roman"/>
          <w:color w:themeColor="tx1" w:themeShade="FF"/>
          <w:sz w:val="22"/>
          <w:szCs w:val="22"/>
        </w:rPr>
        <w:t>244/1998 Z. z., 9/1999 Z. z., 90/2001 Z. z., 90/2001 Z. z., 140/2004 Z. z., 323/2004 Z. z., 323/2004 Z. z., 463/2005 Z. z., 92/2006 Z. z., 210/2006 Z. z., 100/2010 Z. z., 356/2011 Z. z., 232/2012 Z. z., 161/2014 Z. z., 306/2014 Z. z., 427/2015 Z. z., 44/2017 Z. z.</w:t>
      </w:r>
      <w:r w:rsidR="002C4C45">
        <w:rPr>
          <w:rFonts w:ascii="Book Antiqua" w:hAnsi="Book Antiqua" w:cs="Times New Roman"/>
          <w:color w:themeColor="tx1" w:themeShade="FF"/>
          <w:sz w:val="22"/>
          <w:szCs w:val="22"/>
        </w:rPr>
        <w:t>, 71/2017 Z. z., 137/2017 Z. z.</w:t>
      </w:r>
      <w:r w:rsidRPr="00904FE2" w:rsidR="00591AE0">
        <w:rPr>
          <w:rFonts w:ascii="Book Antiqua" w:hAnsi="Book Antiqua" w:cs="Times New Roman"/>
          <w:color w:themeColor="tx1" w:themeShade="FF"/>
          <w:sz w:val="22"/>
          <w:szCs w:val="22"/>
        </w:rPr>
        <w:t xml:space="preserve"> </w:t>
      </w:r>
      <w:r w:rsidRPr="00904FE2" w:rsidR="0032109D">
        <w:rPr>
          <w:rFonts w:ascii="Book Antiqua" w:hAnsi="Book Antiqua" w:cs="Times New Roman"/>
          <w:color w:themeColor="tx1" w:themeShade="FF"/>
          <w:sz w:val="22"/>
          <w:szCs w:val="22"/>
        </w:rPr>
        <w:t>sa</w:t>
      </w:r>
      <w:r w:rsidRPr="00904FE2" w:rsidR="00591AE0">
        <w:rPr>
          <w:rFonts w:ascii="Book Antiqua" w:hAnsi="Book Antiqua" w:cs="Times New Roman"/>
          <w:color w:themeColor="tx1" w:themeShade="FF"/>
          <w:sz w:val="22"/>
          <w:szCs w:val="22"/>
        </w:rPr>
        <w:t xml:space="preserve"> mení a</w:t>
      </w:r>
      <w:r w:rsidRPr="00904FE2" w:rsidR="009436E6">
        <w:rPr>
          <w:rFonts w:ascii="Book Antiqua" w:hAnsi="Book Antiqua" w:cs="Times New Roman"/>
          <w:color w:themeColor="tx1" w:themeShade="FF"/>
          <w:sz w:val="22"/>
          <w:szCs w:val="22"/>
          <w:lang w:eastAsia="en-US" w:bidi="ar-SA"/>
        </w:rPr>
        <w:t xml:space="preserve"> dopĺňa</w:t>
      </w:r>
      <w:r w:rsidRPr="00904FE2">
        <w:rPr>
          <w:rFonts w:ascii="Book Antiqua" w:hAnsi="Book Antiqua" w:cs="Times New Roman"/>
          <w:color w:themeColor="tx1" w:themeShade="FF"/>
          <w:sz w:val="22"/>
          <w:szCs w:val="22"/>
          <w:lang w:eastAsia="en-US" w:bidi="ar-SA"/>
        </w:rPr>
        <w:t xml:space="preserve"> takto:</w:t>
      </w:r>
    </w:p>
    <w:p w:rsidR="00A860CA" w:rsidRPr="00904FE2" w:rsidP="00C5238B">
      <w:pPr>
        <w:pStyle w:val="Default"/>
        <w:bidi w:val="0"/>
        <w:jc w:val="both"/>
        <w:rPr>
          <w:rFonts w:ascii="Book Antiqua" w:hAnsi="Book Antiqua" w:cs="Times New Roman"/>
          <w:color w:themeColor="tx1" w:themeShade="FF"/>
          <w:sz w:val="22"/>
          <w:szCs w:val="22"/>
        </w:rPr>
      </w:pPr>
    </w:p>
    <w:p w:rsidR="00E936F1" w:rsidRPr="00E936F1" w:rsidP="00E272B6">
      <w:pPr>
        <w:pStyle w:val="Default"/>
        <w:numPr>
          <w:numId w:val="5"/>
        </w:numPr>
        <w:bidi w:val="0"/>
        <w:spacing w:line="276" w:lineRule="auto"/>
        <w:ind w:left="357" w:hanging="357"/>
        <w:jc w:val="both"/>
        <w:rPr>
          <w:rFonts w:ascii="Book Antiqua" w:hAnsi="Book Antiqua"/>
          <w:color w:themeColor="tx1" w:themeShade="FF"/>
          <w:sz w:val="22"/>
          <w:szCs w:val="22"/>
          <w:lang w:eastAsia="en-US"/>
        </w:rPr>
      </w:pPr>
      <w:r w:rsidRPr="00E936F1" w:rsidR="001240CA">
        <w:rPr>
          <w:rFonts w:ascii="Book Antiqua" w:hAnsi="Book Antiqua"/>
          <w:color w:themeColor="tx1" w:themeShade="FF"/>
          <w:sz w:val="22"/>
          <w:szCs w:val="22"/>
          <w:lang w:eastAsia="en-US"/>
        </w:rPr>
        <w:t>V</w:t>
      </w:r>
      <w:r w:rsidRPr="00E936F1" w:rsidR="00811A36">
        <w:rPr>
          <w:rFonts w:ascii="Book Antiqua" w:hAnsi="Book Antiqua"/>
          <w:color w:themeColor="tx1" w:themeShade="FF"/>
          <w:sz w:val="22"/>
          <w:szCs w:val="22"/>
          <w:lang w:eastAsia="en-US"/>
        </w:rPr>
        <w:t xml:space="preserve"> čl. 58 ods. 1 sa </w:t>
      </w:r>
      <w:r w:rsidRPr="00E936F1" w:rsidR="002C4C45">
        <w:rPr>
          <w:rFonts w:ascii="Book Antiqua" w:hAnsi="Book Antiqua"/>
          <w:color w:themeColor="tx1" w:themeShade="FF"/>
          <w:sz w:val="22"/>
          <w:szCs w:val="22"/>
          <w:lang w:eastAsia="en-US"/>
        </w:rPr>
        <w:t>na konci pripája táto veta:</w:t>
      </w:r>
      <w:r w:rsidRPr="00E936F1" w:rsidR="001240CA">
        <w:rPr>
          <w:rFonts w:ascii="Book Antiqua" w:hAnsi="Book Antiqua"/>
          <w:color w:themeColor="tx1" w:themeShade="FF"/>
          <w:sz w:val="22"/>
          <w:szCs w:val="22"/>
          <w:lang w:eastAsia="en-US"/>
        </w:rPr>
        <w:t xml:space="preserve"> </w:t>
      </w:r>
    </w:p>
    <w:p w:rsidR="0045387C" w:rsidRPr="00895E6B" w:rsidP="0045387C">
      <w:pPr>
        <w:pStyle w:val="Default"/>
        <w:bidi w:val="0"/>
        <w:spacing w:line="276" w:lineRule="auto"/>
        <w:ind w:left="357"/>
        <w:jc w:val="both"/>
        <w:rPr>
          <w:rFonts w:ascii="Book Antiqua" w:hAnsi="Book Antiqua"/>
          <w:color w:themeColor="tx1" w:themeShade="FF"/>
          <w:sz w:val="22"/>
          <w:szCs w:val="22"/>
          <w:lang w:eastAsia="en-US"/>
        </w:rPr>
      </w:pPr>
    </w:p>
    <w:p w:rsidR="00580BFC" w:rsidRPr="00602FE3" w:rsidP="00B06082">
      <w:pPr>
        <w:pStyle w:val="Default"/>
        <w:bidi w:val="0"/>
        <w:ind w:left="357"/>
        <w:jc w:val="both"/>
        <w:rPr>
          <w:rFonts w:ascii="Book Antiqua" w:hAnsi="Book Antiqua"/>
          <w:color w:themeColor="tx1" w:themeShade="FF"/>
          <w:sz w:val="22"/>
          <w:szCs w:val="22"/>
          <w:lang w:eastAsia="en-US"/>
        </w:rPr>
      </w:pPr>
      <w:r>
        <w:rPr>
          <w:rFonts w:ascii="Book Antiqua" w:hAnsi="Book Antiqua"/>
          <w:color w:themeColor="tx1" w:themeShade="FF"/>
          <w:sz w:val="22"/>
          <w:szCs w:val="22"/>
          <w:lang w:eastAsia="en-US"/>
        </w:rPr>
        <w:t>„Navrhované výdavky štátneho rozpočtu nesmú presiahnuť odhadované príjmy štátneho rozpočtu.“.</w:t>
      </w:r>
    </w:p>
    <w:p w:rsidR="002E42F2" w:rsidP="00741476">
      <w:pPr>
        <w:pStyle w:val="Default"/>
        <w:bidi w:val="0"/>
        <w:ind w:left="360"/>
        <w:jc w:val="both"/>
        <w:rPr>
          <w:rFonts w:ascii="Book Antiqua" w:hAnsi="Book Antiqua"/>
          <w:color w:themeColor="tx1" w:themeShade="FF"/>
          <w:sz w:val="22"/>
          <w:szCs w:val="22"/>
          <w:lang w:eastAsia="en-US"/>
        </w:rPr>
      </w:pPr>
    </w:p>
    <w:p w:rsidR="00E936F1" w:rsidP="00E936F1">
      <w:pPr>
        <w:pStyle w:val="Default"/>
        <w:numPr>
          <w:numId w:val="5"/>
        </w:numPr>
        <w:bidi w:val="0"/>
        <w:jc w:val="both"/>
        <w:rPr>
          <w:rFonts w:ascii="Book Antiqua" w:hAnsi="Book Antiqua"/>
          <w:color w:themeColor="tx1" w:themeShade="FF"/>
          <w:sz w:val="22"/>
          <w:szCs w:val="22"/>
          <w:lang w:eastAsia="en-US"/>
        </w:rPr>
      </w:pPr>
      <w:r>
        <w:rPr>
          <w:rFonts w:ascii="Book Antiqua" w:hAnsi="Book Antiqua"/>
          <w:color w:themeColor="tx1" w:themeShade="FF"/>
          <w:sz w:val="22"/>
          <w:szCs w:val="22"/>
          <w:lang w:eastAsia="en-US"/>
        </w:rPr>
        <w:t>V čl. 65 sa za odsek 2 vkladá nový odsek 3, ktorý znie:</w:t>
      </w:r>
    </w:p>
    <w:p w:rsidR="002C4C45" w:rsidP="008F276C">
      <w:pPr>
        <w:pStyle w:val="Default"/>
        <w:bidi w:val="0"/>
        <w:jc w:val="both"/>
        <w:rPr>
          <w:rFonts w:ascii="Book Antiqua" w:hAnsi="Book Antiqua"/>
          <w:color w:themeColor="tx1" w:themeShade="FF"/>
          <w:sz w:val="22"/>
          <w:szCs w:val="22"/>
          <w:lang w:eastAsia="en-US"/>
        </w:rPr>
      </w:pPr>
    </w:p>
    <w:p w:rsidR="006E540C" w:rsidRPr="00580BFC" w:rsidP="005A66FF">
      <w:pPr>
        <w:pStyle w:val="Default"/>
        <w:bidi w:val="0"/>
        <w:ind w:left="360"/>
        <w:jc w:val="both"/>
        <w:rPr>
          <w:rFonts w:ascii="Book Antiqua" w:hAnsi="Book Antiqua"/>
          <w:color w:themeColor="tx1" w:themeShade="FF"/>
          <w:sz w:val="22"/>
          <w:szCs w:val="22"/>
          <w:lang w:eastAsia="en-US"/>
        </w:rPr>
      </w:pPr>
      <w:r w:rsidR="00F74662">
        <w:rPr>
          <w:rFonts w:ascii="Book Antiqua" w:hAnsi="Book Antiqua"/>
          <w:color w:themeColor="tx1" w:themeShade="FF"/>
          <w:sz w:val="22"/>
          <w:szCs w:val="22"/>
          <w:lang w:eastAsia="en-US"/>
        </w:rPr>
        <w:t>„</w:t>
      </w:r>
      <w:r w:rsidR="008F276C">
        <w:rPr>
          <w:rFonts w:ascii="Book Antiqua" w:hAnsi="Book Antiqua"/>
          <w:color w:themeColor="tx1" w:themeShade="FF"/>
          <w:sz w:val="22"/>
          <w:szCs w:val="22"/>
          <w:lang w:eastAsia="en-US"/>
        </w:rPr>
        <w:t>Navrhované výdavky rozpočtu ob</w:t>
      </w:r>
      <w:r w:rsidR="003A2561">
        <w:rPr>
          <w:rFonts w:ascii="Book Antiqua" w:hAnsi="Book Antiqua"/>
          <w:color w:themeColor="tx1" w:themeShade="FF"/>
          <w:sz w:val="22"/>
          <w:szCs w:val="22"/>
          <w:lang w:eastAsia="en-US"/>
        </w:rPr>
        <w:t>c</w:t>
      </w:r>
      <w:r w:rsidR="008F276C">
        <w:rPr>
          <w:rFonts w:ascii="Book Antiqua" w:hAnsi="Book Antiqua"/>
          <w:color w:themeColor="tx1" w:themeShade="FF"/>
          <w:sz w:val="22"/>
          <w:szCs w:val="22"/>
          <w:lang w:eastAsia="en-US"/>
        </w:rPr>
        <w:t>e</w:t>
      </w:r>
      <w:r w:rsidR="003A2561">
        <w:rPr>
          <w:rFonts w:ascii="Book Antiqua" w:hAnsi="Book Antiqua"/>
          <w:color w:themeColor="tx1" w:themeShade="FF"/>
          <w:sz w:val="22"/>
          <w:szCs w:val="22"/>
          <w:lang w:eastAsia="en-US"/>
        </w:rPr>
        <w:t xml:space="preserve"> a </w:t>
      </w:r>
      <w:r w:rsidR="008F276C">
        <w:rPr>
          <w:rFonts w:ascii="Book Antiqua" w:hAnsi="Book Antiqua"/>
          <w:color w:themeColor="tx1" w:themeShade="FF"/>
          <w:sz w:val="22"/>
          <w:szCs w:val="22"/>
          <w:lang w:eastAsia="en-US"/>
        </w:rPr>
        <w:t>vyššieho</w:t>
      </w:r>
      <w:r w:rsidR="003A2561">
        <w:rPr>
          <w:rFonts w:ascii="Book Antiqua" w:hAnsi="Book Antiqua"/>
          <w:color w:themeColor="tx1" w:themeShade="FF"/>
          <w:sz w:val="22"/>
          <w:szCs w:val="22"/>
          <w:lang w:eastAsia="en-US"/>
        </w:rPr>
        <w:t xml:space="preserve"> </w:t>
      </w:r>
      <w:r w:rsidR="008F276C">
        <w:rPr>
          <w:rFonts w:ascii="Book Antiqua" w:hAnsi="Book Antiqua"/>
          <w:color w:themeColor="tx1" w:themeShade="FF"/>
          <w:sz w:val="22"/>
          <w:szCs w:val="22"/>
          <w:lang w:eastAsia="en-US"/>
        </w:rPr>
        <w:t xml:space="preserve">územného celku nesmú presiahnuť odhadované príjmy rozpočtu obce a vyššieho územného celku. </w:t>
      </w:r>
      <w:r w:rsidR="00BA23C0">
        <w:rPr>
          <w:rFonts w:ascii="Book Antiqua" w:hAnsi="Book Antiqua"/>
          <w:color w:themeColor="tx1" w:themeShade="FF"/>
          <w:sz w:val="22"/>
          <w:szCs w:val="22"/>
          <w:lang w:eastAsia="en-US"/>
        </w:rPr>
        <w:t>Obce môžu dostať výnimku, ktorú vláda ustanoví</w:t>
      </w:r>
      <w:r w:rsidR="00F74662">
        <w:rPr>
          <w:rFonts w:ascii="Book Antiqua" w:hAnsi="Book Antiqua"/>
          <w:color w:themeColor="tx1" w:themeShade="FF"/>
          <w:sz w:val="22"/>
          <w:szCs w:val="22"/>
          <w:lang w:eastAsia="en-US"/>
        </w:rPr>
        <w:t xml:space="preserve"> uznes</w:t>
      </w:r>
      <w:r w:rsidR="00406947">
        <w:rPr>
          <w:rFonts w:ascii="Book Antiqua" w:hAnsi="Book Antiqua"/>
          <w:color w:themeColor="tx1" w:themeShade="FF"/>
          <w:sz w:val="22"/>
          <w:szCs w:val="22"/>
          <w:lang w:eastAsia="en-US"/>
        </w:rPr>
        <w:t>ením</w:t>
      </w:r>
      <w:r w:rsidR="00F74662">
        <w:rPr>
          <w:rFonts w:ascii="Book Antiqua" w:hAnsi="Book Antiqua"/>
          <w:color w:themeColor="tx1" w:themeShade="FF"/>
          <w:sz w:val="22"/>
          <w:szCs w:val="22"/>
          <w:lang w:eastAsia="en-US"/>
        </w:rPr>
        <w:t>.“.</w:t>
      </w:r>
    </w:p>
    <w:p w:rsidR="00F66590" w:rsidRPr="006E540C" w:rsidP="0074768A">
      <w:pPr>
        <w:pStyle w:val="Default"/>
        <w:bidi w:val="0"/>
        <w:rPr>
          <w:rFonts w:ascii="Book Antiqua" w:hAnsi="Book Antiqua" w:cs="Times New Roman"/>
          <w:color w:themeColor="tx1" w:themeShade="FF"/>
          <w:sz w:val="22"/>
          <w:szCs w:val="22"/>
          <w:lang w:bidi="ar-SA"/>
        </w:rPr>
      </w:pPr>
    </w:p>
    <w:p w:rsidR="00C5238B" w:rsidRPr="00904FE2" w:rsidP="00C5238B">
      <w:pPr>
        <w:pStyle w:val="Default"/>
        <w:bidi w:val="0"/>
        <w:jc w:val="center"/>
        <w:rPr>
          <w:rFonts w:ascii="Book Antiqua" w:hAnsi="Book Antiqua" w:cs="Times New Roman"/>
          <w:b/>
          <w:color w:themeColor="tx1" w:themeShade="FF"/>
          <w:sz w:val="22"/>
          <w:szCs w:val="22"/>
          <w:lang w:bidi="ar-SA"/>
        </w:rPr>
      </w:pPr>
      <w:r w:rsidRPr="00904FE2">
        <w:rPr>
          <w:rFonts w:ascii="Book Antiqua" w:hAnsi="Book Antiqua" w:cs="Times New Roman"/>
          <w:b/>
          <w:color w:themeColor="tx1" w:themeShade="FF"/>
          <w:sz w:val="22"/>
          <w:szCs w:val="22"/>
          <w:lang w:bidi="ar-SA"/>
        </w:rPr>
        <w:t>Čl. II</w:t>
      </w:r>
    </w:p>
    <w:p w:rsidR="006974DD" w:rsidRPr="00904FE2" w:rsidP="00C5238B">
      <w:pPr>
        <w:pStyle w:val="Default"/>
        <w:bidi w:val="0"/>
        <w:jc w:val="center"/>
        <w:rPr>
          <w:rFonts w:ascii="Book Antiqua" w:hAnsi="Book Antiqua" w:cs="Times New Roman"/>
          <w:b/>
          <w:color w:themeColor="tx1" w:themeShade="FF"/>
          <w:sz w:val="22"/>
          <w:szCs w:val="22"/>
          <w:lang w:bidi="ar-SA"/>
        </w:rPr>
      </w:pPr>
    </w:p>
    <w:p w:rsidR="00C5238B" w:rsidRPr="00904FE2" w:rsidP="00F14804">
      <w:pPr>
        <w:pStyle w:val="Default"/>
        <w:bidi w:val="0"/>
        <w:jc w:val="both"/>
        <w:rPr>
          <w:rFonts w:ascii="Book Antiqua" w:hAnsi="Book Antiqua" w:cs="Book Antiqua"/>
          <w:color w:themeColor="tx1" w:themeShade="FF"/>
          <w:sz w:val="22"/>
        </w:rPr>
      </w:pPr>
      <w:r w:rsidRPr="00904FE2">
        <w:rPr>
          <w:rFonts w:ascii="Book Antiqua" w:hAnsi="Book Antiqua" w:cs="Times New Roman"/>
          <w:color w:themeColor="tx1" w:themeShade="FF"/>
          <w:sz w:val="22"/>
          <w:szCs w:val="22"/>
          <w:lang w:bidi="ar-SA"/>
        </w:rPr>
        <w:t>Tento</w:t>
      </w:r>
      <w:r w:rsidRPr="00904FE2" w:rsidR="00914DA3">
        <w:rPr>
          <w:rFonts w:ascii="Book Antiqua" w:hAnsi="Book Antiqua" w:cs="Times New Roman"/>
          <w:color w:themeColor="tx1" w:themeShade="FF"/>
          <w:sz w:val="22"/>
          <w:szCs w:val="22"/>
          <w:lang w:bidi="ar-SA"/>
        </w:rPr>
        <w:t xml:space="preserve"> </w:t>
      </w:r>
      <w:r w:rsidR="002C4C45">
        <w:rPr>
          <w:rFonts w:ascii="Book Antiqua" w:hAnsi="Book Antiqua" w:cs="Times New Roman"/>
          <w:color w:themeColor="tx1" w:themeShade="FF"/>
          <w:sz w:val="22"/>
          <w:szCs w:val="22"/>
          <w:lang w:bidi="ar-SA"/>
        </w:rPr>
        <w:t>ústavný zákon nadobúda účinnosť pätnástym dňom po jeho vyhlásení v Zbierke zákonov.</w:t>
      </w:r>
    </w:p>
    <w:sectPr w:rsidSect="00F14804">
      <w:pgSz w:w="11906" w:h="16838"/>
      <w:pgMar w:top="1134" w:right="1134" w:bottom="1134" w:left="1134" w:header="709" w:footer="709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Arial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FF" w:csb1="00000000"/>
  </w:font>
  <w:font w:name="Book Antiqua">
    <w:altName w:val="Book Antiqua"/>
    <w:panose1 w:val="00000000000000000000"/>
    <w:charset w:val="EE"/>
    <w:family w:val="roman"/>
    <w:pitch w:val="variable"/>
    <w:sig w:usb0="00000000" w:usb1="00000000" w:usb2="00000000" w:usb3="00000000" w:csb0="0000009F" w:csb1="00000000"/>
  </w:font>
  <w:font w:name="Liberation Serif">
    <w:altName w:val="Times New Roman"/>
    <w:panose1 w:val="00000000000000000000"/>
    <w:charset w:val="EE"/>
    <w:family w:val="roman"/>
    <w:pitch w:val="variable"/>
    <w:sig w:usb0="00000000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Book Antiqua" w:hAnsi="Book Antiqua" w:cs="Times New Roman" w:hint="default"/>
        <w:sz w:val="22"/>
        <w:szCs w:val="22"/>
        <w:rtl w:val="0"/>
        <w:cs w:val="0"/>
      </w:rPr>
    </w:lvl>
  </w:abstractNum>
  <w:abstractNum w:abstractNumId="1">
    <w:nsid w:val="0733660D"/>
    <w:multiLevelType w:val="hybridMultilevel"/>
    <w:tmpl w:val="EBAA69B8"/>
    <w:lvl w:ilvl="0">
      <w:start w:val="1"/>
      <w:numFmt w:val="lowerLetter"/>
      <w:lvlText w:val="%1)"/>
      <w:lvlJc w:val="left"/>
      <w:pPr>
        <w:ind w:left="360" w:hanging="360"/>
      </w:pPr>
      <w:rPr>
        <w:rFonts w:ascii="Book Antiqua" w:hAnsi="Book Antiqua" w:cs="Arial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2">
    <w:nsid w:val="0C2B6FB5"/>
    <w:multiLevelType w:val="hybridMultilevel"/>
    <w:tmpl w:val="A142DCFE"/>
    <w:lvl w:ilvl="0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  <w:color w:val="000000" w:themeColor="tx1" w:themeShade="FF"/>
        <w:sz w:val="22"/>
        <w:rtl w:val="0"/>
        <w:cs w:val="0"/>
      </w:rPr>
    </w:lvl>
    <w:lvl w:ilvl="1">
      <w:start w:val="1"/>
      <w:numFmt w:val="lowerLetter"/>
      <w:lvlText w:val="%2."/>
      <w:lvlJc w:val="left"/>
      <w:pPr>
        <w:ind w:left="1437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57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77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597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17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37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57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77" w:hanging="180"/>
      </w:pPr>
      <w:rPr>
        <w:rFonts w:cs="Times New Roman"/>
        <w:rtl w:val="0"/>
        <w:cs w:val="0"/>
      </w:rPr>
    </w:lvl>
  </w:abstractNum>
  <w:abstractNum w:abstractNumId="3">
    <w:nsid w:val="473C0834"/>
    <w:multiLevelType w:val="hybridMultilevel"/>
    <w:tmpl w:val="9F1CA23C"/>
    <w:lvl w:ilvl="0">
      <w:start w:val="1"/>
      <w:numFmt w:val="upperRoman"/>
      <w:lvlText w:val="%1."/>
      <w:lvlJc w:val="left"/>
      <w:pPr>
        <w:ind w:left="1620" w:hanging="72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9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7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4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1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8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5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3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020" w:hanging="180"/>
      </w:pPr>
      <w:rPr>
        <w:rFonts w:cs="Times New Roman"/>
        <w:rtl w:val="0"/>
        <w:cs w:val="0"/>
      </w:rPr>
    </w:lvl>
  </w:abstractNum>
  <w:abstractNum w:abstractNumId="4">
    <w:nsid w:val="56AD6E6C"/>
    <w:multiLevelType w:val="hybridMultilevel"/>
    <w:tmpl w:val="289EA2EA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65B63589"/>
    <w:multiLevelType w:val="hybridMultilevel"/>
    <w:tmpl w:val="B23423F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6">
    <w:nsid w:val="7D9061C1"/>
    <w:multiLevelType w:val="hybridMultilevel"/>
    <w:tmpl w:val="0B0285A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 w:themeColor="tx1" w:themeShade="FF"/>
        <w:sz w:val="22"/>
        <w:rtl w:val="0"/>
        <w:cs w:val="0"/>
      </w:rPr>
    </w:lvl>
    <w:lvl w:ilvl="1">
      <w:start w:val="1"/>
      <w:numFmt w:val="lowerLetter"/>
      <w:lvlText w:val="%2."/>
      <w:lvlJc w:val="left"/>
      <w:pPr>
        <w:ind w:left="1443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3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3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3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3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3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3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3" w:hanging="180"/>
      </w:pPr>
      <w:rPr>
        <w:rFonts w:cs="Times New Roman"/>
        <w:rtl w:val="0"/>
        <w:cs w:val="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C5238B"/>
    <w:rsid w:val="00011AEB"/>
    <w:rsid w:val="000136AE"/>
    <w:rsid w:val="000156BB"/>
    <w:rsid w:val="00024802"/>
    <w:rsid w:val="00035F4A"/>
    <w:rsid w:val="00040DE1"/>
    <w:rsid w:val="00046A2D"/>
    <w:rsid w:val="00060644"/>
    <w:rsid w:val="00093552"/>
    <w:rsid w:val="000944BB"/>
    <w:rsid w:val="000B2FAE"/>
    <w:rsid w:val="000B6F55"/>
    <w:rsid w:val="000C156B"/>
    <w:rsid w:val="001039E0"/>
    <w:rsid w:val="00114D93"/>
    <w:rsid w:val="00122BC9"/>
    <w:rsid w:val="001240CA"/>
    <w:rsid w:val="00126CC1"/>
    <w:rsid w:val="00162D55"/>
    <w:rsid w:val="001632E7"/>
    <w:rsid w:val="00170248"/>
    <w:rsid w:val="001703B5"/>
    <w:rsid w:val="001A1063"/>
    <w:rsid w:val="001A4FD2"/>
    <w:rsid w:val="001C329B"/>
    <w:rsid w:val="001D178D"/>
    <w:rsid w:val="001F012C"/>
    <w:rsid w:val="00205740"/>
    <w:rsid w:val="00265C56"/>
    <w:rsid w:val="002952F8"/>
    <w:rsid w:val="002A354F"/>
    <w:rsid w:val="002C3DAE"/>
    <w:rsid w:val="002C47FB"/>
    <w:rsid w:val="002C4C45"/>
    <w:rsid w:val="002E42F2"/>
    <w:rsid w:val="00300633"/>
    <w:rsid w:val="00306790"/>
    <w:rsid w:val="0032109D"/>
    <w:rsid w:val="00334AA1"/>
    <w:rsid w:val="003400DA"/>
    <w:rsid w:val="00361473"/>
    <w:rsid w:val="00361BB3"/>
    <w:rsid w:val="0036228F"/>
    <w:rsid w:val="00377562"/>
    <w:rsid w:val="003A2561"/>
    <w:rsid w:val="003C1391"/>
    <w:rsid w:val="004038A3"/>
    <w:rsid w:val="00406947"/>
    <w:rsid w:val="00417D11"/>
    <w:rsid w:val="00420474"/>
    <w:rsid w:val="004216F5"/>
    <w:rsid w:val="00422E02"/>
    <w:rsid w:val="0042757B"/>
    <w:rsid w:val="0045387C"/>
    <w:rsid w:val="00456D9F"/>
    <w:rsid w:val="00462133"/>
    <w:rsid w:val="00472679"/>
    <w:rsid w:val="00472E03"/>
    <w:rsid w:val="0048082B"/>
    <w:rsid w:val="00490368"/>
    <w:rsid w:val="004C5E2D"/>
    <w:rsid w:val="004C660F"/>
    <w:rsid w:val="004D1488"/>
    <w:rsid w:val="004D2B56"/>
    <w:rsid w:val="004E19E9"/>
    <w:rsid w:val="004E3FB6"/>
    <w:rsid w:val="004F09B2"/>
    <w:rsid w:val="00506A3C"/>
    <w:rsid w:val="005161CB"/>
    <w:rsid w:val="005270AD"/>
    <w:rsid w:val="00537082"/>
    <w:rsid w:val="00570B89"/>
    <w:rsid w:val="00580BFC"/>
    <w:rsid w:val="0059046E"/>
    <w:rsid w:val="00591AE0"/>
    <w:rsid w:val="005A66FF"/>
    <w:rsid w:val="005B4FBA"/>
    <w:rsid w:val="005C4313"/>
    <w:rsid w:val="005E3ACF"/>
    <w:rsid w:val="00602FE3"/>
    <w:rsid w:val="0060487D"/>
    <w:rsid w:val="006061FE"/>
    <w:rsid w:val="00613E92"/>
    <w:rsid w:val="00614F0A"/>
    <w:rsid w:val="00626E0E"/>
    <w:rsid w:val="00634B93"/>
    <w:rsid w:val="00643142"/>
    <w:rsid w:val="006671A1"/>
    <w:rsid w:val="006728FA"/>
    <w:rsid w:val="006974DD"/>
    <w:rsid w:val="006C1AE0"/>
    <w:rsid w:val="006C2592"/>
    <w:rsid w:val="006D167F"/>
    <w:rsid w:val="006E540C"/>
    <w:rsid w:val="006F2586"/>
    <w:rsid w:val="00710420"/>
    <w:rsid w:val="0072063B"/>
    <w:rsid w:val="007239B0"/>
    <w:rsid w:val="00724FE2"/>
    <w:rsid w:val="00741476"/>
    <w:rsid w:val="0074768A"/>
    <w:rsid w:val="00760B7D"/>
    <w:rsid w:val="007658AE"/>
    <w:rsid w:val="00776994"/>
    <w:rsid w:val="007835C0"/>
    <w:rsid w:val="00786005"/>
    <w:rsid w:val="0079374A"/>
    <w:rsid w:val="007A03E0"/>
    <w:rsid w:val="007A63D5"/>
    <w:rsid w:val="007C25D3"/>
    <w:rsid w:val="007C4E15"/>
    <w:rsid w:val="00806CCD"/>
    <w:rsid w:val="00811A36"/>
    <w:rsid w:val="00812F93"/>
    <w:rsid w:val="00820496"/>
    <w:rsid w:val="00840763"/>
    <w:rsid w:val="00852C90"/>
    <w:rsid w:val="00885E13"/>
    <w:rsid w:val="0089270C"/>
    <w:rsid w:val="00895E6B"/>
    <w:rsid w:val="008977E9"/>
    <w:rsid w:val="008B00C7"/>
    <w:rsid w:val="008B0BAD"/>
    <w:rsid w:val="008B5E0B"/>
    <w:rsid w:val="008C4076"/>
    <w:rsid w:val="008C553E"/>
    <w:rsid w:val="008D2092"/>
    <w:rsid w:val="008D4FF3"/>
    <w:rsid w:val="008F276C"/>
    <w:rsid w:val="00904FE2"/>
    <w:rsid w:val="009137C2"/>
    <w:rsid w:val="00914DA3"/>
    <w:rsid w:val="00922C21"/>
    <w:rsid w:val="00923346"/>
    <w:rsid w:val="009436E6"/>
    <w:rsid w:val="009605D9"/>
    <w:rsid w:val="0096734A"/>
    <w:rsid w:val="009A0093"/>
    <w:rsid w:val="009A4D54"/>
    <w:rsid w:val="009C0F61"/>
    <w:rsid w:val="009F231C"/>
    <w:rsid w:val="00A215B8"/>
    <w:rsid w:val="00A245E1"/>
    <w:rsid w:val="00A553C3"/>
    <w:rsid w:val="00A63B57"/>
    <w:rsid w:val="00A860CA"/>
    <w:rsid w:val="00A96D4C"/>
    <w:rsid w:val="00AE79FA"/>
    <w:rsid w:val="00B06082"/>
    <w:rsid w:val="00B075F6"/>
    <w:rsid w:val="00B105A0"/>
    <w:rsid w:val="00B46748"/>
    <w:rsid w:val="00B5595C"/>
    <w:rsid w:val="00B845D6"/>
    <w:rsid w:val="00B97AC0"/>
    <w:rsid w:val="00BA23C0"/>
    <w:rsid w:val="00BB1482"/>
    <w:rsid w:val="00BB3EA3"/>
    <w:rsid w:val="00BB59C0"/>
    <w:rsid w:val="00BB7840"/>
    <w:rsid w:val="00C26FEF"/>
    <w:rsid w:val="00C46AE6"/>
    <w:rsid w:val="00C5238B"/>
    <w:rsid w:val="00C63FB2"/>
    <w:rsid w:val="00C71D1D"/>
    <w:rsid w:val="00C737D6"/>
    <w:rsid w:val="00C74FD5"/>
    <w:rsid w:val="00C834B2"/>
    <w:rsid w:val="00C84EED"/>
    <w:rsid w:val="00C962D4"/>
    <w:rsid w:val="00CA4E1A"/>
    <w:rsid w:val="00CB42AB"/>
    <w:rsid w:val="00CD5855"/>
    <w:rsid w:val="00CE22C3"/>
    <w:rsid w:val="00CF3792"/>
    <w:rsid w:val="00D0291B"/>
    <w:rsid w:val="00D63EA2"/>
    <w:rsid w:val="00D70F0C"/>
    <w:rsid w:val="00D809D0"/>
    <w:rsid w:val="00D93BED"/>
    <w:rsid w:val="00DA1A51"/>
    <w:rsid w:val="00E14872"/>
    <w:rsid w:val="00E272B6"/>
    <w:rsid w:val="00E43ADB"/>
    <w:rsid w:val="00E62D07"/>
    <w:rsid w:val="00E87AA7"/>
    <w:rsid w:val="00E92958"/>
    <w:rsid w:val="00E936F1"/>
    <w:rsid w:val="00E93C27"/>
    <w:rsid w:val="00EC353B"/>
    <w:rsid w:val="00EC3DE4"/>
    <w:rsid w:val="00ED7B5A"/>
    <w:rsid w:val="00EE3DBA"/>
    <w:rsid w:val="00EF71AD"/>
    <w:rsid w:val="00F03D3F"/>
    <w:rsid w:val="00F14804"/>
    <w:rsid w:val="00F1494A"/>
    <w:rsid w:val="00F216AA"/>
    <w:rsid w:val="00F31CDB"/>
    <w:rsid w:val="00F32E59"/>
    <w:rsid w:val="00F344D8"/>
    <w:rsid w:val="00F36282"/>
    <w:rsid w:val="00F40EDF"/>
    <w:rsid w:val="00F41953"/>
    <w:rsid w:val="00F450DA"/>
    <w:rsid w:val="00F47159"/>
    <w:rsid w:val="00F66590"/>
    <w:rsid w:val="00F74662"/>
    <w:rsid w:val="00FA155D"/>
    <w:rsid w:val="00FA6FFF"/>
    <w:rsid w:val="00FD19DF"/>
    <w:rsid w:val="00FF327C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38B"/>
    <w:pPr>
      <w:framePr w:wrap="auto"/>
      <w:widowControl/>
      <w:suppressAutoHyphens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sk-SK" w:eastAsia="zh-CN" w:bidi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ZkladntextChar"/>
    <w:uiPriority w:val="99"/>
    <w:rsid w:val="00C5238B"/>
    <w:pPr>
      <w:spacing w:after="140" w:line="288" w:lineRule="auto"/>
      <w:jc w:val="left"/>
    </w:p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C5238B"/>
    <w:rPr>
      <w:rFonts w:ascii="Calibri" w:hAnsi="Calibri" w:cs="Times New Roman"/>
      <w:rtl w:val="0"/>
      <w:cs w:val="0"/>
      <w:lang w:val="x-none" w:eastAsia="zh-CN"/>
    </w:rPr>
  </w:style>
  <w:style w:type="paragraph" w:styleId="ListParagraph">
    <w:name w:val="List Paragraph"/>
    <w:basedOn w:val="Normal"/>
    <w:uiPriority w:val="34"/>
    <w:qFormat/>
    <w:rsid w:val="00C5238B"/>
    <w:pPr>
      <w:widowControl w:val="0"/>
      <w:autoSpaceDE w:val="0"/>
      <w:spacing w:line="240" w:lineRule="auto"/>
      <w:ind w:left="720"/>
      <w:jc w:val="left"/>
    </w:pPr>
    <w:rPr>
      <w:rFonts w:cs="Calibri"/>
      <w:color w:val="000000"/>
      <w:kern w:val="1"/>
      <w:lang w:bidi="hi-IN"/>
    </w:rPr>
  </w:style>
  <w:style w:type="paragraph" w:customStyle="1" w:styleId="Default">
    <w:name w:val="Default"/>
    <w:rsid w:val="00C5238B"/>
    <w:pPr>
      <w:framePr w:wrap="auto"/>
      <w:widowControl w:val="0"/>
      <w:suppressAutoHyphens/>
      <w:autoSpaceDE w:val="0"/>
      <w:autoSpaceDN/>
      <w:adjustRightInd/>
      <w:ind w:left="0" w:right="0"/>
      <w:jc w:val="left"/>
      <w:textAlignment w:val="auto"/>
    </w:pPr>
    <w:rPr>
      <w:rFonts w:ascii="Liberation Serif" w:hAnsi="Liberation Serif" w:cs="Liberation Serif"/>
      <w:color w:val="000000"/>
      <w:kern w:val="1"/>
      <w:sz w:val="24"/>
      <w:szCs w:val="24"/>
      <w:rtl w:val="0"/>
      <w:cs w:val="0"/>
      <w:lang w:val="sk-SK" w:eastAsia="zh-CN" w:bidi="hi-IN"/>
    </w:rPr>
  </w:style>
  <w:style w:type="paragraph" w:customStyle="1" w:styleId="WW-Default">
    <w:name w:val="WW-Default"/>
    <w:rsid w:val="00C5238B"/>
    <w:pPr>
      <w:framePr w:wrap="auto"/>
      <w:widowControl w:val="0"/>
      <w:suppressAutoHyphens/>
      <w:autoSpaceDE w:val="0"/>
      <w:autoSpaceDN/>
      <w:adjustRightInd/>
      <w:ind w:left="0" w:right="0"/>
      <w:jc w:val="left"/>
      <w:textAlignment w:val="auto"/>
    </w:pPr>
    <w:rPr>
      <w:rFonts w:ascii="Calibri" w:hAnsi="Calibri" w:cs="Calibri"/>
      <w:color w:val="000000"/>
      <w:kern w:val="1"/>
      <w:sz w:val="24"/>
      <w:szCs w:val="24"/>
      <w:rtl w:val="0"/>
      <w:cs w:val="0"/>
      <w:lang w:val="sk-SK" w:eastAsia="zh-CN" w:bidi="hi-IN"/>
    </w:rPr>
  </w:style>
  <w:style w:type="paragraph" w:customStyle="1" w:styleId="TextBody">
    <w:name w:val="Text Body"/>
    <w:basedOn w:val="Default"/>
    <w:rsid w:val="00C5238B"/>
    <w:pPr>
      <w:spacing w:after="140" w:line="288" w:lineRule="auto"/>
      <w:jc w:val="both"/>
    </w:pPr>
    <w:rPr>
      <w:sz w:val="28"/>
      <w:szCs w:val="28"/>
      <w:lang w:bidi="ar-SA"/>
    </w:rPr>
  </w:style>
  <w:style w:type="character" w:styleId="Hyperlink">
    <w:name w:val="Hyperlink"/>
    <w:basedOn w:val="DefaultParagraphFont"/>
    <w:uiPriority w:val="99"/>
    <w:rsid w:val="00C5238B"/>
    <w:rPr>
      <w:rFonts w:cs="Times New Roman"/>
      <w:color w:val="0563C1" w:themeColor="hlink" w:themeShade="FF"/>
      <w:u w:val="single"/>
      <w:rtl w:val="0"/>
      <w:cs w:val="0"/>
    </w:rPr>
  </w:style>
  <w:style w:type="paragraph" w:styleId="NormalWeb">
    <w:name w:val="Normal (Web)"/>
    <w:basedOn w:val="Normal"/>
    <w:uiPriority w:val="99"/>
    <w:rsid w:val="00C5238B"/>
    <w:pPr>
      <w:suppressAutoHyphens w:val="0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sk-SK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1C329B"/>
    <w:pPr>
      <w:spacing w:after="0" w:line="240" w:lineRule="auto"/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1C329B"/>
    <w:rPr>
      <w:rFonts w:ascii="Segoe UI" w:hAnsi="Segoe UI" w:cs="Segoe UI"/>
      <w:sz w:val="18"/>
      <w:szCs w:val="18"/>
      <w:rtl w:val="0"/>
      <w:cs w:val="0"/>
      <w:lang w:val="x-none" w:eastAsia="zh-CN"/>
    </w:rPr>
  </w:style>
  <w:style w:type="table" w:styleId="TableGrid">
    <w:name w:val="Table Grid"/>
    <w:basedOn w:val="TableNormal"/>
    <w:uiPriority w:val="59"/>
    <w:rsid w:val="00D70F0C"/>
    <w:pPr>
      <w:spacing w:after="0" w:line="240" w:lineRule="auto"/>
    </w:pPr>
    <w:rPr>
      <w:rFonts w:ascii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F06484-4894-4006-9C51-2142ABEB5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564</TotalTime>
  <Pages>1</Pages>
  <Words>170</Words>
  <Characters>973</Characters>
  <Application>Microsoft Office Word</Application>
  <DocSecurity>0</DocSecurity>
  <Lines>0</Lines>
  <Paragraphs>0</Paragraphs>
  <ScaleCrop>false</ScaleCrop>
  <Company/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rastislav.schlosar</dc:creator>
  <cp:lastModifiedBy>Beluský, Martin</cp:lastModifiedBy>
  <cp:revision>116</cp:revision>
  <cp:lastPrinted>2017-12-12T13:27:00Z</cp:lastPrinted>
  <dcterms:created xsi:type="dcterms:W3CDTF">2017-05-19T14:05:00Z</dcterms:created>
  <dcterms:modified xsi:type="dcterms:W3CDTF">2017-12-13T12:08:00Z</dcterms:modified>
</cp:coreProperties>
</file>