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14869">
        <w:rPr>
          <w:sz w:val="22"/>
          <w:szCs w:val="22"/>
        </w:rPr>
        <w:t>2212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14869">
        <w:t>809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4869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14869">
        <w:rPr>
          <w:rFonts w:cs="Arial"/>
          <w:szCs w:val="22"/>
        </w:rPr>
        <w:t>Veroniky REMIŠOVEJ a Gábora GRENDELA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61486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14869">
        <w:rPr>
          <w:rFonts w:cs="Arial"/>
          <w:szCs w:val="22"/>
        </w:rPr>
        <w:t xml:space="preserve">zákon </w:t>
        <w:br/>
        <w:t>č. 101/2010 Z. z. o preukazovaní pôvodu majetku v znení zákona č. 125/2016 Z. z. a ktorým sa mení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14869">
        <w:rPr>
          <w:rFonts w:cs="Arial"/>
          <w:szCs w:val="22"/>
        </w:rPr>
        <w:t>785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4869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3055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3055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3055F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14869" w:rsidP="0061486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B3055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61486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30ACE"/>
    <w:rsid w:val="00484701"/>
    <w:rsid w:val="00492F29"/>
    <w:rsid w:val="004D06C1"/>
    <w:rsid w:val="004F21D2"/>
    <w:rsid w:val="0054739D"/>
    <w:rsid w:val="005F3F76"/>
    <w:rsid w:val="00614869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77DCB"/>
    <w:rsid w:val="00AA3DED"/>
    <w:rsid w:val="00AB4082"/>
    <w:rsid w:val="00B20ACA"/>
    <w:rsid w:val="00B3055F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2017-11-13T11:35:00Z</cp:lastPrinted>
  <dcterms:created xsi:type="dcterms:W3CDTF">2017-11-15T08:14:00Z</dcterms:created>
  <dcterms:modified xsi:type="dcterms:W3CDTF">2017-11-15T08:14:00Z</dcterms:modified>
</cp:coreProperties>
</file>