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A2123">
        <w:rPr>
          <w:sz w:val="22"/>
          <w:szCs w:val="22"/>
        </w:rPr>
        <w:t>2181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A2123">
        <w:t>797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A2123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1A2123">
        <w:rPr>
          <w:rFonts w:cs="Arial"/>
          <w:sz w:val="22"/>
          <w:szCs w:val="22"/>
          <w:lang w:val="sk-SK"/>
        </w:rPr>
        <w:t xml:space="preserve"> 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A212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A212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1A2123">
        <w:rPr>
          <w:rFonts w:cs="Arial"/>
          <w:szCs w:val="22"/>
        </w:rPr>
        <w:t>zákon č. 447/2008 Z. z. o peňažných príspevkoch na kompenzáciu ťažkého zdravotného postihnutia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A2123">
        <w:rPr>
          <w:rFonts w:cs="Arial"/>
          <w:szCs w:val="22"/>
        </w:rPr>
        <w:t>773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A2123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D7FE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7FE2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D7FE2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A2123" w:rsidP="001A212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A2123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53CD4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22AE6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D7FE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999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2017-11-13T11:12:00Z</cp:lastPrinted>
  <dcterms:created xsi:type="dcterms:W3CDTF">2017-11-15T08:11:00Z</dcterms:created>
  <dcterms:modified xsi:type="dcterms:W3CDTF">2017-11-15T08:11:00Z</dcterms:modified>
</cp:coreProperties>
</file>