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A0A19" w:rsidRPr="00027783" w:rsidP="00FA0A19">
      <w:pPr>
        <w:bidi w:val="0"/>
        <w:jc w:val="center"/>
        <w:rPr>
          <w:rFonts w:ascii="Times New Roman" w:hAnsi="Times New Roman"/>
          <w:b/>
          <w:bCs/>
          <w:sz w:val="28"/>
          <w:szCs w:val="28"/>
        </w:rPr>
      </w:pPr>
      <w:r w:rsidRPr="00027783">
        <w:rPr>
          <w:rFonts w:ascii="Times New Roman" w:hAnsi="Times New Roman"/>
          <w:b/>
          <w:bCs/>
          <w:sz w:val="28"/>
          <w:szCs w:val="28"/>
        </w:rPr>
        <w:t xml:space="preserve">Dôvodová správa </w:t>
      </w:r>
    </w:p>
    <w:p w:rsidR="00FA0A19" w:rsidRPr="00027783" w:rsidP="00FA0A19">
      <w:pPr>
        <w:bidi w:val="0"/>
        <w:jc w:val="both"/>
        <w:rPr>
          <w:rFonts w:ascii="Times New Roman" w:hAnsi="Times New Roman"/>
          <w:b/>
          <w:bCs/>
          <w:color w:val="FF0000"/>
        </w:rPr>
      </w:pPr>
      <w:r w:rsidRPr="00027783">
        <w:rPr>
          <w:rFonts w:ascii="Times New Roman" w:hAnsi="Times New Roman"/>
          <w:b/>
          <w:bCs/>
        </w:rPr>
        <w:t>Všeobecná časť</w:t>
      </w:r>
      <w:r w:rsidRPr="00027783" w:rsidR="006D1D38">
        <w:rPr>
          <w:rFonts w:ascii="Times New Roman" w:hAnsi="Times New Roman"/>
          <w:b/>
          <w:bCs/>
        </w:rPr>
        <w:t xml:space="preserve"> </w:t>
      </w:r>
    </w:p>
    <w:p w:rsidR="00FA0A19" w:rsidRPr="00027783" w:rsidP="00FA0A19">
      <w:pPr>
        <w:bidi w:val="0"/>
        <w:jc w:val="both"/>
        <w:rPr>
          <w:rFonts w:ascii="Times New Roman" w:hAnsi="Times New Roman"/>
        </w:rPr>
      </w:pPr>
    </w:p>
    <w:p w:rsidR="006D1D38" w:rsidRPr="00027783" w:rsidP="007058E9">
      <w:pPr>
        <w:bidi w:val="0"/>
        <w:ind w:firstLine="708"/>
        <w:jc w:val="both"/>
        <w:rPr>
          <w:rFonts w:ascii="Times New Roman" w:hAnsi="Times New Roman"/>
        </w:rPr>
      </w:pPr>
      <w:r w:rsidRPr="00027783">
        <w:rPr>
          <w:rFonts w:ascii="Times New Roman" w:hAnsi="Times New Roman"/>
        </w:rPr>
        <w:t>Návrh zákona, ktorým sa mení a dopĺňa zákon č. 300/2005 Z. z. Trestný zákon v znení neskorších predpisov predkladajú na rokovanie Národnej rady Slovenskej republiky poslanci Národnej rady Slovenskej republiky Peter Osuský a Ondrej Dostál.</w:t>
      </w:r>
    </w:p>
    <w:p w:rsidR="007058E9" w:rsidRPr="00027783" w:rsidP="007058E9">
      <w:pPr>
        <w:bidi w:val="0"/>
        <w:ind w:firstLine="708"/>
        <w:jc w:val="both"/>
        <w:rPr>
          <w:rFonts w:ascii="Times New Roman" w:hAnsi="Times New Roman"/>
        </w:rPr>
      </w:pPr>
      <w:r w:rsidRPr="00027783">
        <w:rPr>
          <w:rFonts w:ascii="Times New Roman" w:hAnsi="Times New Roman"/>
        </w:rPr>
        <w:t xml:space="preserve">K zavedeniu skutkovej podstaty tzv. sprejerstva do Trestného zákona došlo prvýkrát ešte za účinnosti starých trestných kódexov v r. 2005, a to v ustanovení § 257 ods. 2 Trestného zákona č. 140/1961 Zb. (účinného do 1.1.2006). </w:t>
      </w:r>
    </w:p>
    <w:p w:rsidR="007058E9" w:rsidRPr="00027783" w:rsidP="007058E9">
      <w:pPr>
        <w:bidi w:val="0"/>
        <w:jc w:val="both"/>
        <w:rPr>
          <w:rFonts w:ascii="Times New Roman" w:hAnsi="Times New Roman"/>
        </w:rPr>
      </w:pPr>
      <w:r w:rsidRPr="00027783">
        <w:rPr>
          <w:rFonts w:ascii="Times New Roman" w:hAnsi="Times New Roman"/>
        </w:rPr>
        <w:t xml:space="preserve">Formulácia vtedy novej základnej skutkovej podstaty podľa § 257 ods. 2 Trestného zákona bola: „Kto poškodí cudziu vec tým, že ju pomaľuje, postrieka či popíše farbou alebo inou látkou, postresce sa ...“. Výška spôsobenej škody ako majetkový následok trestného činu sa výslovne nevyžadovala. </w:t>
      </w:r>
    </w:p>
    <w:p w:rsidR="007058E9" w:rsidP="007058E9">
      <w:pPr>
        <w:bidi w:val="0"/>
        <w:ind w:firstLine="708"/>
        <w:jc w:val="both"/>
        <w:rPr>
          <w:rFonts w:ascii="Times New Roman" w:hAnsi="Times New Roman"/>
        </w:rPr>
      </w:pPr>
      <w:r w:rsidRPr="00027783">
        <w:rPr>
          <w:rFonts w:ascii="Times New Roman" w:hAnsi="Times New Roman"/>
        </w:rPr>
        <w:t>Zámerom bolo, aby sa sprejerstvo posudzovalo ako samostatný trestný čin bez ohľadu</w:t>
      </w:r>
      <w:r w:rsidRPr="00027783" w:rsidR="006D1D38">
        <w:rPr>
          <w:rFonts w:ascii="Times New Roman" w:hAnsi="Times New Roman"/>
        </w:rPr>
        <w:t xml:space="preserve"> </w:t>
      </w:r>
      <w:r w:rsidRPr="00027783">
        <w:rPr>
          <w:rFonts w:ascii="Times New Roman" w:hAnsi="Times New Roman"/>
        </w:rPr>
        <w:t>na výšku spôsobenej škody, čím by sa sprísnil postih aj za sprejerské útoky s nižšou majetkovou škodou. Spoločenská požiadavka na razantnejší postup pri eliminácii sprejerstva bola už aj vtedy vysoko aktuálna. Dovtedy sa sprejerské útoky dali kvalifikovať len ako trestný čin poškodzovania cudzej veci podľa § 257 ods. 1 Trestného zákona, avšak iba za podmienky, že spôsobená škoda dosiahla zákonom stanovenú hranicu škody nie nepatrnej, ktorá v roku 2005 predstavovala 6 900 S</w:t>
      </w:r>
      <w:r w:rsidRPr="00027783" w:rsidR="006D1D38">
        <w:rPr>
          <w:rFonts w:ascii="Times New Roman" w:hAnsi="Times New Roman"/>
        </w:rPr>
        <w:t>k</w:t>
      </w:r>
      <w:r w:rsidRPr="00027783">
        <w:rPr>
          <w:rFonts w:ascii="Times New Roman" w:hAnsi="Times New Roman"/>
        </w:rPr>
        <w:t>. Sprejerské útoky s nižšou škodou sa dali posudzovať len ako priestupok proti majetku podľa § 50 ods. 1 zákona č. 372/1990 Zb. o priestupkoch.</w:t>
      </w:r>
      <w:r>
        <w:rPr>
          <w:rFonts w:ascii="Times New Roman" w:hAnsi="Times New Roman"/>
        </w:rPr>
        <w:t xml:space="preserve"> </w:t>
      </w:r>
    </w:p>
    <w:p w:rsidR="007058E9" w:rsidP="007058E9">
      <w:pPr>
        <w:bidi w:val="0"/>
        <w:ind w:firstLine="708"/>
        <w:jc w:val="both"/>
        <w:rPr>
          <w:rFonts w:ascii="Times New Roman" w:hAnsi="Times New Roman"/>
        </w:rPr>
      </w:pPr>
      <w:r>
        <w:rPr>
          <w:rFonts w:ascii="Times New Roman" w:hAnsi="Times New Roman"/>
        </w:rPr>
        <w:t xml:space="preserve">Dňa 1.1.2006 nadobudol účinnosť novo systemizovaný Trestný zákon č. 300/2005 Z.z., do ktorého bola základná skutková podstata trestného činu „sprejerstva“ z pôvodného ustanovenia § 257 ods. 2 premietnutá do samostatného ustanovenia § 246 ods. 1 v neznemenej formulácii. Toto ustanovenie bolo opäť zaradené do štvrtej hlavy osobitnej časti Trestného zákona, teda medzi trestné činy proti majetku. </w:t>
      </w:r>
    </w:p>
    <w:p w:rsidR="007058E9" w:rsidP="007058E9">
      <w:pPr>
        <w:bidi w:val="0"/>
        <w:ind w:firstLine="708"/>
        <w:jc w:val="both"/>
        <w:rPr>
          <w:rFonts w:ascii="Times New Roman" w:hAnsi="Times New Roman"/>
        </w:rPr>
      </w:pPr>
      <w:r>
        <w:rPr>
          <w:rFonts w:ascii="Times New Roman" w:hAnsi="Times New Roman"/>
        </w:rPr>
        <w:t xml:space="preserve">Nový Trestný zákon č. 300/2005 Z.z. však na rozdiel od toho starého obsahoval v piatej hlave všeobecnej časti, nazvanej „Výklad pojmov“, už aj ustanovenie § 125 ods. 2, v znení:  </w:t>
      </w:r>
      <w:r w:rsidRPr="007058E9">
        <w:rPr>
          <w:rFonts w:ascii="Times New Roman" w:hAnsi="Times New Roman"/>
          <w:i/>
        </w:rPr>
        <w:t>„Ak tento zákon v osobitnej časti vyžaduje v základnej skutkovej podstate spôsobenie škody ako majetkový následok trestného činu a neuvádza jej výšku, má sa za to, že musí byť spôsobená škoda aspoň malá“</w:t>
      </w:r>
      <w:r>
        <w:rPr>
          <w:rFonts w:ascii="Times New Roman" w:hAnsi="Times New Roman"/>
        </w:rPr>
        <w:t xml:space="preserve"> (škoda malá = 266 €). </w:t>
      </w:r>
    </w:p>
    <w:p w:rsidR="007058E9" w:rsidP="007058E9">
      <w:pPr>
        <w:bidi w:val="0"/>
        <w:jc w:val="both"/>
        <w:rPr>
          <w:rFonts w:ascii="Times New Roman" w:hAnsi="Times New Roman"/>
        </w:rPr>
      </w:pPr>
      <w:r>
        <w:rPr>
          <w:rFonts w:ascii="Times New Roman" w:hAnsi="Times New Roman"/>
        </w:rPr>
        <w:t xml:space="preserve"> </w:t>
        <w:tab/>
        <w:t xml:space="preserve">V súdnej praxi sa postupne objavil na strane niektorých autorít (sudcovia, prokurátori, advokáti) výklad, podľa ktorého sa ustanovenie § 125 ods. 2 Trestného zákona vzťahuje aj na ustanovenie § 246 ods. 1 Trestného zákona, v dôsledku čoho sa k naplneniu všetkých pojmových znakov skutkovej podstaty tohto trestného činu vyžaduje podmienka spôsobenia majetkového následku v minimálnej úrovni škody malej, ktorá je vo finančnom vyjadrení 266 €. Podľa takéhoto výkladu je možné postihovať za pomoci ustanovenia § 246 ods. 1 Trestného zákona len také prípady, pri ktorých páchateľ spôsobí škodu preukázateľne presahujúcu limit 266 €. </w:t>
      </w:r>
    </w:p>
    <w:p w:rsidR="006D1D38" w:rsidP="006D1D38">
      <w:pPr>
        <w:bidi w:val="0"/>
        <w:ind w:firstLine="708"/>
        <w:jc w:val="both"/>
        <w:rPr>
          <w:rFonts w:ascii="Times New Roman" w:hAnsi="Times New Roman"/>
        </w:rPr>
      </w:pPr>
      <w:r w:rsidR="007058E9">
        <w:rPr>
          <w:rFonts w:ascii="Times New Roman" w:hAnsi="Times New Roman"/>
        </w:rPr>
        <w:t>Nejednoznačnosť Trestného zákona v otázke, či k naplneniu skutkovej podstaty trestného činu podľa § 246 ods. 1 je nevyhnutný majetkový následok 266 € alebo nie, ktorá komplikuje posudzovanie sprejerských útokov, a tým aj ich vyšetrovanie, resp. skrátené vyšetrovanie, sa dá odstrániť navrhovanou jednoduchou legislatívnou zmenou – tým, že do § 125 ods. 2 Trestného zákona by sa doplní text, že toto ustanovenie sa nevzťahuje na § 246 Trestného zákona.</w:t>
      </w:r>
      <w:r>
        <w:rPr>
          <w:rFonts w:ascii="Times New Roman" w:hAnsi="Times New Roman"/>
        </w:rPr>
        <w:t xml:space="preserve"> </w:t>
      </w:r>
    </w:p>
    <w:p w:rsidR="006D1D38" w:rsidRPr="00027783" w:rsidP="006D1D38">
      <w:pPr>
        <w:bidi w:val="0"/>
        <w:ind w:firstLine="708"/>
        <w:jc w:val="both"/>
        <w:rPr>
          <w:rFonts w:ascii="Times New Roman" w:hAnsi="Times New Roman"/>
        </w:rPr>
      </w:pPr>
      <w:r w:rsidRPr="00027783">
        <w:rPr>
          <w:rFonts w:ascii="Times New Roman" w:hAnsi="Times New Roman"/>
        </w:rPr>
        <w:t xml:space="preserve">Návrh zákona je v súlade s  Ústavou Slovenskej republiky, ústavnými zákonmi a zákonmi, ako aj s medzinárodnými zmluvami a inými medzinárodnými dokumentmi, ktorými je Slovenská republika viazaná, a s právom Európskej únie. </w:t>
      </w:r>
    </w:p>
    <w:p w:rsidR="00FA0A19" w:rsidRPr="00027783" w:rsidP="006D1D38">
      <w:pPr>
        <w:bidi w:val="0"/>
        <w:ind w:firstLine="708"/>
        <w:jc w:val="both"/>
        <w:rPr>
          <w:rFonts w:ascii="Times New Roman" w:hAnsi="Times New Roman"/>
        </w:rPr>
      </w:pPr>
      <w:r w:rsidRPr="00027783" w:rsidR="006D1D38">
        <w:rPr>
          <w:rFonts w:ascii="Times New Roman" w:hAnsi="Times New Roman"/>
        </w:rPr>
        <w:t>Návrh zákona nebude mať vplyv na verejné financie, podnikateľské prostredie, životné prostredie a informatizáciu spoločnosti ani sociálny vplyv</w:t>
      </w:r>
    </w:p>
    <w:p w:rsidR="006D1D38" w:rsidRPr="006D1D38" w:rsidP="006D1D38">
      <w:pPr>
        <w:bidi w:val="0"/>
        <w:ind w:firstLine="708"/>
        <w:jc w:val="both"/>
        <w:rPr>
          <w:rFonts w:ascii="Times New Roman" w:hAnsi="Times New Roman"/>
          <w:b/>
          <w:bCs/>
          <w:highlight w:val="yellow"/>
        </w:rPr>
      </w:pPr>
    </w:p>
    <w:p w:rsidR="006D1D38" w:rsidP="00FA0A19">
      <w:pPr>
        <w:bidi w:val="0"/>
        <w:jc w:val="center"/>
        <w:rPr>
          <w:rFonts w:ascii="Times New Roman" w:hAnsi="Times New Roman"/>
          <w:b/>
          <w:bCs/>
        </w:rPr>
      </w:pPr>
    </w:p>
    <w:p w:rsidR="00FA0A19" w:rsidRPr="00F110CA" w:rsidP="00FA0A19">
      <w:pPr>
        <w:bidi w:val="0"/>
        <w:jc w:val="center"/>
        <w:rPr>
          <w:rFonts w:ascii="Times New Roman" w:hAnsi="Times New Roman"/>
          <w:b/>
          <w:bCs/>
        </w:rPr>
      </w:pPr>
      <w:r w:rsidRPr="00F110CA">
        <w:rPr>
          <w:rFonts w:ascii="Times New Roman" w:hAnsi="Times New Roman"/>
          <w:b/>
          <w:bCs/>
        </w:rPr>
        <w:t>DOLOŽKA  ZLUČITEĽNOSTI</w:t>
      </w:r>
    </w:p>
    <w:p w:rsidR="00FA0A19" w:rsidRPr="00F110CA" w:rsidP="00FA0A19">
      <w:pPr>
        <w:bidi w:val="0"/>
        <w:jc w:val="center"/>
        <w:rPr>
          <w:rFonts w:ascii="Times New Roman" w:hAnsi="Times New Roman"/>
          <w:b/>
          <w:bCs/>
        </w:rPr>
      </w:pPr>
      <w:r w:rsidRPr="00F110CA">
        <w:rPr>
          <w:rFonts w:ascii="Times New Roman" w:hAnsi="Times New Roman"/>
          <w:b/>
          <w:bCs/>
        </w:rPr>
        <w:t>právneho predpisu s právom Európskej únie</w:t>
      </w:r>
    </w:p>
    <w:p w:rsidR="00FA0A19" w:rsidRPr="00F110CA" w:rsidP="00FA0A19">
      <w:pPr>
        <w:bidi w:val="0"/>
        <w:jc w:val="center"/>
        <w:rPr>
          <w:rFonts w:ascii="Times New Roman" w:hAnsi="Times New Roman"/>
        </w:rPr>
      </w:pPr>
    </w:p>
    <w:p w:rsidR="00FA0A19" w:rsidRPr="00F110CA" w:rsidP="00FA0A19">
      <w:pPr>
        <w:bidi w:val="0"/>
        <w:jc w:val="both"/>
        <w:rPr>
          <w:rFonts w:ascii="Times New Roman" w:hAnsi="Times New Roman"/>
        </w:rPr>
      </w:pPr>
      <w:r w:rsidRPr="00F110CA">
        <w:rPr>
          <w:rFonts w:ascii="Times New Roman" w:hAnsi="Times New Roman"/>
          <w:b/>
        </w:rPr>
        <w:t>1. Predkladateľ návrhu právneho predpisu:</w:t>
      </w:r>
      <w:r w:rsidRPr="00F110CA">
        <w:rPr>
          <w:rFonts w:ascii="Times New Roman" w:hAnsi="Times New Roman"/>
        </w:rPr>
        <w:t xml:space="preserve"> </w:t>
      </w:r>
      <w:r>
        <w:rPr>
          <w:rFonts w:ascii="Times New Roman" w:hAnsi="Times New Roman"/>
        </w:rPr>
        <w:t>poslanci</w:t>
      </w:r>
      <w:r w:rsidRPr="00F110CA">
        <w:rPr>
          <w:rFonts w:ascii="Times New Roman" w:hAnsi="Times New Roman"/>
        </w:rPr>
        <w:t xml:space="preserve"> Národnej rady Slovenskej republiky Peter Osuský</w:t>
      </w:r>
      <w:r w:rsidR="00C82091">
        <w:rPr>
          <w:rFonts w:ascii="Times New Roman" w:hAnsi="Times New Roman"/>
        </w:rPr>
        <w:t xml:space="preserve"> a</w:t>
      </w:r>
      <w:r w:rsidR="007058E9">
        <w:rPr>
          <w:rFonts w:ascii="Times New Roman" w:hAnsi="Times New Roman"/>
        </w:rPr>
        <w:t xml:space="preserve"> Ondrej Dostál</w:t>
      </w:r>
    </w:p>
    <w:p w:rsidR="00FA0A19" w:rsidRPr="00F110CA" w:rsidP="00FA0A19">
      <w:pPr>
        <w:bidi w:val="0"/>
        <w:jc w:val="both"/>
        <w:rPr>
          <w:rFonts w:ascii="Times New Roman" w:hAnsi="Times New Roman"/>
        </w:rPr>
      </w:pPr>
    </w:p>
    <w:p w:rsidR="00FA0A19" w:rsidRPr="00F110CA" w:rsidP="00FA0A19">
      <w:pPr>
        <w:bidi w:val="0"/>
        <w:jc w:val="both"/>
        <w:rPr>
          <w:rFonts w:ascii="Times New Roman" w:hAnsi="Times New Roman"/>
        </w:rPr>
      </w:pPr>
      <w:r w:rsidRPr="00027783">
        <w:rPr>
          <w:rFonts w:ascii="Times New Roman" w:hAnsi="Times New Roman"/>
          <w:b/>
        </w:rPr>
        <w:t>2. Názov návrhu právneho predpisu:</w:t>
      </w:r>
      <w:r w:rsidRPr="00027783">
        <w:rPr>
          <w:rFonts w:ascii="Times New Roman" w:hAnsi="Times New Roman"/>
        </w:rPr>
        <w:t xml:space="preserve"> Návrh zákona, </w:t>
      </w:r>
      <w:r w:rsidRPr="00027783" w:rsidR="007058E9">
        <w:rPr>
          <w:rFonts w:ascii="Times New Roman" w:hAnsi="Times New Roman"/>
        </w:rPr>
        <w:t xml:space="preserve">ktorým sa </w:t>
      </w:r>
      <w:r w:rsidRPr="00027783" w:rsidR="006D1D38">
        <w:rPr>
          <w:rFonts w:ascii="Times New Roman" w:hAnsi="Times New Roman"/>
        </w:rPr>
        <w:t xml:space="preserve">mení a </w:t>
      </w:r>
      <w:r w:rsidRPr="00027783" w:rsidR="007058E9">
        <w:rPr>
          <w:rFonts w:ascii="Times New Roman" w:hAnsi="Times New Roman"/>
        </w:rPr>
        <w:t xml:space="preserve">dopĺňa zákon </w:t>
      </w:r>
      <w:r w:rsidRPr="00027783" w:rsidR="006D1D38">
        <w:rPr>
          <w:rFonts w:ascii="Times New Roman" w:hAnsi="Times New Roman"/>
        </w:rPr>
        <w:t xml:space="preserve">                 č</w:t>
      </w:r>
      <w:r w:rsidRPr="00027783" w:rsidR="007058E9">
        <w:rPr>
          <w:rFonts w:ascii="Times New Roman" w:hAnsi="Times New Roman"/>
        </w:rPr>
        <w:t>. 300/2005 Z. z. Trestný zákon v znení neskorších predpisov</w:t>
      </w:r>
    </w:p>
    <w:p w:rsidR="00FA0A19" w:rsidRPr="00F110CA" w:rsidP="00FA0A19">
      <w:pPr>
        <w:bidi w:val="0"/>
        <w:jc w:val="both"/>
        <w:rPr>
          <w:rFonts w:ascii="Times New Roman" w:hAnsi="Times New Roman"/>
        </w:rPr>
      </w:pPr>
    </w:p>
    <w:p w:rsidR="00FA0A19" w:rsidRPr="00F110CA" w:rsidP="00FA0A19">
      <w:pPr>
        <w:bidi w:val="0"/>
        <w:jc w:val="both"/>
        <w:rPr>
          <w:rFonts w:ascii="Times New Roman" w:hAnsi="Times New Roman"/>
          <w:b/>
        </w:rPr>
      </w:pPr>
      <w:r w:rsidRPr="00F110CA">
        <w:rPr>
          <w:rFonts w:ascii="Times New Roman" w:hAnsi="Times New Roman"/>
          <w:b/>
        </w:rPr>
        <w:t>3. Problematika návrhu právneho predpisu:</w:t>
      </w:r>
    </w:p>
    <w:p w:rsidR="00FA0A19" w:rsidRPr="00197513" w:rsidP="00FA0A19">
      <w:pPr>
        <w:pStyle w:val="listparagraph"/>
        <w:numPr>
          <w:ilvl w:val="1"/>
          <w:numId w:val="2"/>
        </w:numPr>
        <w:bidi w:val="0"/>
        <w:ind w:left="360"/>
        <w:jc w:val="both"/>
        <w:rPr>
          <w:rFonts w:ascii="Times New Roman" w:hAnsi="Times New Roman"/>
        </w:rPr>
      </w:pPr>
      <w:r w:rsidRPr="00197513">
        <w:rPr>
          <w:rFonts w:ascii="Times New Roman" w:hAnsi="Times New Roman"/>
        </w:rPr>
        <w:t>nie je upravená v práve Európskej únie,</w:t>
      </w:r>
    </w:p>
    <w:p w:rsidR="00FA0A19" w:rsidRPr="00841B21" w:rsidP="00FA0A19">
      <w:pPr>
        <w:numPr>
          <w:ilvl w:val="1"/>
          <w:numId w:val="2"/>
        </w:numPr>
        <w:bidi w:val="0"/>
        <w:spacing w:before="100" w:beforeAutospacing="1" w:after="100" w:afterAutospacing="1"/>
        <w:ind w:left="360"/>
        <w:jc w:val="both"/>
        <w:rPr>
          <w:rFonts w:ascii="Times New Roman" w:hAnsi="Times New Roman"/>
        </w:rPr>
      </w:pPr>
      <w:r w:rsidRPr="00841B21">
        <w:rPr>
          <w:rFonts w:ascii="Times New Roman" w:hAnsi="Times New Roman"/>
        </w:rPr>
        <w:t>nie je obsiahnutá v judikatúre Súdneho dvora Európskej únie.</w:t>
      </w:r>
    </w:p>
    <w:p w:rsidR="00FA0A19" w:rsidP="00FA0A19">
      <w:pPr>
        <w:pStyle w:val="NormalWeb"/>
        <w:bidi w:val="0"/>
        <w:spacing w:before="0" w:beforeAutospacing="0" w:after="0" w:afterAutospacing="0"/>
        <w:ind w:right="-108" w:firstLine="360"/>
        <w:jc w:val="both"/>
        <w:rPr>
          <w:rFonts w:ascii="Times New Roman" w:hAnsi="Times New Roman"/>
          <w:b/>
          <w:bCs/>
        </w:rPr>
      </w:pPr>
      <w:r w:rsidRPr="00B35EA5">
        <w:rPr>
          <w:rFonts w:ascii="Times New Roman" w:hAnsi="Times New Roman"/>
          <w:b/>
          <w:bCs/>
        </w:rPr>
        <w:t>Vzhľadom na to, že problematika návrhu zákona nie je upravená v práve Európskej únie, je bezpredmetné vyjadrovať sa k bodom 4., 5. a 6.</w:t>
      </w:r>
    </w:p>
    <w:p w:rsidR="00FA0A19" w:rsidRPr="00F110CA" w:rsidP="00FA0A19">
      <w:pPr>
        <w:pStyle w:val="NormalWeb"/>
        <w:bidi w:val="0"/>
        <w:spacing w:before="0" w:beforeAutospacing="0" w:after="0" w:afterAutospacing="0"/>
        <w:ind w:right="-108"/>
        <w:jc w:val="center"/>
        <w:rPr>
          <w:rFonts w:ascii="Times New Roman" w:hAnsi="Times New Roman"/>
          <w:b/>
          <w:bCs/>
        </w:rPr>
      </w:pPr>
    </w:p>
    <w:p w:rsidR="00FA0A19" w:rsidRPr="00F110CA" w:rsidP="00FA0A19">
      <w:pPr>
        <w:pStyle w:val="NormalWeb"/>
        <w:bidi w:val="0"/>
        <w:spacing w:before="0" w:beforeAutospacing="0" w:after="0" w:afterAutospacing="0"/>
        <w:ind w:right="-108"/>
        <w:jc w:val="center"/>
        <w:rPr>
          <w:rFonts w:ascii="Times New Roman" w:hAnsi="Times New Roman"/>
        </w:rPr>
      </w:pPr>
      <w:r w:rsidRPr="00F110CA">
        <w:rPr>
          <w:rFonts w:ascii="Times New Roman" w:hAnsi="Times New Roman"/>
          <w:b/>
          <w:bCs/>
        </w:rPr>
        <w:t>DOLOŽKA VYBRANÝCH VPLYVOV</w:t>
      </w:r>
    </w:p>
    <w:p w:rsidR="00FA0A19" w:rsidP="00FA0A19">
      <w:pPr>
        <w:bidi w:val="0"/>
        <w:rPr>
          <w:rFonts w:ascii="Times New Roman" w:hAnsi="Times New Roman"/>
          <w:b/>
          <w:bCs/>
        </w:rPr>
      </w:pPr>
    </w:p>
    <w:p w:rsidR="00FA0A19" w:rsidRPr="00F110CA" w:rsidP="00FA0A19">
      <w:pPr>
        <w:bidi w:val="0"/>
        <w:rPr>
          <w:rFonts w:ascii="Times New Roman" w:hAnsi="Times New Roman"/>
          <w:b/>
          <w:bCs/>
        </w:rPr>
      </w:pPr>
      <w:r w:rsidRPr="00F110CA">
        <w:rPr>
          <w:rFonts w:ascii="Times New Roman" w:hAnsi="Times New Roman"/>
          <w:b/>
          <w:bCs/>
        </w:rPr>
        <w:t xml:space="preserve">A.1. Názov materiálu: </w:t>
      </w:r>
    </w:p>
    <w:p w:rsidR="00FA0A19" w:rsidRPr="00F110CA" w:rsidP="00FA0A19">
      <w:pPr>
        <w:bidi w:val="0"/>
        <w:rPr>
          <w:rFonts w:ascii="Times New Roman" w:hAnsi="Times New Roman"/>
        </w:rPr>
      </w:pPr>
      <w:r w:rsidRPr="00F110CA">
        <w:rPr>
          <w:rFonts w:ascii="Times New Roman" w:hAnsi="Times New Roman"/>
        </w:rPr>
        <w:t xml:space="preserve">Návrh zákona, </w:t>
      </w:r>
      <w:r w:rsidRPr="007058E9" w:rsidR="007058E9">
        <w:rPr>
          <w:rFonts w:ascii="Times New Roman" w:hAnsi="Times New Roman"/>
        </w:rPr>
        <w:t>ktorým sa dopĺňa zákon č. 300/2005 Z. z. Trestný zákon v znení neskorších predpisov</w:t>
      </w:r>
    </w:p>
    <w:p w:rsidR="00FA0A19" w:rsidRPr="00F110CA" w:rsidP="00FA0A19">
      <w:pPr>
        <w:pStyle w:val="NormalWeb"/>
        <w:bidi w:val="0"/>
        <w:spacing w:before="0" w:beforeAutospacing="0" w:after="0" w:afterAutospacing="0"/>
        <w:rPr>
          <w:rFonts w:ascii="Times New Roman" w:hAnsi="Times New Roman"/>
          <w:b/>
          <w:bCs/>
        </w:rPr>
      </w:pPr>
    </w:p>
    <w:p w:rsidR="00FA0A19" w:rsidRPr="00F110CA" w:rsidP="00FA0A19">
      <w:pPr>
        <w:pStyle w:val="NormalWeb"/>
        <w:bidi w:val="0"/>
        <w:spacing w:before="0" w:beforeAutospacing="0" w:after="0" w:afterAutospacing="0"/>
        <w:rPr>
          <w:rFonts w:ascii="Times New Roman" w:hAnsi="Times New Roman"/>
        </w:rPr>
      </w:pPr>
      <w:r w:rsidRPr="00F110CA">
        <w:rPr>
          <w:rFonts w:ascii="Times New Roman" w:hAnsi="Times New Roman"/>
          <w:b/>
          <w:bCs/>
        </w:rPr>
        <w:t>A.2. Vplyvy:</w:t>
      </w:r>
    </w:p>
    <w:p w:rsidR="00FA0A19" w:rsidRPr="00F110CA" w:rsidP="00FA0A19">
      <w:pPr>
        <w:pStyle w:val="NormalWeb"/>
        <w:bidi w:val="0"/>
        <w:spacing w:before="0" w:beforeAutospacing="0" w:after="0" w:afterAutospacing="0"/>
        <w:rPr>
          <w:rFonts w:ascii="Times New Roman" w:hAnsi="Times New Roman"/>
        </w:rPr>
      </w:pPr>
      <w:r w:rsidRPr="00F110CA">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FA0A19" w:rsidRPr="00F110CA" w:rsidP="00923838">
            <w:pPr>
              <w:pStyle w:val="NormalWeb"/>
              <w:bidi w:val="0"/>
              <w:spacing w:before="0" w:beforeAutospacing="0" w:after="0" w:afterAutospacing="0" w:line="240" w:lineRule="auto"/>
              <w:rPr>
                <w:rFonts w:ascii="Times New Roman" w:hAnsi="Times New Roman"/>
              </w:rPr>
            </w:pPr>
            <w:r w:rsidRPr="00F110CA">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FA0A19" w:rsidRPr="00F110CA" w:rsidP="00923838">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Pozitívne</w:t>
            </w:r>
            <w:r w:rsidRPr="00F110CA">
              <w:rPr>
                <w:rFonts w:ascii="Times New Roman" w:hAnsi="Times New Roman"/>
                <w:sz w:val="16"/>
                <w:szCs w:val="16"/>
                <w:vertAlign w:val="superscript"/>
              </w:rPr>
              <w:t>*</w:t>
            </w:r>
            <w:r w:rsidRPr="00F110CA">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FA0A19" w:rsidRPr="00F110CA" w:rsidP="00923838">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Žiadne</w:t>
            </w:r>
            <w:r w:rsidRPr="00F110CA">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FA0A19" w:rsidRPr="00F110CA" w:rsidP="00923838">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Negatívne</w:t>
            </w:r>
            <w:r w:rsidRPr="00F110CA">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FA0A19" w:rsidRPr="00F110CA" w:rsidP="00923838">
            <w:pPr>
              <w:pStyle w:val="NormalWeb"/>
              <w:bidi w:val="0"/>
              <w:spacing w:before="0" w:beforeAutospacing="0" w:after="0" w:afterAutospacing="0" w:line="240" w:lineRule="auto"/>
              <w:rPr>
                <w:rFonts w:ascii="Times New Roman" w:hAnsi="Times New Roman"/>
              </w:rPr>
            </w:pPr>
            <w:r w:rsidRPr="00F110CA">
              <w:rPr>
                <w:rFonts w:ascii="Times New Roman" w:hAnsi="Times New Roman"/>
                <w:sz w:val="22"/>
                <w:szCs w:val="22"/>
              </w:rPr>
              <w:t>1. Vplyvy na rozpočet verejnej správy</w:t>
            </w:r>
          </w:p>
          <w:p w:rsidR="00FA0A19" w:rsidRPr="00F110CA" w:rsidP="00923838">
            <w:pPr>
              <w:pStyle w:val="NormalWeb"/>
              <w:bidi w:val="0"/>
              <w:spacing w:before="0" w:beforeAutospacing="0" w:after="0" w:afterAutospacing="0" w:line="240" w:lineRule="auto"/>
              <w:rPr>
                <w:rFonts w:ascii="Times New Roman" w:hAnsi="Times New Roman"/>
              </w:rPr>
            </w:pPr>
            <w:r w:rsidRPr="00F110CA">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FA0A19" w:rsidRPr="00F110CA" w:rsidP="00923838">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FA0A19" w:rsidRPr="00F110CA" w:rsidP="00923838">
            <w:pPr>
              <w:pStyle w:val="NormalWeb"/>
              <w:bidi w:val="0"/>
              <w:spacing w:before="0" w:beforeAutospacing="0" w:after="0" w:afterAutospacing="0" w:line="240" w:lineRule="auto"/>
              <w:jc w:val="center"/>
              <w:rPr>
                <w:rFonts w:ascii="Times New Roman" w:hAnsi="Times New Roman"/>
              </w:rPr>
            </w:pPr>
            <w:r>
              <w:rPr>
                <w:rFonts w:ascii="Times New Roman" w:hAnsi="Times New Roman"/>
              </w:rPr>
              <w:t>X</w:t>
            </w:r>
          </w:p>
          <w:p w:rsidR="00FA0A19" w:rsidRPr="00F110CA" w:rsidP="00923838">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FA0A19" w:rsidRPr="00F110CA" w:rsidP="00923838">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FA0A19" w:rsidRPr="00F110CA" w:rsidP="00923838">
            <w:pPr>
              <w:pStyle w:val="NormalWeb"/>
              <w:bidi w:val="0"/>
              <w:spacing w:before="0" w:beforeAutospacing="0" w:after="0" w:afterAutospacing="0" w:line="240" w:lineRule="auto"/>
              <w:rPr>
                <w:rFonts w:ascii="Times New Roman" w:hAnsi="Times New Roman"/>
              </w:rPr>
            </w:pPr>
            <w:r w:rsidRPr="00F110CA">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FA0A19" w:rsidRPr="00F110CA" w:rsidP="00923838">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FA0A19" w:rsidRPr="00F110CA" w:rsidP="00923838">
            <w:pPr>
              <w:pStyle w:val="NormalWeb"/>
              <w:bidi w:val="0"/>
              <w:spacing w:before="0" w:beforeAutospacing="0" w:after="0" w:afterAutospacing="0" w:line="240" w:lineRule="auto"/>
              <w:jc w:val="center"/>
              <w:rPr>
                <w:rFonts w:ascii="Times New Roman" w:hAnsi="Times New Roman"/>
              </w:rPr>
            </w:pPr>
          </w:p>
          <w:p w:rsidR="00FA0A19" w:rsidRPr="00F110CA" w:rsidP="00923838">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w:t>
            </w:r>
            <w:r>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FA0A19" w:rsidRPr="00F110CA" w:rsidP="00923838">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FA0A19" w:rsidRPr="00F110CA" w:rsidP="00923838">
            <w:pPr>
              <w:pStyle w:val="NormalWeb"/>
              <w:bidi w:val="0"/>
              <w:spacing w:before="0" w:beforeAutospacing="0" w:after="0" w:afterAutospacing="0" w:line="240" w:lineRule="auto"/>
              <w:rPr>
                <w:rFonts w:ascii="Times New Roman" w:hAnsi="Times New Roman"/>
              </w:rPr>
            </w:pPr>
            <w:r w:rsidRPr="00F110CA">
              <w:rPr>
                <w:rFonts w:ascii="Times New Roman" w:hAnsi="Times New Roman"/>
                <w:sz w:val="22"/>
                <w:szCs w:val="22"/>
              </w:rPr>
              <w:t xml:space="preserve">3. Sociálne vplyvy </w:t>
            </w:r>
          </w:p>
          <w:p w:rsidR="00FA0A19" w:rsidRPr="00F110CA" w:rsidP="00923838">
            <w:pPr>
              <w:pStyle w:val="NormalWeb"/>
              <w:bidi w:val="0"/>
              <w:spacing w:before="0" w:beforeAutospacing="0" w:after="0" w:afterAutospacing="0" w:line="240" w:lineRule="auto"/>
              <w:rPr>
                <w:rFonts w:ascii="Times New Roman" w:hAnsi="Times New Roman"/>
              </w:rPr>
            </w:pPr>
            <w:r w:rsidRPr="00F110CA">
              <w:rPr>
                <w:rFonts w:ascii="Times New Roman" w:hAnsi="Times New Roman"/>
                <w:sz w:val="22"/>
                <w:szCs w:val="22"/>
              </w:rPr>
              <w:t>– vplyvy  na hospodárenie obyvateľstva,</w:t>
            </w:r>
          </w:p>
          <w:p w:rsidR="00FA0A19" w:rsidRPr="00F110CA" w:rsidP="00923838">
            <w:pPr>
              <w:pStyle w:val="NormalWeb"/>
              <w:bidi w:val="0"/>
              <w:spacing w:before="0" w:beforeAutospacing="0" w:after="0" w:afterAutospacing="0" w:line="240" w:lineRule="auto"/>
              <w:rPr>
                <w:rFonts w:ascii="Times New Roman" w:hAnsi="Times New Roman"/>
              </w:rPr>
            </w:pPr>
            <w:r w:rsidRPr="00F110CA">
              <w:rPr>
                <w:rFonts w:ascii="Times New Roman" w:hAnsi="Times New Roman"/>
                <w:sz w:val="22"/>
                <w:szCs w:val="22"/>
              </w:rPr>
              <w:t>-sociálnu exklúziu,</w:t>
            </w:r>
          </w:p>
          <w:p w:rsidR="00FA0A19" w:rsidRPr="00F110CA" w:rsidP="00923838">
            <w:pPr>
              <w:pStyle w:val="NormalWeb"/>
              <w:bidi w:val="0"/>
              <w:spacing w:before="0" w:beforeAutospacing="0" w:after="0" w:afterAutospacing="0" w:line="240" w:lineRule="auto"/>
              <w:rPr>
                <w:rFonts w:ascii="Times New Roman" w:hAnsi="Times New Roman"/>
              </w:rPr>
            </w:pPr>
            <w:r w:rsidRPr="00F110CA">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FA0A19" w:rsidRPr="00F110CA" w:rsidP="00923838">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FA0A19" w:rsidRPr="00F110CA" w:rsidP="00923838">
            <w:pPr>
              <w:pStyle w:val="NormalWeb"/>
              <w:bidi w:val="0"/>
              <w:spacing w:before="0" w:beforeAutospacing="0" w:after="0" w:afterAutospacing="0" w:line="240" w:lineRule="auto"/>
              <w:jc w:val="center"/>
              <w:rPr>
                <w:rFonts w:ascii="Times New Roman" w:hAnsi="Times New Roman"/>
              </w:rPr>
            </w:pPr>
          </w:p>
          <w:p w:rsidR="00FA0A19" w:rsidRPr="00F110CA" w:rsidP="00923838">
            <w:pPr>
              <w:pStyle w:val="NormalWeb"/>
              <w:bidi w:val="0"/>
              <w:spacing w:before="0" w:beforeAutospacing="0" w:after="0" w:afterAutospacing="0" w:line="240" w:lineRule="auto"/>
              <w:jc w:val="center"/>
              <w:rPr>
                <w:rFonts w:ascii="Times New Roman" w:hAnsi="Times New Roman"/>
              </w:rPr>
            </w:pPr>
          </w:p>
          <w:p w:rsidR="00FA0A19" w:rsidRPr="00F110CA" w:rsidP="00923838">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FA0A19" w:rsidRPr="00F110CA" w:rsidP="00923838">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FA0A19" w:rsidRPr="00F110CA" w:rsidP="00923838">
            <w:pPr>
              <w:pStyle w:val="NormalWeb"/>
              <w:bidi w:val="0"/>
              <w:spacing w:before="0" w:beforeAutospacing="0" w:after="0" w:afterAutospacing="0" w:line="240" w:lineRule="auto"/>
              <w:rPr>
                <w:rFonts w:ascii="Times New Roman" w:hAnsi="Times New Roman"/>
              </w:rPr>
            </w:pPr>
            <w:r w:rsidRPr="00F110CA">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FA0A19" w:rsidRPr="00F110CA" w:rsidP="00923838">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FA0A19" w:rsidRPr="00F110CA" w:rsidP="00923838">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FA0A19" w:rsidRPr="00F110CA" w:rsidP="00923838">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FA0A19" w:rsidRPr="00F110CA" w:rsidP="00923838">
            <w:pPr>
              <w:pStyle w:val="NormalWeb"/>
              <w:bidi w:val="0"/>
              <w:spacing w:before="0" w:beforeAutospacing="0" w:after="0" w:afterAutospacing="0" w:line="240" w:lineRule="auto"/>
              <w:rPr>
                <w:rFonts w:ascii="Times New Roman" w:hAnsi="Times New Roman"/>
              </w:rPr>
            </w:pPr>
            <w:r w:rsidRPr="00F110CA">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FA0A19" w:rsidRPr="00F110CA" w:rsidP="00923838">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FA0A19" w:rsidRPr="00F110CA" w:rsidP="00923838">
            <w:pPr>
              <w:pStyle w:val="NormalWeb"/>
              <w:bidi w:val="0"/>
              <w:spacing w:before="0" w:beforeAutospacing="0" w:after="0" w:afterAutospacing="0" w:line="240" w:lineRule="auto"/>
              <w:jc w:val="center"/>
              <w:rPr>
                <w:rFonts w:ascii="Times New Roman" w:hAnsi="Times New Roman"/>
              </w:rPr>
            </w:pPr>
          </w:p>
          <w:p w:rsidR="00FA0A19" w:rsidRPr="00F110CA" w:rsidP="00923838">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FA0A19" w:rsidRPr="00F110CA" w:rsidP="00923838">
            <w:pPr>
              <w:pStyle w:val="NormalWeb"/>
              <w:bidi w:val="0"/>
              <w:spacing w:before="0" w:beforeAutospacing="0" w:after="0" w:afterAutospacing="0" w:line="240" w:lineRule="auto"/>
              <w:jc w:val="center"/>
              <w:rPr>
                <w:rFonts w:ascii="Times New Roman" w:hAnsi="Times New Roman"/>
              </w:rPr>
            </w:pPr>
            <w:r w:rsidRPr="00F110CA">
              <w:rPr>
                <w:rFonts w:ascii="Times New Roman" w:hAnsi="Times New Roman"/>
              </w:rPr>
              <w:t> </w:t>
            </w:r>
          </w:p>
        </w:tc>
      </w:tr>
    </w:tbl>
    <w:p w:rsidR="00FA0A19" w:rsidRPr="00F110CA" w:rsidP="00FA0A19">
      <w:pPr>
        <w:pStyle w:val="NormalWeb"/>
        <w:bidi w:val="0"/>
        <w:spacing w:before="0" w:beforeAutospacing="0" w:after="0" w:afterAutospacing="0"/>
        <w:jc w:val="both"/>
        <w:rPr>
          <w:rFonts w:ascii="Times New Roman" w:hAnsi="Times New Roman"/>
        </w:rPr>
      </w:pPr>
      <w:r w:rsidRPr="00F110CA">
        <w:rPr>
          <w:rFonts w:ascii="Times New Roman" w:hAnsi="Times New Roman"/>
          <w:b/>
          <w:bCs/>
          <w:sz w:val="16"/>
          <w:szCs w:val="16"/>
        </w:rPr>
        <w:t>*</w:t>
      </w:r>
      <w:r w:rsidRPr="00F110CA">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FA0A19" w:rsidRPr="00F110CA" w:rsidP="00FA0A19">
      <w:pPr>
        <w:bidi w:val="0"/>
        <w:rPr>
          <w:rFonts w:ascii="Times New Roman" w:hAnsi="Times New Roman"/>
        </w:rPr>
      </w:pPr>
    </w:p>
    <w:p w:rsidR="00FA0A19" w:rsidRPr="0011012F" w:rsidP="00FA0A19">
      <w:pPr>
        <w:bidi w:val="0"/>
        <w:jc w:val="both"/>
        <w:rPr>
          <w:rFonts w:ascii="Times New Roman" w:hAnsi="Times New Roman"/>
        </w:rPr>
      </w:pPr>
    </w:p>
    <w:p w:rsidR="00FA0A19" w:rsidRPr="00F110CA" w:rsidP="00FA0A19">
      <w:pPr>
        <w:bidi w:val="0"/>
        <w:jc w:val="both"/>
        <w:rPr>
          <w:rFonts w:ascii="Times New Roman" w:hAnsi="Times New Roman"/>
          <w:b/>
        </w:rPr>
      </w:pPr>
      <w:r w:rsidRPr="00F110CA">
        <w:rPr>
          <w:rFonts w:ascii="Times New Roman" w:hAnsi="Times New Roman"/>
          <w:b/>
          <w:highlight w:val="yellow"/>
        </w:rPr>
        <w:br w:type="page"/>
      </w:r>
    </w:p>
    <w:p w:rsidR="006D1D38" w:rsidRPr="00027783" w:rsidP="006D1D38">
      <w:pPr>
        <w:bidi w:val="0"/>
        <w:jc w:val="both"/>
        <w:rPr>
          <w:rFonts w:ascii="Times New Roman" w:hAnsi="Times New Roman"/>
          <w:b/>
          <w:bCs/>
          <w:color w:val="FF0000"/>
        </w:rPr>
      </w:pPr>
      <w:r w:rsidRPr="00027783" w:rsidR="00FA0A19">
        <w:rPr>
          <w:rFonts w:ascii="Times New Roman" w:hAnsi="Times New Roman"/>
          <w:b/>
          <w:bCs/>
        </w:rPr>
        <w:t>Osobitná časť</w:t>
      </w:r>
      <w:r w:rsidRPr="00027783">
        <w:rPr>
          <w:rFonts w:ascii="Times New Roman" w:hAnsi="Times New Roman"/>
          <w:b/>
          <w:bCs/>
        </w:rPr>
        <w:t xml:space="preserve"> </w:t>
      </w:r>
    </w:p>
    <w:p w:rsidR="00FA0A19" w:rsidRPr="00027783" w:rsidP="00FA0A19">
      <w:pPr>
        <w:bidi w:val="0"/>
        <w:jc w:val="both"/>
        <w:rPr>
          <w:rFonts w:ascii="Times New Roman" w:hAnsi="Times New Roman"/>
          <w:b/>
          <w:bCs/>
        </w:rPr>
      </w:pPr>
    </w:p>
    <w:p w:rsidR="006D1D38" w:rsidRPr="00027783" w:rsidP="006D1D38">
      <w:pPr>
        <w:bidi w:val="0"/>
        <w:jc w:val="both"/>
        <w:rPr>
          <w:rFonts w:ascii="Times New Roman" w:hAnsi="Times New Roman"/>
          <w:b/>
          <w:bCs/>
          <w:color w:val="FF0000"/>
        </w:rPr>
      </w:pPr>
      <w:r w:rsidRPr="00027783" w:rsidR="00FA0A19">
        <w:rPr>
          <w:rFonts w:ascii="Times New Roman" w:hAnsi="Times New Roman"/>
          <w:b/>
        </w:rPr>
        <w:t>K čl. I</w:t>
      </w:r>
      <w:r w:rsidRPr="00027783">
        <w:rPr>
          <w:rFonts w:ascii="Times New Roman" w:hAnsi="Times New Roman"/>
          <w:b/>
        </w:rPr>
        <w:tab/>
      </w:r>
    </w:p>
    <w:p w:rsidR="00FA0A19" w:rsidRPr="00027783" w:rsidP="006D1D38">
      <w:pPr>
        <w:tabs>
          <w:tab w:val="left" w:pos="2115"/>
        </w:tabs>
        <w:bidi w:val="0"/>
        <w:jc w:val="both"/>
        <w:rPr>
          <w:rFonts w:ascii="Times New Roman" w:hAnsi="Times New Roman"/>
          <w:b/>
        </w:rPr>
      </w:pPr>
    </w:p>
    <w:p w:rsidR="007058E9" w:rsidRPr="00027783" w:rsidP="007058E9">
      <w:pPr>
        <w:bidi w:val="0"/>
        <w:jc w:val="both"/>
        <w:rPr>
          <w:rFonts w:ascii="Times New Roman" w:hAnsi="Times New Roman"/>
        </w:rPr>
      </w:pPr>
      <w:r w:rsidRPr="00027783">
        <w:rPr>
          <w:rFonts w:ascii="Times New Roman" w:hAnsi="Times New Roman"/>
        </w:rPr>
        <w:t xml:space="preserve">Navrhuje sa doplniť Trestný zákon o ustanovenie, ktorým sa jednoznačne stanoví, že pri trestnom čine podľa § 246 Trestného zákona sa nevyžaduje spôsobenie malej škody. </w:t>
      </w:r>
    </w:p>
    <w:p w:rsidR="00FA0A19" w:rsidRPr="00027783" w:rsidP="00FA0A19">
      <w:pPr>
        <w:bidi w:val="0"/>
        <w:jc w:val="both"/>
        <w:rPr>
          <w:rFonts w:ascii="Times New Roman" w:hAnsi="Times New Roman"/>
        </w:rPr>
      </w:pPr>
    </w:p>
    <w:p w:rsidR="006D1D38" w:rsidRPr="006D1D38" w:rsidP="006D1D38">
      <w:pPr>
        <w:bidi w:val="0"/>
        <w:jc w:val="both"/>
        <w:rPr>
          <w:rFonts w:ascii="Times New Roman" w:hAnsi="Times New Roman"/>
          <w:b/>
          <w:bCs/>
          <w:color w:val="FF0000"/>
        </w:rPr>
      </w:pPr>
      <w:r w:rsidRPr="00027783" w:rsidR="00FA0A19">
        <w:rPr>
          <w:rFonts w:ascii="Times New Roman" w:hAnsi="Times New Roman"/>
          <w:b/>
        </w:rPr>
        <w:t>K čl. II</w:t>
      </w:r>
      <w:r>
        <w:rPr>
          <w:rFonts w:ascii="Times New Roman" w:hAnsi="Times New Roman"/>
          <w:b/>
        </w:rPr>
        <w:t xml:space="preserve"> </w:t>
      </w:r>
    </w:p>
    <w:p w:rsidR="00FA0A19" w:rsidRPr="00F110CA" w:rsidP="00FA0A19">
      <w:pPr>
        <w:bidi w:val="0"/>
        <w:jc w:val="both"/>
        <w:rPr>
          <w:rFonts w:ascii="Times New Roman" w:hAnsi="Times New Roman"/>
        </w:rPr>
      </w:pPr>
    </w:p>
    <w:p w:rsidR="007058E9" w:rsidP="00FA0A19">
      <w:pPr>
        <w:bidi w:val="0"/>
        <w:jc w:val="both"/>
        <w:rPr>
          <w:rFonts w:ascii="Times New Roman" w:hAnsi="Times New Roman"/>
        </w:rPr>
      </w:pPr>
      <w:r w:rsidRPr="00F110CA" w:rsidR="00FA0A19">
        <w:rPr>
          <w:rFonts w:ascii="Times New Roman" w:hAnsi="Times New Roman"/>
        </w:rPr>
        <w:t xml:space="preserve">Navrhuje sa stanoviť účinnosť zákona </w:t>
      </w:r>
      <w:r w:rsidR="00FA0A19">
        <w:rPr>
          <w:rFonts w:ascii="Times New Roman" w:hAnsi="Times New Roman"/>
        </w:rPr>
        <w:t xml:space="preserve">na 1. </w:t>
      </w:r>
      <w:r>
        <w:rPr>
          <w:rFonts w:ascii="Times New Roman" w:hAnsi="Times New Roman"/>
        </w:rPr>
        <w:t>marca</w:t>
      </w:r>
      <w:r w:rsidR="00FA0A19">
        <w:rPr>
          <w:rFonts w:ascii="Times New Roman" w:hAnsi="Times New Roman"/>
        </w:rPr>
        <w:t xml:space="preserve"> 2018</w:t>
      </w:r>
      <w:r>
        <w:rPr>
          <w:rFonts w:ascii="Times New Roman" w:hAnsi="Times New Roman"/>
        </w:rPr>
        <w:t xml:space="preserve">. Vzhľadom na to, že zákon neprináša nové povinnosti fyzickým osobám, právnickým osobám, ani štátnym orgánom, nezavádza novú skutkovú podstatu trestného činu, ani nemení skutkovú podstatu </w:t>
      </w:r>
      <w:r w:rsidRPr="00027783">
        <w:rPr>
          <w:rFonts w:ascii="Times New Roman" w:hAnsi="Times New Roman"/>
        </w:rPr>
        <w:t>existujúceho trestného činu, iba robí jednoznačnejším výklad príslušného ustanovenia zákona v súlade s jeho už v súčasnosti predpokladaným účelom, nie je potrebné stanovovať dlhšiu legisvakačnú dobu</w:t>
      </w:r>
      <w:r>
        <w:rPr>
          <w:rFonts w:ascii="Times New Roman" w:hAnsi="Times New Roman"/>
        </w:rPr>
        <w:t>.</w:t>
      </w:r>
    </w:p>
    <w:p w:rsidR="007058E9" w:rsidP="00FA0A19">
      <w:pPr>
        <w:bidi w:val="0"/>
        <w:jc w:val="both"/>
        <w:rPr>
          <w:rFonts w:ascii="Times New Roman" w:hAnsi="Times New Roman"/>
        </w:rPr>
      </w:pPr>
    </w:p>
    <w:p w:rsidR="00FA0A19" w:rsidP="00FA0A19">
      <w:pPr>
        <w:bidi w:val="0"/>
        <w:ind w:firstLine="708"/>
        <w:jc w:val="both"/>
        <w:rPr>
          <w:rFonts w:ascii="Times New Roman" w:hAnsi="Times New Roman"/>
        </w:rPr>
      </w:pPr>
    </w:p>
    <w:p w:rsidR="00FA0A19" w:rsidP="00FA0A19">
      <w:pPr>
        <w:bidi w:val="0"/>
        <w:jc w:val="both"/>
        <w:rPr>
          <w:rFonts w:ascii="Times New Roman" w:hAnsi="Times New Roman"/>
        </w:rPr>
      </w:pPr>
    </w:p>
    <w:p w:rsidR="00C13C53">
      <w:pPr>
        <w:bidi w:val="0"/>
        <w:rPr>
          <w:rFonts w:ascii="Times New Roman" w:hAnsi="Times New Roman"/>
        </w:rPr>
      </w:pPr>
    </w:p>
    <w:sectPr w:rsidSect="00FA0A1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F7A3A"/>
    <w:multiLevelType w:val="hybridMultilevel"/>
    <w:tmpl w:val="E3CA5CA8"/>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62DF4C5D"/>
    <w:multiLevelType w:val="hybridMultilevel"/>
    <w:tmpl w:val="A6024C8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A0A19"/>
    <w:rsid w:val="00027783"/>
    <w:rsid w:val="000357BA"/>
    <w:rsid w:val="00037878"/>
    <w:rsid w:val="0011012F"/>
    <w:rsid w:val="001674C9"/>
    <w:rsid w:val="00197513"/>
    <w:rsid w:val="00284627"/>
    <w:rsid w:val="002F529F"/>
    <w:rsid w:val="00305AAC"/>
    <w:rsid w:val="004149A2"/>
    <w:rsid w:val="004278D6"/>
    <w:rsid w:val="004346AC"/>
    <w:rsid w:val="004663BC"/>
    <w:rsid w:val="004D7EF1"/>
    <w:rsid w:val="005223C8"/>
    <w:rsid w:val="00556D85"/>
    <w:rsid w:val="0061193D"/>
    <w:rsid w:val="0067397F"/>
    <w:rsid w:val="006806E1"/>
    <w:rsid w:val="006D1D38"/>
    <w:rsid w:val="007058E9"/>
    <w:rsid w:val="00841B21"/>
    <w:rsid w:val="00923838"/>
    <w:rsid w:val="009529B3"/>
    <w:rsid w:val="0096463B"/>
    <w:rsid w:val="00964B83"/>
    <w:rsid w:val="009B4514"/>
    <w:rsid w:val="009B4998"/>
    <w:rsid w:val="00A81DAF"/>
    <w:rsid w:val="00A96ED0"/>
    <w:rsid w:val="00AD372A"/>
    <w:rsid w:val="00B35EA5"/>
    <w:rsid w:val="00B53DCA"/>
    <w:rsid w:val="00C050DB"/>
    <w:rsid w:val="00C0616B"/>
    <w:rsid w:val="00C13C53"/>
    <w:rsid w:val="00C66CA9"/>
    <w:rsid w:val="00C82091"/>
    <w:rsid w:val="00CA7D54"/>
    <w:rsid w:val="00CB4DA0"/>
    <w:rsid w:val="00DD4B68"/>
    <w:rsid w:val="00DD6FEA"/>
    <w:rsid w:val="00DE240A"/>
    <w:rsid w:val="00E83C0E"/>
    <w:rsid w:val="00EA1ABE"/>
    <w:rsid w:val="00EA5D6C"/>
    <w:rsid w:val="00EB56FD"/>
    <w:rsid w:val="00EC357E"/>
    <w:rsid w:val="00F110CA"/>
    <w:rsid w:val="00F140EE"/>
    <w:rsid w:val="00F21288"/>
    <w:rsid w:val="00F5575A"/>
    <w:rsid w:val="00FA0A1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A1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autoRedefine/>
    <w:uiPriority w:val="9"/>
    <w:qFormat/>
    <w:rsid w:val="00A81DAF"/>
    <w:pPr>
      <w:keepNext/>
      <w:ind w:left="720" w:hanging="360"/>
      <w:jc w:val="left"/>
      <w:outlineLvl w:val="0"/>
    </w:pPr>
    <w:rPr>
      <w:b/>
      <w:bCs/>
      <w:color w:val="4F81BD" w:themeColor="accent1" w:themeShade="FF"/>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A81DAF"/>
    <w:rPr>
      <w:rFonts w:cs="Times New Roman"/>
      <w:b/>
      <w:bCs/>
      <w:color w:val="4F81BD" w:themeColor="accent1" w:themeShade="FF"/>
      <w:sz w:val="40"/>
      <w:rtl w:val="0"/>
      <w:cs w:val="0"/>
      <w:lang w:val="x-none" w:eastAsia="sk-SK"/>
    </w:rPr>
  </w:style>
  <w:style w:type="paragraph" w:styleId="BodyText2">
    <w:name w:val="Body Text 2"/>
    <w:basedOn w:val="Normal"/>
    <w:link w:val="Zkladntext2Char"/>
    <w:uiPriority w:val="99"/>
    <w:rsid w:val="00FA0A19"/>
    <w:pPr>
      <w:jc w:val="center"/>
    </w:pPr>
    <w:rPr>
      <w:lang w:eastAsia="cs-CZ"/>
    </w:rPr>
  </w:style>
  <w:style w:type="character" w:customStyle="1" w:styleId="Zkladntext2Char">
    <w:name w:val="Základný text 2 Char"/>
    <w:basedOn w:val="DefaultParagraphFont"/>
    <w:link w:val="BodyText2"/>
    <w:uiPriority w:val="99"/>
    <w:locked/>
    <w:rsid w:val="00FA0A19"/>
    <w:rPr>
      <w:rFonts w:eastAsia="Times New Roman" w:cs="Times New Roman"/>
      <w:rtl w:val="0"/>
      <w:cs w:val="0"/>
      <w:lang w:val="x-none" w:eastAsia="cs-CZ"/>
    </w:rPr>
  </w:style>
  <w:style w:type="paragraph" w:styleId="NormalWeb">
    <w:name w:val="Normal (Web)"/>
    <w:basedOn w:val="Normal"/>
    <w:uiPriority w:val="99"/>
    <w:rsid w:val="00FA0A19"/>
    <w:pPr>
      <w:spacing w:before="100" w:beforeAutospacing="1" w:after="100" w:afterAutospacing="1"/>
      <w:jc w:val="left"/>
    </w:pPr>
  </w:style>
  <w:style w:type="paragraph" w:customStyle="1" w:styleId="listparagraph">
    <w:name w:val="listparagraph"/>
    <w:basedOn w:val="Normal"/>
    <w:uiPriority w:val="99"/>
    <w:rsid w:val="00FA0A19"/>
    <w:pPr>
      <w:ind w:left="720"/>
      <w:jc w:val="left"/>
    </w:pPr>
  </w:style>
  <w:style w:type="paragraph" w:styleId="ListParagraph0">
    <w:name w:val="List Paragraph"/>
    <w:basedOn w:val="Normal"/>
    <w:uiPriority w:val="34"/>
    <w:qFormat/>
    <w:rsid w:val="00FA0A19"/>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899</Words>
  <Characters>5183</Characters>
  <Application>Microsoft Office Word</Application>
  <DocSecurity>0</DocSecurity>
  <Lines>0</Lines>
  <Paragraphs>0</Paragraphs>
  <ScaleCrop>false</ScaleCrop>
  <Company>Kancelaria NR SR</Company>
  <LinksUpToDate>false</LinksUpToDate>
  <CharactersWithSpaces>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Odbor IT</dc:creator>
  <cp:lastModifiedBy>Odbor IT</cp:lastModifiedBy>
  <cp:revision>3</cp:revision>
  <dcterms:created xsi:type="dcterms:W3CDTF">2017-11-10T09:33:00Z</dcterms:created>
  <dcterms:modified xsi:type="dcterms:W3CDTF">2017-11-10T09:34:00Z</dcterms:modified>
</cp:coreProperties>
</file>