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171C" w:rsidRPr="00DC4085" w:rsidP="0092171C">
      <w:pPr>
        <w:bidi w:val="0"/>
        <w:jc w:val="left"/>
        <w:rPr>
          <w:rFonts w:ascii="Times New Roman" w:hAnsi="Times New Roman"/>
          <w:color w:val="000000" w:themeColor="tx1" w:themeShade="FF"/>
        </w:rPr>
        <w:sectPr w:rsidSect="001B5DA4">
          <w:headerReference w:type="even" r:id="rId4"/>
          <w:headerReference w:type="default" r:id="rId5"/>
          <w:footerReference w:type="default" r:id="rId6"/>
          <w:type w:val="continuous"/>
          <w:pgSz w:w="11906" w:h="16838"/>
          <w:pgMar w:top="1417" w:right="1417" w:bottom="1417" w:left="1417" w:header="708" w:footer="708" w:gutter="0"/>
          <w:lnNumType w:distance="0"/>
          <w:pgNumType w:start="357"/>
          <w:cols w:space="708"/>
          <w:noEndnote w:val="0"/>
          <w:bidi w:val="0"/>
          <w:docGrid w:linePitch="360"/>
        </w:sectPr>
      </w:pPr>
    </w:p>
    <w:p w:rsidR="00F46541" w:rsidRPr="00F46541" w:rsidP="00A73CCC">
      <w:pPr>
        <w:bidi w:val="0"/>
        <w:jc w:val="right"/>
        <w:rPr>
          <w:rFonts w:ascii="Times New Roman" w:hAnsi="Times New Roman"/>
          <w:color w:val="000000" w:themeColor="tx1" w:themeShade="FF"/>
        </w:rPr>
      </w:pPr>
      <w:r w:rsidRPr="00F46541" w:rsidR="00512B70">
        <w:rPr>
          <w:rFonts w:ascii="Times New Roman" w:hAnsi="Times New Roman"/>
          <w:color w:val="000000" w:themeColor="tx1" w:themeShade="FF"/>
        </w:rPr>
        <w:t>P</w:t>
      </w:r>
      <w:r w:rsidRPr="00F46541" w:rsidR="003C5786">
        <w:rPr>
          <w:rFonts w:ascii="Times New Roman" w:hAnsi="Times New Roman"/>
          <w:color w:val="000000" w:themeColor="tx1" w:themeShade="FF"/>
        </w:rPr>
        <w:t>r</w:t>
      </w:r>
      <w:r w:rsidRPr="00F46541">
        <w:rPr>
          <w:rFonts w:ascii="Times New Roman" w:hAnsi="Times New Roman"/>
          <w:color w:val="000000" w:themeColor="tx1" w:themeShade="FF"/>
        </w:rPr>
        <w:t>íloha č. 9</w:t>
      </w:r>
    </w:p>
    <w:p w:rsidR="00512B70" w:rsidRPr="00F46541" w:rsidP="00A73CCC">
      <w:pPr>
        <w:bidi w:val="0"/>
        <w:jc w:val="right"/>
        <w:rPr>
          <w:rFonts w:ascii="Times New Roman" w:hAnsi="Times New Roman"/>
          <w:color w:val="000000" w:themeColor="tx1" w:themeShade="FF"/>
        </w:rPr>
      </w:pPr>
      <w:r w:rsidRPr="00F46541">
        <w:rPr>
          <w:rFonts w:ascii="Times New Roman" w:hAnsi="Times New Roman"/>
          <w:color w:val="000000" w:themeColor="tx1" w:themeShade="FF"/>
        </w:rPr>
        <w:t xml:space="preserve"> k </w:t>
      </w:r>
      <w:r w:rsidRPr="00F46541" w:rsidR="00926255">
        <w:rPr>
          <w:rFonts w:ascii="Times New Roman" w:hAnsi="Times New Roman"/>
          <w:color w:val="000000" w:themeColor="tx1" w:themeShade="FF"/>
        </w:rPr>
        <w:t>zákonu</w:t>
      </w:r>
      <w:r w:rsidRPr="00F46541">
        <w:rPr>
          <w:rFonts w:ascii="Times New Roman" w:hAnsi="Times New Roman"/>
          <w:color w:val="000000" w:themeColor="tx1" w:themeShade="FF"/>
        </w:rPr>
        <w:t xml:space="preserve"> č. …/</w:t>
      </w:r>
      <w:r w:rsidRPr="00F46541" w:rsidR="00926255">
        <w:rPr>
          <w:rFonts w:ascii="Times New Roman" w:hAnsi="Times New Roman"/>
          <w:color w:val="000000" w:themeColor="tx1" w:themeShade="FF"/>
        </w:rPr>
        <w:t>2017</w:t>
      </w:r>
      <w:r w:rsidRPr="00F46541">
        <w:rPr>
          <w:rFonts w:ascii="Times New Roman" w:hAnsi="Times New Roman"/>
          <w:color w:val="000000" w:themeColor="tx1" w:themeShade="FF"/>
        </w:rPr>
        <w:t xml:space="preserve"> </w:t>
      </w:r>
      <w:r w:rsidRPr="00F46541" w:rsidR="003C5786">
        <w:rPr>
          <w:rFonts w:ascii="Times New Roman" w:hAnsi="Times New Roman"/>
          <w:color w:val="000000" w:themeColor="tx1" w:themeShade="FF"/>
        </w:rPr>
        <w:t>Z. z.</w:t>
      </w:r>
    </w:p>
    <w:p w:rsidR="00512B70" w:rsidRPr="00F46541" w:rsidP="00512B7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  <w:color w:val="000000" w:themeColor="tx1" w:themeShade="FF"/>
        </w:rPr>
      </w:pPr>
    </w:p>
    <w:p w:rsidR="00DC4085" w:rsidP="00512B7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DC4085" w:rsidRPr="00F4161B" w:rsidP="00DC408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aps/>
        </w:rPr>
      </w:pPr>
      <w:r w:rsidRPr="00F4161B">
        <w:rPr>
          <w:rFonts w:ascii="Times New Roman" w:hAnsi="Times New Roman"/>
          <w:b/>
          <w:bCs/>
          <w:caps/>
        </w:rPr>
        <w:t>Požiadavky na rozsah skúšok stability zdrojov ionizujúceho žiarenia</w:t>
      </w:r>
    </w:p>
    <w:p w:rsidR="00EF47A0" w:rsidRPr="00DC4085" w:rsidP="00512B7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C34A46" w:rsidRPr="00DC4085" w:rsidP="00DC4085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ascii="Times New Roman" w:hAnsi="Times New Roman"/>
          <w:b/>
          <w:bCs/>
          <w:color w:val="000000" w:themeColor="tx1" w:themeShade="FF"/>
        </w:rPr>
      </w:pPr>
      <w:r w:rsidRPr="00DC4085">
        <w:rPr>
          <w:rFonts w:ascii="Times New Roman" w:hAnsi="Times New Roman"/>
          <w:b/>
          <w:bCs/>
          <w:color w:val="000000" w:themeColor="tx1" w:themeShade="FF"/>
        </w:rPr>
        <w:t xml:space="preserve">Interval skúšok stability </w:t>
      </w:r>
      <w:r w:rsidR="00F7267F">
        <w:rPr>
          <w:rFonts w:ascii="Times New Roman" w:hAnsi="Times New Roman"/>
          <w:b/>
          <w:bCs/>
          <w:color w:val="000000" w:themeColor="tx1" w:themeShade="FF"/>
        </w:rPr>
        <w:t>zariadenia na lekárske ožiarenie</w:t>
      </w:r>
      <w:r w:rsidRPr="00DC4085" w:rsidR="006D0185">
        <w:rPr>
          <w:rFonts w:ascii="Times New Roman" w:hAnsi="Times New Roman"/>
          <w:b/>
          <w:bCs/>
          <w:color w:val="000000" w:themeColor="tx1" w:themeShade="FF"/>
        </w:rPr>
        <w:t>,</w:t>
      </w:r>
      <w:r w:rsidR="00DC4085">
        <w:rPr>
          <w:rFonts w:ascii="Times New Roman" w:hAnsi="Times New Roman"/>
          <w:b/>
          <w:bCs/>
          <w:color w:val="000000" w:themeColor="tx1" w:themeShade="FF"/>
        </w:rPr>
        <w:t xml:space="preserve"> </w:t>
      </w:r>
      <w:r w:rsidRPr="00DC4085" w:rsidR="006D0185">
        <w:rPr>
          <w:rFonts w:ascii="Times New Roman" w:hAnsi="Times New Roman"/>
          <w:b/>
          <w:bCs/>
          <w:color w:val="000000" w:themeColor="tx1" w:themeShade="FF"/>
        </w:rPr>
        <w:t>pridružen</w:t>
      </w:r>
      <w:r w:rsidRPr="00DC4085" w:rsidR="003934B7">
        <w:rPr>
          <w:rFonts w:ascii="Times New Roman" w:hAnsi="Times New Roman"/>
          <w:b/>
          <w:bCs/>
          <w:color w:val="000000" w:themeColor="tx1" w:themeShade="FF"/>
        </w:rPr>
        <w:t>ého zariadenia</w:t>
      </w:r>
      <w:r w:rsidRPr="00DC4085" w:rsidR="006D0185">
        <w:rPr>
          <w:rFonts w:ascii="Times New Roman" w:hAnsi="Times New Roman"/>
          <w:b/>
          <w:bCs/>
          <w:color w:val="000000" w:themeColor="tx1" w:themeShade="FF"/>
        </w:rPr>
        <w:t xml:space="preserve"> a</w:t>
      </w:r>
      <w:r w:rsidRPr="00DC4085" w:rsidR="003934B7">
        <w:rPr>
          <w:rFonts w:ascii="Times New Roman" w:hAnsi="Times New Roman"/>
          <w:b/>
          <w:bCs/>
          <w:color w:val="000000" w:themeColor="tx1" w:themeShade="FF"/>
        </w:rPr>
        <w:t> </w:t>
      </w:r>
      <w:r w:rsidRPr="00DC4085" w:rsidR="006D0185">
        <w:rPr>
          <w:rFonts w:ascii="Times New Roman" w:hAnsi="Times New Roman"/>
          <w:b/>
          <w:bCs/>
          <w:color w:val="000000" w:themeColor="tx1" w:themeShade="FF"/>
        </w:rPr>
        <w:t>príslušenstva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6590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lrTb"/>
            <w:vAlign w:val="center"/>
          </w:tcPr>
          <w:p w:rsidR="006D0185" w:rsidRPr="00DC4085" w:rsidP="003934B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  <w:highlight w:val="lightGray"/>
              </w:rPr>
            </w:pPr>
            <w:r w:rsidRPr="00DC4085"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</w:rPr>
              <w:t xml:space="preserve">Typ </w:t>
            </w:r>
            <w:r w:rsidRPr="00F7267F" w:rsidR="00F7267F">
              <w:rPr>
                <w:rFonts w:ascii="Times New Roman" w:hAnsi="Times New Roman"/>
                <w:b/>
                <w:bCs/>
                <w:color w:val="000000"/>
              </w:rPr>
              <w:t>zariadenia na lekárske ožiarenie</w:t>
            </w:r>
            <w:r w:rsidRPr="00DC4085"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</w:rPr>
              <w:t xml:space="preserve">, pridruženého zariadenia </w:t>
            </w:r>
            <w:r w:rsidR="00391EB2"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</w:rPr>
              <w:t xml:space="preserve">                      </w:t>
            </w:r>
            <w:r w:rsidRPr="00DC4085"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</w:rPr>
              <w:t>a príslušenstva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lrTb"/>
            <w:vAlign w:val="top"/>
          </w:tcPr>
          <w:p w:rsidR="006D0185" w:rsidRPr="00DC4085" w:rsidP="00391E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  <w:highlight w:val="lightGray"/>
              </w:rPr>
            </w:pPr>
            <w:r w:rsidR="002C5FAE"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</w:rPr>
              <w:t>Početnosť</w:t>
            </w:r>
            <w:r w:rsidRPr="00DC4085"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</w:rPr>
              <w:t xml:space="preserve"> vykonávania </w:t>
            </w:r>
            <w:r w:rsidR="00391EB2"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</w:rPr>
              <w:t>pravidelných</w:t>
            </w:r>
            <w:r w:rsidRPr="00DC4085">
              <w:rPr>
                <w:rFonts w:ascii="Times New Roman" w:hAnsi="Times New Roman"/>
                <w:b/>
                <w:bCs/>
                <w:color w:val="000000" w:themeColor="tx1" w:themeShade="FF"/>
                <w:sz w:val="22"/>
                <w:szCs w:val="22"/>
              </w:rPr>
              <w:t xml:space="preserve"> skúšok stability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K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lasické röntgenové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prístroje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pre skiagrafiu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K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lasické röntgenové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skiaskopiu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D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igitálne röntgenové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pre skiagrafiu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D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igitálne röntgenové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skiaskopiu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I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ntraorálne stomatologické röntgenové prístroje (film)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I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ntraorálne stomatologické röntgenové prístroje s RVG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K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lasické panoramatické stomatologické röntgenové prístroje (film)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D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igitálne panoramatické stomatologické röntgenové prístroje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S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tomatologické CBCT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prístroje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K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lasické a digitálne pojazdné a prenosné röntgenové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skiagrafiu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K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lasické a digitálne pojazdné röntgenové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skiaskopiu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K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lasické a digitálne röntgenové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mamografiu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 w:rsidR="00B5351A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 6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počítačovú tomografiu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 w:rsidR="00B5351A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 6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391EB2" w:rsidR="00391EB2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digitálnu substrakčnú angiografiu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 w:rsid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 6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391EB2" w:rsidR="00391EB2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intervenčnú rádiológiu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 w:rsidR="00B5351A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391EB2" w:rsidR="00391EB2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kostnú denzitometriu (celotelové)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391EB2" w:rsidR="00391EB2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kostnú denzitometriu (periférne)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vanish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V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yvolávacie automaty</w:t>
            </w:r>
          </w:p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ab/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N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egatoskopy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S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kiagrafické kazety a meniče filmov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S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vetlotesnosť tmavých komôr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185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O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chranné tienenia, bariéry a</w:t>
            </w:r>
            <w:r w:rsidR="00CD31B8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 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zariadenia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36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2480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O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žarovacie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externú terapiu gama žiarením (Co-60, Cs-137)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2480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 6 mesiacov</w:t>
            </w:r>
            <w:r w:rsidRPr="001529D3" w:rsidR="005F0E82">
              <w:rPr>
                <w:rFonts w:ascii="Times New Roman" w:hAnsi="Times New Roman"/>
                <w:color w:val="000000" w:themeColor="tx1" w:themeShade="FF"/>
                <w:szCs w:val="24"/>
                <w:vertAlign w:val="superscript"/>
              </w:rPr>
              <w:t xml:space="preserve"> 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2480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O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žarovacie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brachyterapiu s afterloading systémom (HDR, LDR)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2480" w:rsidRPr="001529D3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Cs w:val="24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 </w:t>
            </w:r>
            <w:r w:rsidRPr="005F0E82" w:rsidR="005F0E82">
              <w:rPr>
                <w:rFonts w:ascii="Times New Roman" w:hAnsi="Times New Roman"/>
                <w:color w:val="000000"/>
                <w:sz w:val="22"/>
                <w:szCs w:val="22"/>
              </w:rPr>
              <w:t>6 mesiacov</w:t>
            </w:r>
            <w:r w:rsidRPr="005F0E82" w:rsidR="005F0E82">
              <w:rPr>
                <w:rFonts w:ascii="Times New Roman" w:hAnsi="Times New Roman"/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2480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L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ineárny urýchľovač pre rádioterapiu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2480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 6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391EB2" w:rsidR="00391EB2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externú rádioterapiu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391EB2" w:rsidR="00391EB2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öntgenový simulátor pre plánovanie rádioterapie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öntgenové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kontaktnú rádioterapiu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lánovací systém pre plánovanie rádioterapie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579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eradlá aktivity rádiofarmák (kalibrátory)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J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ednodetektorové prístroje na meranie in vivo (pre nescintigrafické vyšetrenia)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V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iacdetektorové prístroje na meranie in vivo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lanárne scintilačné gama kamery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jednofotónovú emisnú tomografiu - SPECT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pre pozitrónovú emisnú tomografiu - PET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K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ombinované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SPECT/CT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K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ombinované </w:t>
            </w:r>
            <w:r w:rsidRPr="00DC4085" w:rsidR="003934B7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prístroje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PET/CT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391E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rístroje na dozimetriu (meradlá povrchovej kontaminácie, dávok a dávkového príkonu, operatívne dozimetre a pod</w:t>
            </w: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obne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5351A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5000" w:type="pct"/>
          <w:tblCellMar>
            <w:left w:w="70" w:type="dxa"/>
            <w:right w:w="70" w:type="dxa"/>
          </w:tblCellMar>
        </w:tblPrEx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3A11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V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eterinárne röntgenové prístroje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3A11" w:rsidRPr="00DC4085" w:rsidP="001529D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3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</w:tbl>
    <w:p w:rsidR="00C455FF" w:rsidRPr="00DC4085" w:rsidP="00512B70">
      <w:pPr>
        <w:bidi w:val="0"/>
        <w:jc w:val="center"/>
        <w:rPr>
          <w:rFonts w:ascii="Times New Roman" w:hAnsi="Times New Roman"/>
          <w:b/>
          <w:bCs/>
          <w:iCs/>
          <w:color w:val="000000" w:themeColor="tx1" w:themeShade="FF"/>
          <w:sz w:val="20"/>
          <w:lang w:eastAsia="zh-CN"/>
        </w:rPr>
      </w:pPr>
    </w:p>
    <w:p w:rsidR="00512B70" w:rsidRPr="00DC4085" w:rsidP="00DC4085">
      <w:pPr>
        <w:numPr>
          <w:numId w:val="7"/>
        </w:numPr>
        <w:suppressAutoHyphens/>
        <w:bidi w:val="0"/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</w:pPr>
      <w:r w:rsidRPr="00DC4085" w:rsidR="000C7D91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Interval skúšok s</w:t>
      </w:r>
      <w:r w:rsidRP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tability uzav</w:t>
      </w:r>
      <w:r w:rsidRPr="00DC4085" w:rsidR="000C7D91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retého </w:t>
      </w:r>
      <w:r w:rsidRPr="00DC4085" w:rsidR="003934B7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žiariča</w:t>
      </w:r>
      <w:r w:rsidRP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,</w:t>
      </w:r>
      <w:r w:rsidRPr="00DC4085" w:rsid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 </w:t>
      </w:r>
      <w:r w:rsidRPr="00DC4085" w:rsidR="000C7D91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pri ktorom </w:t>
      </w:r>
      <w:r w:rsidRP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neuplynula </w:t>
      </w:r>
      <w:r w:rsidRPr="00DC4085" w:rsidR="000C7D91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odporúčaná </w:t>
      </w:r>
      <w:r w:rsidRP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doba použív</w:t>
      </w:r>
      <w:r w:rsidRPr="00DC4085" w:rsidR="000C7D91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ania</w:t>
      </w:r>
    </w:p>
    <w:tbl>
      <w:tblPr>
        <w:tblStyle w:val="TableNormal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418"/>
        <w:gridCol w:w="1418"/>
        <w:gridCol w:w="1418"/>
      </w:tblGrid>
      <w:tr>
        <w:tblPrEx>
          <w:tblW w:w="91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512B70" w:rsidRPr="00DC4085" w:rsidP="002C5FA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 xml:space="preserve">Typ </w:t>
            </w:r>
            <w:r w:rsidRPr="00DC4085">
              <w:rPr>
                <w:rFonts w:ascii="Times New Roman" w:hAnsi="Times New Roman" w:cs="Calibri"/>
                <w:b/>
                <w:color w:val="000000" w:themeColor="tx1" w:themeShade="FF"/>
                <w:sz w:val="22"/>
                <w:szCs w:val="22"/>
              </w:rPr>
              <w:t>uzav</w:t>
            </w:r>
            <w:r w:rsidRPr="00DC4085" w:rsidR="00D42200">
              <w:rPr>
                <w:rFonts w:ascii="Times New Roman" w:hAnsi="Times New Roman" w:cs="Calibri"/>
                <w:b/>
                <w:color w:val="000000" w:themeColor="tx1" w:themeShade="FF"/>
                <w:sz w:val="22"/>
                <w:szCs w:val="22"/>
              </w:rPr>
              <w:t xml:space="preserve">retého </w:t>
            </w:r>
            <w:r w:rsidRPr="00DC4085" w:rsidR="003934B7">
              <w:rPr>
                <w:rFonts w:ascii="Times New Roman" w:hAnsi="Times New Roman" w:cs="Calibri"/>
                <w:b/>
                <w:color w:val="000000" w:themeColor="tx1" w:themeShade="FF"/>
                <w:sz w:val="22"/>
                <w:szCs w:val="22"/>
              </w:rPr>
              <w:t>žiariča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512B70" w:rsidRPr="00DC4085" w:rsidP="003934B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>Podm</w:t>
            </w:r>
            <w:r w:rsidRPr="00DC4085" w:rsidR="000C7D91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 xml:space="preserve">ienky </w:t>
            </w:r>
            <w:r w:rsidRPr="00DC4085" w:rsidR="003934B7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>používania</w:t>
            </w:r>
          </w:p>
        </w:tc>
      </w:tr>
      <w:tr>
        <w:tblPrEx>
          <w:tblW w:w="9182" w:type="dxa"/>
          <w:tblLayout w:type="fixed"/>
          <w:tblLook w:val="00A0"/>
        </w:tblPrEx>
        <w:trPr>
          <w:tblHeader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512B70" w:rsidRPr="00695C44" w:rsidP="0074606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x1" w:themeShade="FF"/>
                <w:sz w:val="20"/>
              </w:rPr>
            </w:pPr>
            <w:r w:rsidRPr="00695C44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>Zm</w:t>
            </w:r>
            <w:r w:rsidRPr="00695C44" w:rsidR="000C7D91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>iernené</w:t>
            </w:r>
            <w:r w:rsidR="00746068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 xml:space="preserve"> </w:t>
            </w:r>
            <w:r w:rsidRPr="00746068" w:rsidR="00746068">
              <w:rPr>
                <w:rFonts w:ascii="Times New Roman" w:hAnsi="Times New Roman"/>
                <w:b/>
                <w:color w:val="000000" w:themeColor="tx1" w:themeShade="FF"/>
                <w:sz w:val="20"/>
                <w:vertAlign w:val="superscript"/>
              </w:rPr>
              <w:t>b</w:t>
            </w:r>
            <w:r w:rsidRPr="00695C44" w:rsidR="00695C44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512B70" w:rsidRPr="00695C44" w:rsidP="0074606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x1" w:themeShade="FF"/>
                <w:sz w:val="20"/>
              </w:rPr>
            </w:pPr>
            <w:r w:rsidRPr="00695C44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>B</w:t>
            </w:r>
            <w:r w:rsidRPr="00695C44" w:rsidR="000C7D91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>ežné</w:t>
            </w:r>
            <w:r w:rsidRPr="00695C44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 xml:space="preserve"> </w:t>
            </w:r>
            <w:r w:rsidRPr="00746068" w:rsidR="00746068">
              <w:rPr>
                <w:rFonts w:ascii="Times New Roman" w:hAnsi="Times New Roman"/>
                <w:b/>
                <w:color w:val="000000" w:themeColor="tx1" w:themeShade="FF"/>
                <w:sz w:val="20"/>
                <w:vertAlign w:val="superscript"/>
                <w:lang w:val="en-US"/>
              </w:rPr>
              <w:t>c</w:t>
            </w:r>
            <w:r w:rsidRPr="00695C44" w:rsidR="00695C44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512B70" w:rsidRPr="00695C44" w:rsidP="0074606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x1" w:themeShade="FF"/>
                <w:sz w:val="20"/>
              </w:rPr>
            </w:pPr>
            <w:r w:rsidRPr="00695C44" w:rsidR="000C7D91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>Sťažené</w:t>
            </w:r>
            <w:r w:rsidRPr="00695C44" w:rsidR="00695C44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 xml:space="preserve"> </w:t>
            </w:r>
            <w:r w:rsidRPr="00746068" w:rsidR="00746068">
              <w:rPr>
                <w:rFonts w:ascii="Times New Roman" w:hAnsi="Times New Roman"/>
                <w:b/>
                <w:color w:val="000000" w:themeColor="tx1" w:themeShade="FF"/>
                <w:sz w:val="20"/>
                <w:vertAlign w:val="superscript"/>
              </w:rPr>
              <w:t>d</w:t>
            </w:r>
            <w:r w:rsidRPr="00695C44" w:rsidR="00695C44">
              <w:rPr>
                <w:rFonts w:ascii="Times New Roman" w:hAnsi="Times New Roman"/>
                <w:b/>
                <w:color w:val="000000" w:themeColor="tx1" w:themeShade="FF"/>
                <w:sz w:val="20"/>
              </w:rPr>
              <w:t>)</w:t>
            </w:r>
          </w:p>
        </w:tc>
      </w:tr>
      <w:tr>
        <w:tblPrEx>
          <w:tblW w:w="9182" w:type="dxa"/>
          <w:tblLayout w:type="fixed"/>
          <w:tblLook w:val="00A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Plošný uzav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retý </w:t>
            </w:r>
            <w:r w:rsidRPr="00DC4085" w:rsidR="00A509D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žiarič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emituj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ú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c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i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žiarenie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alfa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5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36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mesiacov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12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mesiacov</w:t>
            </w:r>
          </w:p>
        </w:tc>
      </w:tr>
      <w:tr>
        <w:tblPrEx>
          <w:tblW w:w="9182" w:type="dxa"/>
          <w:tblLayout w:type="fixed"/>
          <w:tblLook w:val="00A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Plošný uzav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retý </w:t>
            </w:r>
            <w:r w:rsidRPr="00DC4085" w:rsidR="00A509D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žiarič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emituj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úci žiarenie beta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s aktivitou vyšš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ou ako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40 MBq/cm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10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5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24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mesiacov</w:t>
            </w:r>
          </w:p>
        </w:tc>
      </w:tr>
      <w:tr>
        <w:tblPrEx>
          <w:tblW w:w="9182" w:type="dxa"/>
          <w:tblLayout w:type="fixed"/>
          <w:tblLook w:val="00A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Plošný uzav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retý </w:t>
            </w:r>
            <w:r w:rsidRPr="00DC4085" w:rsidR="00A509D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žiarič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emituj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úci žiarenie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beta s aktivitou nižš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ou ako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40 MBq/cm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  <w:vertAlign w:val="superscript"/>
              </w:rPr>
              <w:t>2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a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 hrubším prekry</w:t>
            </w:r>
            <w:r w:rsidRPr="00DC4085" w:rsidR="00EF47A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t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15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10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36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mesiacov</w:t>
            </w:r>
          </w:p>
        </w:tc>
      </w:tr>
      <w:tr>
        <w:tblPrEx>
          <w:tblW w:w="9182" w:type="dxa"/>
          <w:tblLayout w:type="fixed"/>
          <w:tblLook w:val="00A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Jednoplášťový </w:t>
            </w:r>
            <w:r w:rsidRPr="00DC4085"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  <w:t>uzav</w:t>
            </w:r>
            <w:r w:rsidRPr="00DC4085" w:rsidR="00D42200"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  <w:t xml:space="preserve">retý </w:t>
            </w:r>
            <w:r w:rsidRPr="00DC4085" w:rsidR="00A509D9"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  <w:t>žiarič</w:t>
            </w:r>
            <w:r w:rsidRPr="00DC4085"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  <w:t xml:space="preserve">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emituj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úci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žiarenie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gama 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s 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nižš</w:t>
            </w:r>
            <w:r w:rsidRPr="00DC4085" w:rsidR="00D42200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ou aktivitou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15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10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36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mesiacov</w:t>
            </w:r>
          </w:p>
        </w:tc>
      </w:tr>
      <w:tr>
        <w:tblPrEx>
          <w:tblW w:w="9182" w:type="dxa"/>
          <w:tblLayout w:type="fixed"/>
          <w:tblLook w:val="00A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Dvo</w:t>
            </w:r>
            <w:r w:rsidRPr="00DC4085" w:rsidR="00425FBD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jplášťový uzavretý </w:t>
            </w:r>
            <w:r w:rsidRPr="00DC4085" w:rsidR="00A509D9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žiarič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15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10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36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mesiacov</w:t>
            </w:r>
          </w:p>
        </w:tc>
      </w:tr>
      <w:tr>
        <w:tblPrEx>
          <w:tblW w:w="9182" w:type="dxa"/>
          <w:tblLayout w:type="fixed"/>
          <w:tblLook w:val="00A0"/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Uzav</w:t>
            </w:r>
            <w:r w:rsidRPr="00DC4085" w:rsidR="00425FBD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retý </w:t>
            </w:r>
            <w:r w:rsidRPr="00DC4085" w:rsidR="0027631F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žiarič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 emituj</w:t>
            </w:r>
            <w:r w:rsidRPr="00DC4085" w:rsidR="00425FBD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úci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nízkoenergetické fot</w:t>
            </w:r>
            <w:r w:rsidRPr="00DC4085" w:rsidR="00425FBD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ó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10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5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rokov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24 </w:t>
            </w:r>
            <w:r w:rsidRPr="00DC4085" w:rsidR="000C7D9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mesiacov</w:t>
            </w:r>
          </w:p>
        </w:tc>
      </w:tr>
    </w:tbl>
    <w:p w:rsidR="00512B70" w:rsidRPr="00746068" w:rsidP="00512B70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709" w:hanging="709"/>
        <w:rPr>
          <w:rFonts w:ascii="Times New Roman" w:hAnsi="Times New Roman" w:cs="Calibri"/>
          <w:color w:val="000000" w:themeColor="tx1" w:themeShade="FF"/>
          <w:sz w:val="20"/>
        </w:rPr>
      </w:pPr>
      <w:r w:rsidRPr="00746068" w:rsidR="00746068">
        <w:rPr>
          <w:rFonts w:ascii="Times New Roman" w:hAnsi="Times New Roman" w:cs="Calibri"/>
          <w:color w:val="000000" w:themeColor="tx1" w:themeShade="FF"/>
          <w:sz w:val="20"/>
        </w:rPr>
        <w:t>Poznámky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:</w:t>
      </w:r>
    </w:p>
    <w:p w:rsidR="00512B70" w:rsidRPr="00746068" w:rsidP="00746068">
      <w:pPr>
        <w:widowControl w:val="0"/>
        <w:autoSpaceDE w:val="0"/>
        <w:autoSpaceDN w:val="0"/>
        <w:bidi w:val="0"/>
        <w:adjustRightInd w:val="0"/>
        <w:ind w:left="284" w:hanging="284"/>
        <w:rPr>
          <w:rFonts w:ascii="Times New Roman" w:hAnsi="Times New Roman" w:cs="Calibri"/>
          <w:color w:val="000000" w:themeColor="tx1" w:themeShade="FF"/>
          <w:sz w:val="20"/>
        </w:rPr>
      </w:pPr>
      <w:r w:rsidRPr="00746068" w:rsidR="00746068">
        <w:rPr>
          <w:rFonts w:ascii="Times New Roman" w:hAnsi="Times New Roman"/>
          <w:color w:val="000000"/>
          <w:sz w:val="20"/>
          <w:vertAlign w:val="superscript"/>
        </w:rPr>
        <w:t>b</w:t>
      </w:r>
      <w:r w:rsidRPr="00746068" w:rsidR="00746068">
        <w:rPr>
          <w:rFonts w:ascii="Times New Roman" w:hAnsi="Times New Roman"/>
          <w:color w:val="000000"/>
          <w:sz w:val="20"/>
        </w:rPr>
        <w:t>)</w:t>
      </w:r>
      <w:r w:rsidRPr="00746068" w:rsidR="00695C44">
        <w:rPr>
          <w:rFonts w:ascii="Times New Roman" w:hAnsi="Times New Roman"/>
          <w:color w:val="000000"/>
          <w:sz w:val="20"/>
        </w:rPr>
        <w:t xml:space="preserve"> </w:t>
      </w:r>
      <w:r w:rsidR="002C5FAE">
        <w:rPr>
          <w:rFonts w:ascii="Times New Roman" w:hAnsi="Times New Roman"/>
          <w:color w:val="000000"/>
          <w:sz w:val="20"/>
        </w:rPr>
        <w:t>z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m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iernené podmienky </w:t>
      </w:r>
      <w:r w:rsidRPr="00746068" w:rsidR="003934B7">
        <w:rPr>
          <w:rFonts w:ascii="Times New Roman" w:hAnsi="Times New Roman" w:cs="Calibri"/>
          <w:color w:val="000000" w:themeColor="tx1" w:themeShade="FF"/>
          <w:sz w:val="20"/>
        </w:rPr>
        <w:t>používania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(neagres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ívne prostredie v 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nep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rístupnom priestore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, bez rizika</w:t>
      </w:r>
      <w:r w:rsidR="00746068">
        <w:rPr>
          <w:rFonts w:ascii="Times New Roman" w:hAnsi="Times New Roman" w:cs="Calibri"/>
          <w:color w:val="000000" w:themeColor="tx1" w:themeShade="FF"/>
          <w:sz w:val="20"/>
        </w:rPr>
        <w:t xml:space="preserve"> </w:t>
      </w:r>
      <w:r w:rsidRPr="00746068" w:rsidR="00695C44">
        <w:rPr>
          <w:rFonts w:ascii="Times New Roman" w:hAnsi="Times New Roman"/>
          <w:color w:val="000000"/>
          <w:sz w:val="20"/>
        </w:rPr>
        <w:t xml:space="preserve">        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 xml:space="preserve"> </w:t>
      </w:r>
      <w:r w:rsidRPr="00746068" w:rsidR="00695C44">
        <w:rPr>
          <w:rFonts w:ascii="Times New Roman" w:hAnsi="Times New Roman" w:cs="Calibri"/>
          <w:color w:val="000000" w:themeColor="tx1" w:themeShade="FF"/>
          <w:sz w:val="20"/>
        </w:rPr>
        <w:t xml:space="preserve"> 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mechanického poško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denia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, nap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ríklad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kontroln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é d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 xml:space="preserve">ozimetrické </w:t>
      </w:r>
      <w:r w:rsidRPr="00746068" w:rsidR="003934B7">
        <w:rPr>
          <w:rFonts w:ascii="Times New Roman" w:hAnsi="Times New Roman"/>
          <w:color w:val="000000" w:themeColor="tx1" w:themeShade="FF"/>
          <w:sz w:val="20"/>
        </w:rPr>
        <w:t>rádioaktívne žiariče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),</w:t>
      </w:r>
    </w:p>
    <w:p w:rsidR="00512B70" w:rsidRPr="00746068" w:rsidP="00746068">
      <w:pPr>
        <w:widowControl w:val="0"/>
        <w:autoSpaceDE w:val="0"/>
        <w:autoSpaceDN w:val="0"/>
        <w:bidi w:val="0"/>
        <w:adjustRightInd w:val="0"/>
        <w:ind w:left="284" w:hanging="284"/>
        <w:rPr>
          <w:rFonts w:ascii="Times New Roman" w:hAnsi="Times New Roman" w:cs="Calibri"/>
          <w:color w:val="000000" w:themeColor="tx1" w:themeShade="FF"/>
          <w:sz w:val="20"/>
        </w:rPr>
      </w:pPr>
      <w:r w:rsidRPr="002346FC" w:rsidR="00746068">
        <w:rPr>
          <w:rFonts w:ascii="Times New Roman" w:hAnsi="Times New Roman"/>
          <w:color w:val="000000"/>
          <w:sz w:val="20"/>
          <w:vertAlign w:val="superscript"/>
        </w:rPr>
        <w:t>c</w:t>
      </w:r>
      <w:r w:rsidRPr="00746068" w:rsidR="00746068">
        <w:rPr>
          <w:rFonts w:ascii="Times New Roman" w:hAnsi="Times New Roman"/>
          <w:color w:val="000000"/>
          <w:sz w:val="20"/>
        </w:rPr>
        <w:t>)</w:t>
      </w:r>
      <w:r w:rsidRPr="00746068" w:rsidR="00695C44">
        <w:rPr>
          <w:rFonts w:ascii="Times New Roman" w:hAnsi="Times New Roman"/>
          <w:color w:val="000000"/>
          <w:sz w:val="20"/>
        </w:rPr>
        <w:t xml:space="preserve"> </w:t>
      </w:r>
      <w:r w:rsidR="002C5FAE">
        <w:rPr>
          <w:rFonts w:ascii="Times New Roman" w:hAnsi="Times New Roman"/>
          <w:color w:val="000000"/>
          <w:sz w:val="20"/>
        </w:rPr>
        <w:t>b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ežné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podm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ienky </w:t>
      </w:r>
      <w:r w:rsidRPr="00746068" w:rsidR="003934B7">
        <w:rPr>
          <w:rFonts w:ascii="Times New Roman" w:hAnsi="Times New Roman" w:cs="Calibri"/>
          <w:color w:val="000000" w:themeColor="tx1" w:themeShade="FF"/>
          <w:sz w:val="20"/>
        </w:rPr>
        <w:t xml:space="preserve">používania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(pr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ie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mys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elné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neagres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ívne prostredie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, nap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rí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 xml:space="preserve">klad </w:t>
      </w:r>
      <w:r w:rsidRPr="00746068" w:rsidR="003934B7">
        <w:rPr>
          <w:rFonts w:ascii="Times New Roman" w:hAnsi="Times New Roman" w:cs="Calibri"/>
          <w:color w:val="000000" w:themeColor="tx1" w:themeShade="FF"/>
          <w:sz w:val="20"/>
        </w:rPr>
        <w:t xml:space="preserve">hladinomery, hustomery, </w:t>
      </w:r>
      <w:r w:rsidRPr="00746068" w:rsidR="00695C44">
        <w:rPr>
          <w:rFonts w:ascii="Times New Roman" w:hAnsi="Times New Roman" w:cs="Calibri"/>
          <w:color w:val="000000" w:themeColor="tx1" w:themeShade="FF"/>
          <w:sz w:val="20"/>
        </w:rPr>
        <w:t xml:space="preserve"> </w:t>
      </w:r>
      <w:r w:rsidRPr="00746068" w:rsidR="00695C44">
        <w:rPr>
          <w:rFonts w:ascii="Times New Roman" w:hAnsi="Times New Roman"/>
          <w:color w:val="000000"/>
          <w:sz w:val="20"/>
        </w:rPr>
        <w:t xml:space="preserve">           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eliminátory náboj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a al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 xml:space="preserve">ebo 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hrúbkomery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v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 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textiln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om,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pap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ie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rensk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o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m, plast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ovom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pr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iemysle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),</w:t>
      </w:r>
    </w:p>
    <w:p w:rsidR="00512B70" w:rsidRPr="00DC4085" w:rsidP="00746068">
      <w:pPr>
        <w:widowControl w:val="0"/>
        <w:autoSpaceDE w:val="0"/>
        <w:autoSpaceDN w:val="0"/>
        <w:bidi w:val="0"/>
        <w:adjustRightInd w:val="0"/>
        <w:ind w:left="284" w:hanging="284"/>
        <w:rPr>
          <w:rFonts w:ascii="Times New Roman" w:hAnsi="Times New Roman" w:cs="Calibri"/>
          <w:color w:val="000000" w:themeColor="tx1" w:themeShade="FF"/>
          <w:sz w:val="20"/>
        </w:rPr>
      </w:pPr>
      <w:r w:rsidRPr="00746068" w:rsidR="00746068">
        <w:rPr>
          <w:rFonts w:ascii="Times New Roman" w:hAnsi="Times New Roman"/>
          <w:color w:val="000000"/>
          <w:sz w:val="20"/>
          <w:vertAlign w:val="superscript"/>
        </w:rPr>
        <w:t>d</w:t>
      </w:r>
      <w:r w:rsidRPr="00746068" w:rsidR="00746068">
        <w:rPr>
          <w:rFonts w:ascii="Times New Roman" w:hAnsi="Times New Roman"/>
          <w:color w:val="000000"/>
          <w:sz w:val="20"/>
        </w:rPr>
        <w:t>)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 xml:space="preserve"> </w:t>
      </w:r>
      <w:r w:rsidR="002C5FAE">
        <w:rPr>
          <w:rFonts w:ascii="Times New Roman" w:hAnsi="Times New Roman" w:cs="Calibri"/>
          <w:color w:val="000000" w:themeColor="tx1" w:themeShade="FF"/>
          <w:sz w:val="20"/>
        </w:rPr>
        <w:t>s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ťa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žené podm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ien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 xml:space="preserve">ky </w:t>
      </w:r>
      <w:r w:rsidRPr="00746068" w:rsidR="003934B7">
        <w:rPr>
          <w:rFonts w:ascii="Times New Roman" w:hAnsi="Times New Roman" w:cs="Calibri"/>
          <w:color w:val="000000" w:themeColor="tx1" w:themeShade="FF"/>
          <w:sz w:val="20"/>
        </w:rPr>
        <w:t xml:space="preserve">používania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(agres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ívne p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rost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redie al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ebo zvýšené riziko mechanického poško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denia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 xml:space="preserve">, </w:t>
      </w:r>
      <w:r w:rsidRPr="00746068" w:rsidR="00695C44">
        <w:rPr>
          <w:rFonts w:ascii="Times New Roman" w:hAnsi="Times New Roman"/>
          <w:color w:val="000000"/>
          <w:sz w:val="20"/>
        </w:rPr>
        <w:t xml:space="preserve">            </w:t>
      </w:r>
      <w:r w:rsidRPr="00746068">
        <w:rPr>
          <w:rFonts w:ascii="Times New Roman" w:hAnsi="Times New Roman" w:cs="Calibri"/>
          <w:color w:val="000000" w:themeColor="tx1" w:themeShade="FF"/>
          <w:sz w:val="20"/>
        </w:rPr>
        <w:t>nap</w:t>
      </w:r>
      <w:r w:rsidRPr="00746068" w:rsidR="007F0A49">
        <w:rPr>
          <w:rFonts w:ascii="Times New Roman" w:hAnsi="Times New Roman" w:cs="Calibri"/>
          <w:color w:val="000000" w:themeColor="tx1" w:themeShade="FF"/>
          <w:sz w:val="20"/>
        </w:rPr>
        <w:t>ríklad</w:t>
      </w:r>
      <w:r w:rsidRPr="00DC4085" w:rsidR="007F0A49">
        <w:rPr>
          <w:rFonts w:ascii="Times New Roman" w:hAnsi="Times New Roman" w:cs="Calibri"/>
          <w:color w:val="000000" w:themeColor="tx1" w:themeShade="FF"/>
          <w:sz w:val="20"/>
        </w:rPr>
        <w:t xml:space="preserve"> gumárne</w:t>
      </w:r>
      <w:r w:rsidRPr="00DC4085">
        <w:rPr>
          <w:rFonts w:ascii="Times New Roman" w:hAnsi="Times New Roman" w:cs="Calibri"/>
          <w:color w:val="000000" w:themeColor="tx1" w:themeShade="FF"/>
          <w:sz w:val="20"/>
        </w:rPr>
        <w:t>).</w:t>
      </w:r>
    </w:p>
    <w:p w:rsidR="007F0A49" w:rsidRPr="00DC4085" w:rsidP="00746068">
      <w:pPr>
        <w:widowControl w:val="0"/>
        <w:tabs>
          <w:tab w:val="left" w:pos="426"/>
          <w:tab w:val="left" w:pos="567"/>
        </w:tabs>
        <w:autoSpaceDE w:val="0"/>
        <w:autoSpaceDN w:val="0"/>
        <w:bidi w:val="0"/>
        <w:adjustRightInd w:val="0"/>
        <w:ind w:left="284" w:hanging="284"/>
        <w:rPr>
          <w:rFonts w:ascii="Times New Roman" w:hAnsi="Times New Roman" w:cs="Calibri"/>
          <w:color w:val="000000" w:themeColor="tx1" w:themeShade="FF"/>
        </w:rPr>
        <w:sectPr w:rsidSect="005962AE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C455FF" w:rsidRPr="00DC4085" w:rsidP="00512B70">
      <w:pPr>
        <w:suppressAutoHyphens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0"/>
          <w:szCs w:val="23"/>
          <w:lang w:eastAsia="zh-CN"/>
        </w:rPr>
      </w:pPr>
    </w:p>
    <w:p w:rsidR="00512B70" w:rsidRPr="00DC4085" w:rsidP="001529D3">
      <w:pPr>
        <w:numPr>
          <w:numId w:val="7"/>
        </w:numPr>
        <w:suppressAutoHyphens/>
        <w:bidi w:val="0"/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</w:pPr>
      <w:r w:rsidRPr="00DC4085" w:rsidR="00E75DC3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Interval skúšok </w:t>
      </w:r>
      <w:r w:rsidRPr="00DC4085" w:rsidR="001F56D8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stability</w:t>
      </w:r>
      <w:r w:rsidRPr="00DC4085" w:rsidR="00E75DC3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 uzavretého </w:t>
      </w:r>
      <w:r w:rsidRPr="00DC4085" w:rsidR="003934B7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žiariča</w:t>
      </w:r>
      <w:r w:rsidRP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,</w:t>
      </w:r>
      <w:r w:rsidRPr="00DC4085" w:rsid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 </w:t>
      </w:r>
      <w:r w:rsidRPr="00DC4085" w:rsidR="00E75DC3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pri ktorom </w:t>
      </w:r>
      <w:r w:rsidRP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uplynula </w:t>
      </w:r>
      <w:r w:rsidRPr="00DC4085" w:rsidR="00E75DC3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odporúčaná </w:t>
      </w:r>
      <w:r w:rsidRP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doba použív</w:t>
      </w:r>
      <w:r w:rsidRPr="00DC4085" w:rsidR="00E75DC3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ania</w:t>
      </w:r>
    </w:p>
    <w:p w:rsidR="005962AE" w:rsidRPr="00DC4085" w:rsidP="003934B7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color w:val="000000" w:themeColor="tx1" w:themeShade="FF"/>
          <w:sz w:val="20"/>
        </w:rPr>
        <w:sectPr w:rsidSect="007F0A49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368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3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512B70" w:rsidRPr="00DC4085" w:rsidP="00CD31B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 xml:space="preserve">Typ </w:t>
            </w:r>
            <w:r w:rsidRPr="00DC4085">
              <w:rPr>
                <w:rFonts w:ascii="Times New Roman" w:hAnsi="Times New Roman" w:cs="Calibri"/>
                <w:b/>
                <w:color w:val="000000" w:themeColor="tx1" w:themeShade="FF"/>
                <w:sz w:val="22"/>
                <w:szCs w:val="22"/>
              </w:rPr>
              <w:t>uzav</w:t>
            </w:r>
            <w:r w:rsidRPr="00DC4085" w:rsidR="00187143">
              <w:rPr>
                <w:rFonts w:ascii="Times New Roman" w:hAnsi="Times New Roman" w:cs="Calibri"/>
                <w:b/>
                <w:color w:val="000000" w:themeColor="tx1" w:themeShade="FF"/>
                <w:sz w:val="22"/>
                <w:szCs w:val="22"/>
              </w:rPr>
              <w:t xml:space="preserve">retého </w:t>
            </w:r>
            <w:r w:rsidRPr="00DC4085" w:rsidR="003D37C0">
              <w:rPr>
                <w:rFonts w:ascii="Times New Roman" w:hAnsi="Times New Roman" w:cs="Calibri"/>
                <w:b/>
                <w:color w:val="000000" w:themeColor="tx1" w:themeShade="FF"/>
                <w:sz w:val="22"/>
                <w:szCs w:val="22"/>
              </w:rPr>
              <w:t>žiariča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512B70" w:rsidRPr="00DC4085" w:rsidP="00EF47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>Vše</w:t>
            </w:r>
            <w:r w:rsidRPr="00DC4085" w:rsidR="00E75DC3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>tky</w:t>
            </w:r>
            <w:r w:rsidRPr="00DC4085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 xml:space="preserve"> podm</w:t>
            </w:r>
            <w:r w:rsidRPr="00DC4085" w:rsidR="00E75DC3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>ienky</w:t>
            </w:r>
            <w:r w:rsidRPr="00DC4085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 xml:space="preserve"> </w:t>
            </w:r>
            <w:r w:rsidRPr="00DC4085" w:rsidR="00EF47A0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>používania</w:t>
            </w:r>
          </w:p>
        </w:tc>
      </w:tr>
      <w:tr>
        <w:tblPrEx>
          <w:tblW w:w="0" w:type="auto"/>
          <w:tblLayout w:type="fixed"/>
          <w:tblLook w:val="00A0"/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Jednoplášťový </w:t>
            </w:r>
            <w:r w:rsidRPr="00DC4085"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  <w:t>uzav</w:t>
            </w:r>
            <w:r w:rsidRPr="00DC4085" w:rsidR="00E75DC3"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  <w:t xml:space="preserve">retý </w:t>
            </w:r>
            <w:r w:rsidRPr="00DC4085" w:rsidR="003D37C0"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  <w:t>žiarič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12 m</w:t>
            </w:r>
            <w:r w:rsidRPr="00DC4085" w:rsidR="00E75DC3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esiacov</w:t>
            </w:r>
          </w:p>
        </w:tc>
      </w:tr>
      <w:tr>
        <w:tblPrEx>
          <w:tblW w:w="0" w:type="auto"/>
          <w:tblLayout w:type="fixed"/>
          <w:tblLook w:val="00A0"/>
        </w:tblPrEx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391EB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Dvo</w:t>
            </w:r>
            <w:r w:rsidRPr="00DC4085" w:rsidR="00E75DC3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j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plášťový </w:t>
            </w:r>
            <w:r w:rsidRPr="00DC4085" w:rsidR="00E75DC3"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  <w:t xml:space="preserve">uzavretý </w:t>
            </w:r>
            <w:r w:rsidRPr="00DC4085" w:rsidR="003D37C0"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  <w:t>žiarič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2B70" w:rsidRPr="00DC4085" w:rsidP="008B0F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24 </w:t>
            </w:r>
            <w:r w:rsidRPr="00DC4085" w:rsidR="00E75DC3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mesiacov</w:t>
            </w:r>
          </w:p>
        </w:tc>
      </w:tr>
    </w:tbl>
    <w:p w:rsidR="002346FC" w:rsidRPr="00DC4085" w:rsidP="00512B70">
      <w:pPr>
        <w:keepLines/>
        <w:bidi w:val="0"/>
        <w:rPr>
          <w:rFonts w:ascii="Times New Roman" w:hAnsi="Times New Roman"/>
          <w:color w:val="000000" w:themeColor="tx1" w:themeShade="FF"/>
        </w:rPr>
      </w:pPr>
    </w:p>
    <w:p w:rsidR="00EF47A0" w:rsidRPr="00DC4085" w:rsidP="00DC4085">
      <w:pPr>
        <w:numPr>
          <w:numId w:val="7"/>
        </w:numPr>
        <w:suppressAutoHyphens/>
        <w:bidi w:val="0"/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</w:pPr>
      <w:r w:rsidRP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Interval skúšok stability technických röntgenových prístrojov</w:t>
      </w:r>
      <w:r w:rsidR="007D23FB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 xml:space="preserve"> </w:t>
      </w:r>
      <w:r w:rsidRPr="00DC4085">
        <w:rPr>
          <w:rFonts w:ascii="Times New Roman" w:hAnsi="Times New Roman"/>
          <w:b/>
          <w:bCs/>
          <w:color w:val="000000" w:themeColor="tx1" w:themeShade="FF"/>
          <w:szCs w:val="24"/>
          <w:lang w:eastAsia="zh-CN"/>
        </w:rPr>
        <w:t>a generátorov ionizujúceho žiarenia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83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EF47A0" w:rsidRPr="00DC4085" w:rsidP="00EF47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 xml:space="preserve">Typ </w:t>
            </w:r>
            <w:r w:rsidRPr="00DC4085">
              <w:rPr>
                <w:rFonts w:ascii="Times New Roman" w:hAnsi="Times New Roman" w:cs="Calibri"/>
                <w:b/>
                <w:color w:val="000000" w:themeColor="tx1" w:themeShade="FF"/>
                <w:sz w:val="22"/>
                <w:szCs w:val="22"/>
              </w:rPr>
              <w:t>technického röntgenového prístroja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EF47A0" w:rsidRPr="00DC4085" w:rsidP="00791B3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b/>
                <w:color w:val="000000" w:themeColor="tx1" w:themeShade="FF"/>
                <w:sz w:val="22"/>
                <w:szCs w:val="22"/>
              </w:rPr>
              <w:t>Všetky podmienky použitia</w:t>
            </w:r>
          </w:p>
        </w:tc>
      </w:tr>
      <w:tr>
        <w:tblPrEx>
          <w:tblW w:w="0" w:type="auto"/>
          <w:tblLayout w:type="fixed"/>
          <w:tblLook w:val="00A0"/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5CF6" w:rsidRPr="00DC4085" w:rsidP="00C83A1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P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riemyselné urýchľovače častíc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5CF6" w:rsidRPr="00DC4085" w:rsidP="00F0555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0" w:type="auto"/>
          <w:tblLayout w:type="fixed"/>
          <w:tblLook w:val="00A0"/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3A11" w:rsidRPr="00DC4085" w:rsidP="0036171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U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rýchľovače častíc na vedeckovýskumné účely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83A11" w:rsidRPr="00DC4085" w:rsidP="0036171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24 mesiacov</w:t>
            </w:r>
          </w:p>
        </w:tc>
      </w:tr>
      <w:tr>
        <w:tblPrEx>
          <w:tblW w:w="0" w:type="auto"/>
          <w:tblLayout w:type="fixed"/>
          <w:tblLook w:val="00A0"/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47A0" w:rsidRPr="00DC4085" w:rsidP="00EF47A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T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echnický röntgenový prístroj pre defektoskopu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47A0" w:rsidRPr="00DC4085" w:rsidP="00791B3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36 mesiacov</w:t>
            </w:r>
          </w:p>
        </w:tc>
      </w:tr>
      <w:tr>
        <w:tblPrEx>
          <w:tblW w:w="0" w:type="auto"/>
          <w:tblLayout w:type="fixed"/>
          <w:tblLook w:val="00A0"/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47A0" w:rsidRPr="00DC4085" w:rsidP="00C83A1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cs="Calibri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M</w:t>
            </w:r>
            <w:r w:rsidRPr="00DC4085" w:rsidR="00C83A11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 xml:space="preserve">ikroštrukturálne röntgenové prístroje a 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technické röntgenové prístroje pre kontrolu kvality výrobkov a materiálov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47A0" w:rsidRPr="00DC4085" w:rsidP="00791B3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36 mesiacov</w:t>
            </w:r>
          </w:p>
        </w:tc>
      </w:tr>
      <w:tr>
        <w:tblPrEx>
          <w:tblW w:w="0" w:type="auto"/>
          <w:tblLayout w:type="fixed"/>
          <w:tblLook w:val="00A0"/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5CF6" w:rsidRPr="00DC4085" w:rsidP="000B7BE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R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öntgenové prístroje na kontrolu batožín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5CF6" w:rsidRPr="00DC4085" w:rsidP="000B7BE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36 mesiacov</w:t>
            </w:r>
          </w:p>
        </w:tc>
      </w:tr>
      <w:tr>
        <w:tblPrEx>
          <w:tblW w:w="0" w:type="auto"/>
          <w:tblLayout w:type="fixed"/>
          <w:tblLook w:val="00A0"/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5CF6" w:rsidRPr="00DC4085" w:rsidP="002A766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I</w:t>
            </w: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ónové implantátory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5CF6" w:rsidRPr="00DC4085" w:rsidP="002A766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36 mesiacov</w:t>
            </w:r>
          </w:p>
        </w:tc>
      </w:tr>
      <w:tr>
        <w:tblPrEx>
          <w:tblW w:w="0" w:type="auto"/>
          <w:tblLayout w:type="fixed"/>
          <w:tblLook w:val="00A0"/>
        </w:tblPrEx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47A0" w:rsidRPr="00DC4085" w:rsidP="00BB5CF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="00391EB2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L</w:t>
            </w:r>
            <w:r w:rsidRPr="00DC4085" w:rsidR="00BB5CF6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aboratórne röntgenfluorescenčné analyzátory a prístroje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47A0" w:rsidRPr="00DC4085" w:rsidP="00791B3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</w:pPr>
            <w:r w:rsidRPr="00DC4085" w:rsidR="00BB5CF6">
              <w:rPr>
                <w:rFonts w:ascii="Times New Roman" w:hAnsi="Times New Roman"/>
                <w:color w:val="000000" w:themeColor="tx1" w:themeShade="FF"/>
                <w:sz w:val="22"/>
                <w:szCs w:val="22"/>
              </w:rPr>
              <w:t>5 rokov</w:t>
            </w:r>
          </w:p>
        </w:tc>
      </w:tr>
    </w:tbl>
    <w:p w:rsidR="002346FC" w:rsidP="00CD31B8">
      <w:pPr>
        <w:suppressAutoHyphens/>
        <w:bidi w:val="0"/>
        <w:ind w:left="360"/>
        <w:rPr>
          <w:rFonts w:ascii="Times New Roman" w:hAnsi="Times New Roman"/>
          <w:b/>
          <w:bCs/>
          <w:color w:val="000000"/>
          <w:szCs w:val="24"/>
          <w:lang w:eastAsia="zh-CN"/>
        </w:rPr>
      </w:pPr>
    </w:p>
    <w:p w:rsidR="001529D3" w:rsidRPr="001529D3" w:rsidP="00C455FF">
      <w:pPr>
        <w:numPr>
          <w:numId w:val="7"/>
        </w:numPr>
        <w:suppressAutoHyphens/>
        <w:bidi w:val="0"/>
        <w:spacing w:after="120"/>
        <w:rPr>
          <w:rFonts w:ascii="Times New Roman" w:hAnsi="Times New Roman"/>
          <w:b/>
          <w:bCs/>
          <w:color w:val="000000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Cs w:val="24"/>
          <w:lang w:eastAsia="zh-CN"/>
        </w:rPr>
        <w:t xml:space="preserve">Overovanie tesnosti uzavretého </w:t>
      </w:r>
      <w:r w:rsidRPr="001529D3">
        <w:rPr>
          <w:rFonts w:ascii="Times New Roman" w:hAnsi="Times New Roman"/>
          <w:b/>
          <w:bCs/>
          <w:color w:val="000000"/>
          <w:szCs w:val="24"/>
          <w:lang w:eastAsia="zh-CN"/>
        </w:rPr>
        <w:t>žiar</w:t>
      </w:r>
      <w:r w:rsidR="002346FC">
        <w:rPr>
          <w:rFonts w:ascii="Times New Roman" w:hAnsi="Times New Roman"/>
          <w:b/>
          <w:bCs/>
          <w:color w:val="000000"/>
          <w:szCs w:val="24"/>
          <w:lang w:eastAsia="zh-CN"/>
        </w:rPr>
        <w:t>iča</w:t>
      </w:r>
    </w:p>
    <w:p w:rsidR="00DC620C" w:rsidRPr="00DC620C" w:rsidP="00C455FF">
      <w:pPr>
        <w:bidi w:val="0"/>
        <w:rPr>
          <w:rFonts w:ascii="Times New Roman" w:hAnsi="Times New Roman"/>
          <w:szCs w:val="24"/>
        </w:rPr>
      </w:pPr>
      <w:r w:rsidRPr="00DC620C">
        <w:rPr>
          <w:rFonts w:ascii="Times New Roman" w:hAnsi="Times New Roman"/>
        </w:rPr>
        <w:t>Overovanie tesnosti uzavret</w:t>
      </w:r>
      <w:r w:rsidR="002D73A2">
        <w:rPr>
          <w:rFonts w:ascii="Times New Roman" w:hAnsi="Times New Roman"/>
        </w:rPr>
        <w:t>ého</w:t>
      </w:r>
      <w:r w:rsidRPr="00DC620C">
        <w:rPr>
          <w:rFonts w:ascii="Times New Roman" w:hAnsi="Times New Roman"/>
        </w:rPr>
        <w:t xml:space="preserve"> žiarič</w:t>
      </w:r>
      <w:r w:rsidR="002D73A2">
        <w:rPr>
          <w:rFonts w:ascii="Times New Roman" w:hAnsi="Times New Roman"/>
        </w:rPr>
        <w:t>a</w:t>
      </w:r>
      <w:r w:rsidRPr="00DC620C">
        <w:rPr>
          <w:rFonts w:ascii="Times New Roman" w:hAnsi="Times New Roman"/>
        </w:rPr>
        <w:t xml:space="preserve"> sa vykonáva priamymi metódami alebo nepriamo meraním povrchovej rádioaktívnej kontaminácie žiariča. Uzavretý žiarič sa pokladá za netesný, ak boli prekročené nasledujúce hodnoty aktivity testovacieho média </w:t>
      </w:r>
    </w:p>
    <w:p w:rsidR="00DC620C" w:rsidRPr="00DC620C" w:rsidP="00DC620C">
      <w:pPr>
        <w:numPr>
          <w:numId w:val="9"/>
        </w:numPr>
        <w:tabs>
          <w:tab w:val="clear" w:pos="360"/>
        </w:tabs>
        <w:bidi w:val="0"/>
        <w:ind w:left="426" w:hanging="426"/>
        <w:jc w:val="left"/>
        <w:rPr>
          <w:rFonts w:ascii="Times New Roman" w:hAnsi="Times New Roman"/>
        </w:rPr>
      </w:pPr>
      <w:r w:rsidRPr="00DC620C">
        <w:rPr>
          <w:rFonts w:ascii="Times New Roman" w:hAnsi="Times New Roman"/>
        </w:rPr>
        <w:t xml:space="preserve">200 Bq </w:t>
      </w:r>
      <w:r>
        <w:rPr>
          <w:rFonts w:ascii="Times New Roman" w:hAnsi="Times New Roman"/>
        </w:rPr>
        <w:t>pri</w:t>
      </w:r>
      <w:r w:rsidRPr="00DC620C">
        <w:rPr>
          <w:rFonts w:ascii="Times New Roman" w:hAnsi="Times New Roman"/>
        </w:rPr>
        <w:t xml:space="preserve"> skúš</w:t>
      </w:r>
      <w:r>
        <w:rPr>
          <w:rFonts w:ascii="Times New Roman" w:hAnsi="Times New Roman"/>
        </w:rPr>
        <w:t>ke</w:t>
      </w:r>
      <w:r w:rsidRPr="00DC620C">
        <w:rPr>
          <w:rFonts w:ascii="Times New Roman" w:hAnsi="Times New Roman"/>
        </w:rPr>
        <w:t xml:space="preserve"> oterom priamo na žiariči a skúš</w:t>
      </w:r>
      <w:r w:rsidR="002D73A2">
        <w:rPr>
          <w:rFonts w:ascii="Times New Roman" w:hAnsi="Times New Roman"/>
        </w:rPr>
        <w:t>ke</w:t>
      </w:r>
      <w:r w:rsidRPr="00DC620C">
        <w:rPr>
          <w:rFonts w:ascii="Times New Roman" w:hAnsi="Times New Roman"/>
        </w:rPr>
        <w:t xml:space="preserve"> ponorením do kvapaliny,</w:t>
      </w:r>
    </w:p>
    <w:p w:rsidR="00DC620C" w:rsidRPr="00DC620C" w:rsidP="00DC620C">
      <w:pPr>
        <w:numPr>
          <w:numId w:val="9"/>
        </w:numPr>
        <w:tabs>
          <w:tab w:val="clear" w:pos="360"/>
        </w:tabs>
        <w:bidi w:val="0"/>
        <w:ind w:left="426" w:hanging="426"/>
        <w:jc w:val="left"/>
        <w:rPr>
          <w:rFonts w:ascii="Times New Roman" w:hAnsi="Times New Roman"/>
        </w:rPr>
      </w:pPr>
      <w:r w:rsidRPr="00DC620C">
        <w:rPr>
          <w:rFonts w:ascii="Times New Roman" w:hAnsi="Times New Roman"/>
        </w:rPr>
        <w:t xml:space="preserve">20 Bq </w:t>
      </w:r>
      <w:r>
        <w:rPr>
          <w:rFonts w:ascii="Times New Roman" w:hAnsi="Times New Roman"/>
        </w:rPr>
        <w:t>pri</w:t>
      </w:r>
      <w:r w:rsidRPr="00DC620C">
        <w:rPr>
          <w:rFonts w:ascii="Times New Roman" w:hAnsi="Times New Roman"/>
        </w:rPr>
        <w:t xml:space="preserve"> skúš</w:t>
      </w:r>
      <w:r>
        <w:rPr>
          <w:rFonts w:ascii="Times New Roman" w:hAnsi="Times New Roman"/>
        </w:rPr>
        <w:t>k</w:t>
      </w:r>
      <w:r w:rsidR="002D73A2">
        <w:rPr>
          <w:rFonts w:ascii="Times New Roman" w:hAnsi="Times New Roman"/>
        </w:rPr>
        <w:t>e</w:t>
      </w:r>
      <w:r w:rsidRPr="00DC620C">
        <w:rPr>
          <w:rFonts w:ascii="Times New Roman" w:hAnsi="Times New Roman"/>
        </w:rPr>
        <w:t xml:space="preserve"> oterom na náhradnej skúšobnej ploche,</w:t>
      </w:r>
    </w:p>
    <w:p w:rsidR="00DC620C" w:rsidRPr="007D23FB" w:rsidP="00486A90">
      <w:pPr>
        <w:numPr>
          <w:numId w:val="9"/>
        </w:numPr>
        <w:tabs>
          <w:tab w:val="clear" w:pos="360"/>
        </w:tabs>
        <w:bidi w:val="0"/>
        <w:ind w:left="426" w:hanging="426"/>
        <w:jc w:val="left"/>
        <w:rPr>
          <w:rFonts w:ascii="Times New Roman" w:hAnsi="Times New Roman"/>
          <w:color w:val="000000" w:themeColor="tx1" w:themeShade="FF"/>
        </w:rPr>
      </w:pPr>
      <w:r w:rsidRPr="00DC620C">
        <w:rPr>
          <w:rFonts w:ascii="Times New Roman" w:hAnsi="Times New Roman"/>
        </w:rPr>
        <w:t xml:space="preserve">200 Bq počas dvanástich hodín </w:t>
      </w:r>
      <w:r>
        <w:rPr>
          <w:rFonts w:ascii="Times New Roman" w:hAnsi="Times New Roman"/>
        </w:rPr>
        <w:t>pri</w:t>
      </w:r>
      <w:r w:rsidRPr="00DC620C">
        <w:rPr>
          <w:rFonts w:ascii="Times New Roman" w:hAnsi="Times New Roman"/>
        </w:rPr>
        <w:t xml:space="preserve"> emanačn</w:t>
      </w:r>
      <w:r w:rsidR="002D73A2">
        <w:rPr>
          <w:rFonts w:ascii="Times New Roman" w:hAnsi="Times New Roman"/>
        </w:rPr>
        <w:t>ej</w:t>
      </w:r>
      <w:r w:rsidRPr="00DC620C">
        <w:rPr>
          <w:rFonts w:ascii="Times New Roman" w:hAnsi="Times New Roman"/>
        </w:rPr>
        <w:t xml:space="preserve"> skúš</w:t>
      </w:r>
      <w:r>
        <w:rPr>
          <w:rFonts w:ascii="Times New Roman" w:hAnsi="Times New Roman"/>
        </w:rPr>
        <w:t>k</w:t>
      </w:r>
      <w:r w:rsidR="002D73A2">
        <w:rPr>
          <w:rFonts w:ascii="Times New Roman" w:hAnsi="Times New Roman"/>
        </w:rPr>
        <w:t>e</w:t>
      </w:r>
      <w:r w:rsidRPr="00DC620C">
        <w:rPr>
          <w:rFonts w:ascii="Times New Roman" w:hAnsi="Times New Roman"/>
        </w:rPr>
        <w:t>.</w:t>
      </w:r>
    </w:p>
    <w:sectPr w:rsidSect="00BB5CF6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A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358</w:t>
    </w:r>
    <w:r>
      <w:rPr>
        <w:rFonts w:ascii="Times New Roman" w:hAnsi="Times New Roman"/>
      </w:rPr>
      <w:fldChar w:fldCharType="end"/>
    </w:r>
  </w:p>
  <w:p w:rsidR="00A80A31" w:rsidP="00963FC1">
    <w:pPr>
      <w:pStyle w:val="Footer"/>
      <w:bidi w:val="0"/>
      <w:jc w:val="center"/>
      <w:rPr>
        <w:rStyle w:val="PageNumber"/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31" w:rsidP="00963FC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80A31" w:rsidP="00963FC1">
    <w:pPr>
      <w:pStyle w:val="Header"/>
      <w:bidi w:val="0"/>
      <w:ind w:right="360"/>
      <w:rPr>
        <w:rFonts w:ascii="Times New Roman" w:hAnsi="Times New Roman"/>
      </w:rPr>
    </w:pPr>
  </w:p>
  <w:p w:rsidR="00A80A31">
    <w:pPr>
      <w:bidi w:val="0"/>
      <w:rPr>
        <w:rFonts w:ascii="Times New Roman" w:hAnsi="Times New Roman"/>
      </w:rPr>
    </w:pPr>
  </w:p>
  <w:p w:rsidR="00A80A31">
    <w:pPr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31" w:rsidP="00963FC1">
    <w:pPr>
      <w:pStyle w:val="Header"/>
      <w:bidi w:val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1">
    <w:nsid w:val="1A6F4A91"/>
    <w:multiLevelType w:val="multilevel"/>
    <w:tmpl w:val="AE70A3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2">
    <w:nsid w:val="201B6654"/>
    <w:multiLevelType w:val="hybridMultilevel"/>
    <w:tmpl w:val="FB442B90"/>
    <w:lvl w:ilvl="0">
      <w:start w:val="1"/>
      <w:numFmt w:val="decimal"/>
      <w:pStyle w:val="Odsek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C138DF"/>
    <w:multiLevelType w:val="hybridMultilevel"/>
    <w:tmpl w:val="E706528E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5452099"/>
    <w:multiLevelType w:val="hybridMultilevel"/>
    <w:tmpl w:val="5644C8A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D0D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abstractNum w:abstractNumId="6">
    <w:nsid w:val="5A1E7DF8"/>
    <w:multiLevelType w:val="hybridMultilevel"/>
    <w:tmpl w:val="EE24682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C157A1C"/>
    <w:multiLevelType w:val="hybridMultilevel"/>
    <w:tmpl w:val="BA76B0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63FC1"/>
    <w:rsid w:val="00035242"/>
    <w:rsid w:val="0006156A"/>
    <w:rsid w:val="00081FF3"/>
    <w:rsid w:val="000B7BE6"/>
    <w:rsid w:val="000C7D91"/>
    <w:rsid w:val="000E2B26"/>
    <w:rsid w:val="00116982"/>
    <w:rsid w:val="001261B9"/>
    <w:rsid w:val="00152424"/>
    <w:rsid w:val="001529D3"/>
    <w:rsid w:val="00171239"/>
    <w:rsid w:val="00187143"/>
    <w:rsid w:val="001979B8"/>
    <w:rsid w:val="001B5DA4"/>
    <w:rsid w:val="001F0962"/>
    <w:rsid w:val="001F56D8"/>
    <w:rsid w:val="002112CA"/>
    <w:rsid w:val="002346FC"/>
    <w:rsid w:val="0024045D"/>
    <w:rsid w:val="00271237"/>
    <w:rsid w:val="0027631F"/>
    <w:rsid w:val="00291B82"/>
    <w:rsid w:val="00293B9F"/>
    <w:rsid w:val="002A62EE"/>
    <w:rsid w:val="002A7661"/>
    <w:rsid w:val="002C5FAE"/>
    <w:rsid w:val="002D4297"/>
    <w:rsid w:val="002D73A2"/>
    <w:rsid w:val="00354043"/>
    <w:rsid w:val="003572E3"/>
    <w:rsid w:val="00357ADB"/>
    <w:rsid w:val="0036171E"/>
    <w:rsid w:val="003760EB"/>
    <w:rsid w:val="00384442"/>
    <w:rsid w:val="0039147C"/>
    <w:rsid w:val="00391EB2"/>
    <w:rsid w:val="003934B7"/>
    <w:rsid w:val="003A5947"/>
    <w:rsid w:val="003C5786"/>
    <w:rsid w:val="003C7F2F"/>
    <w:rsid w:val="003D130D"/>
    <w:rsid w:val="003D37C0"/>
    <w:rsid w:val="003D3B78"/>
    <w:rsid w:val="00422B39"/>
    <w:rsid w:val="00425FBD"/>
    <w:rsid w:val="00445160"/>
    <w:rsid w:val="00471FCF"/>
    <w:rsid w:val="00486A90"/>
    <w:rsid w:val="004A389B"/>
    <w:rsid w:val="004B454A"/>
    <w:rsid w:val="004B54BA"/>
    <w:rsid w:val="004C0EC9"/>
    <w:rsid w:val="004C6D6E"/>
    <w:rsid w:val="004E5F2E"/>
    <w:rsid w:val="004F16A0"/>
    <w:rsid w:val="00512B70"/>
    <w:rsid w:val="00574BCE"/>
    <w:rsid w:val="005767D1"/>
    <w:rsid w:val="00583B67"/>
    <w:rsid w:val="005962AE"/>
    <w:rsid w:val="005C5A38"/>
    <w:rsid w:val="005E2480"/>
    <w:rsid w:val="005F0E82"/>
    <w:rsid w:val="00614BC3"/>
    <w:rsid w:val="0067453C"/>
    <w:rsid w:val="00691566"/>
    <w:rsid w:val="00695C44"/>
    <w:rsid w:val="006B54B6"/>
    <w:rsid w:val="006C248F"/>
    <w:rsid w:val="006D0185"/>
    <w:rsid w:val="006E7B27"/>
    <w:rsid w:val="00740204"/>
    <w:rsid w:val="00746068"/>
    <w:rsid w:val="00763C8A"/>
    <w:rsid w:val="0076483A"/>
    <w:rsid w:val="00767DB1"/>
    <w:rsid w:val="007748D6"/>
    <w:rsid w:val="00783916"/>
    <w:rsid w:val="00791B38"/>
    <w:rsid w:val="007A1502"/>
    <w:rsid w:val="007A2E13"/>
    <w:rsid w:val="007D0861"/>
    <w:rsid w:val="007D23FB"/>
    <w:rsid w:val="007D3908"/>
    <w:rsid w:val="007F0A49"/>
    <w:rsid w:val="007F5158"/>
    <w:rsid w:val="008070B9"/>
    <w:rsid w:val="008556DC"/>
    <w:rsid w:val="00862ADE"/>
    <w:rsid w:val="008A72E1"/>
    <w:rsid w:val="008B0F01"/>
    <w:rsid w:val="008D23DA"/>
    <w:rsid w:val="00913B9A"/>
    <w:rsid w:val="0092171C"/>
    <w:rsid w:val="00926255"/>
    <w:rsid w:val="00963FC1"/>
    <w:rsid w:val="00985B32"/>
    <w:rsid w:val="00994F84"/>
    <w:rsid w:val="009A7BC5"/>
    <w:rsid w:val="009B1D2C"/>
    <w:rsid w:val="009C6A3C"/>
    <w:rsid w:val="009D6F0E"/>
    <w:rsid w:val="009E50EB"/>
    <w:rsid w:val="00A257AF"/>
    <w:rsid w:val="00A509D9"/>
    <w:rsid w:val="00A73CCC"/>
    <w:rsid w:val="00A80A31"/>
    <w:rsid w:val="00AC3A03"/>
    <w:rsid w:val="00AD78AD"/>
    <w:rsid w:val="00AE687E"/>
    <w:rsid w:val="00B5351A"/>
    <w:rsid w:val="00B63B09"/>
    <w:rsid w:val="00BB5CF6"/>
    <w:rsid w:val="00C02952"/>
    <w:rsid w:val="00C06A51"/>
    <w:rsid w:val="00C15D3D"/>
    <w:rsid w:val="00C16B04"/>
    <w:rsid w:val="00C34A46"/>
    <w:rsid w:val="00C455FF"/>
    <w:rsid w:val="00C83A11"/>
    <w:rsid w:val="00C90D5E"/>
    <w:rsid w:val="00C92423"/>
    <w:rsid w:val="00CC0BBC"/>
    <w:rsid w:val="00CD31B8"/>
    <w:rsid w:val="00D01048"/>
    <w:rsid w:val="00D10A9C"/>
    <w:rsid w:val="00D33734"/>
    <w:rsid w:val="00D42200"/>
    <w:rsid w:val="00D47A2F"/>
    <w:rsid w:val="00D727C7"/>
    <w:rsid w:val="00DC0792"/>
    <w:rsid w:val="00DC4085"/>
    <w:rsid w:val="00DC620C"/>
    <w:rsid w:val="00DD50E8"/>
    <w:rsid w:val="00E16AAC"/>
    <w:rsid w:val="00E25962"/>
    <w:rsid w:val="00E75DC3"/>
    <w:rsid w:val="00E77946"/>
    <w:rsid w:val="00E822DA"/>
    <w:rsid w:val="00E85CA3"/>
    <w:rsid w:val="00EA5B58"/>
    <w:rsid w:val="00EC4529"/>
    <w:rsid w:val="00EF47A0"/>
    <w:rsid w:val="00F05551"/>
    <w:rsid w:val="00F07445"/>
    <w:rsid w:val="00F4161B"/>
    <w:rsid w:val="00F4459A"/>
    <w:rsid w:val="00F46541"/>
    <w:rsid w:val="00F7267F"/>
    <w:rsid w:val="00F85436"/>
    <w:rsid w:val="00FD51BA"/>
    <w:rsid w:val="00FF3C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FC1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uiPriority w:val="99"/>
    <w:rsid w:val="00A257AF"/>
    <w:pPr>
      <w:numPr>
        <w:numId w:val="1"/>
      </w:numPr>
      <w:tabs>
        <w:tab w:val="num" w:pos="927"/>
        <w:tab w:val="left" w:pos="1134"/>
      </w:tabs>
      <w:spacing w:before="240"/>
      <w:ind w:left="927" w:hanging="360"/>
      <w:jc w:val="both"/>
    </w:pPr>
    <w:rPr>
      <w:rFonts w:ascii="Arial" w:hAnsi="Arial"/>
    </w:rPr>
  </w:style>
  <w:style w:type="paragraph" w:customStyle="1" w:styleId="Poznmkapodiarou">
    <w:name w:val="Poznámka pod čiarou"/>
    <w:basedOn w:val="FootnoteText"/>
    <w:uiPriority w:val="99"/>
    <w:rsid w:val="006E7B27"/>
    <w:pPr>
      <w:tabs>
        <w:tab w:val="left" w:pos="340"/>
      </w:tabs>
      <w:spacing w:after="120"/>
      <w:ind w:left="340" w:hanging="340"/>
      <w:jc w:val="both"/>
    </w:pPr>
    <w:rPr>
      <w:rFonts w:ascii="Arial" w:hAnsi="Arial"/>
    </w:rPr>
  </w:style>
  <w:style w:type="paragraph" w:styleId="FootnoteText">
    <w:name w:val="footnote text"/>
    <w:basedOn w:val="Normal"/>
    <w:link w:val="TextpoznmkypodiarouChar"/>
    <w:uiPriority w:val="99"/>
    <w:semiHidden/>
    <w:rsid w:val="006E7B27"/>
    <w:pPr>
      <w:jc w:val="both"/>
    </w:pPr>
    <w:rPr>
      <w:sz w:val="20"/>
    </w:rPr>
  </w:style>
  <w:style w:type="paragraph" w:styleId="Header">
    <w:name w:val="header"/>
    <w:basedOn w:val="Normal"/>
    <w:link w:val="HlavikaChar"/>
    <w:uiPriority w:val="99"/>
    <w:rsid w:val="00963FC1"/>
    <w:pPr>
      <w:tabs>
        <w:tab w:val="center" w:pos="4536"/>
        <w:tab w:val="right" w:pos="9072"/>
      </w:tabs>
      <w:jc w:val="both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customStyle="1" w:styleId="Novelizanbod">
    <w:name w:val="Novelizační bod"/>
    <w:basedOn w:val="Normal"/>
    <w:next w:val="Normal"/>
    <w:uiPriority w:val="99"/>
    <w:rsid w:val="00963FC1"/>
    <w:pPr>
      <w:keepNext/>
      <w:keepLines/>
      <w:numPr>
        <w:numId w:val="2"/>
      </w:numPr>
      <w:tabs>
        <w:tab w:val="num" w:pos="567"/>
        <w:tab w:val="left" w:pos="851"/>
      </w:tabs>
      <w:spacing w:before="480" w:after="120"/>
      <w:ind w:left="567" w:hanging="567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63FC1"/>
    <w:rPr>
      <w:rFonts w:cs="Times New Roman"/>
      <w:sz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sid w:val="00963FC1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963FC1"/>
    <w:pPr>
      <w:tabs>
        <w:tab w:val="center" w:pos="4536"/>
        <w:tab w:val="right" w:pos="9072"/>
      </w:tabs>
      <w:jc w:val="both"/>
    </w:pPr>
  </w:style>
  <w:style w:type="paragraph" w:customStyle="1" w:styleId="nadpisvyhlky">
    <w:name w:val="nadpis vyhlášky"/>
    <w:basedOn w:val="Normal"/>
    <w:next w:val="Normal"/>
    <w:uiPriority w:val="99"/>
    <w:rsid w:val="004B54BA"/>
    <w:pPr>
      <w:keepNext/>
      <w:keepLines/>
      <w:spacing w:before="120"/>
      <w:jc w:val="center"/>
      <w:outlineLvl w:val="0"/>
    </w:pPr>
    <w:rPr>
      <w:b/>
    </w:rPr>
  </w:style>
  <w:style w:type="character" w:customStyle="1" w:styleId="PtaChar">
    <w:name w:val="Päta Char"/>
    <w:basedOn w:val="DefaultParagraphFont"/>
    <w:link w:val="Footer"/>
    <w:uiPriority w:val="99"/>
    <w:locked/>
    <w:rsid w:val="00963FC1"/>
    <w:rPr>
      <w:rFonts w:cs="Times New Roman"/>
      <w:sz w:val="24"/>
      <w:rtl w:val="0"/>
      <w:cs w:val="0"/>
      <w:lang w:val="cs-CZ" w:eastAsia="cs-CZ"/>
    </w:rPr>
  </w:style>
  <w:style w:type="paragraph" w:styleId="ListParagraph">
    <w:name w:val="List Paragraph"/>
    <w:basedOn w:val="Normal"/>
    <w:uiPriority w:val="34"/>
    <w:qFormat/>
    <w:rsid w:val="00512B70"/>
    <w:pPr>
      <w:ind w:left="720"/>
      <w:jc w:val="left"/>
    </w:pPr>
    <w:rPr>
      <w:rFonts w:ascii="Calibri" w:hAnsi="Calibri"/>
      <w:sz w:val="22"/>
      <w:szCs w:val="22"/>
      <w:lang w:val="cs-CZ" w:eastAsia="en-US"/>
    </w:rPr>
  </w:style>
  <w:style w:type="table" w:styleId="TableGrid">
    <w:name w:val="Table Grid"/>
    <w:basedOn w:val="TableNormal"/>
    <w:uiPriority w:val="99"/>
    <w:rsid w:val="00512B70"/>
    <w:pPr>
      <w:spacing w:after="0" w:line="240" w:lineRule="auto"/>
    </w:pPr>
    <w:rPr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806</Words>
  <Characters>4598</Characters>
  <Application>Microsoft Office Word</Application>
  <DocSecurity>0</DocSecurity>
  <Lines>0</Lines>
  <Paragraphs>0</Paragraphs>
  <ScaleCrop>false</ScaleCrop>
  <Company>Regionálny úrad verejného zdravotníctva B. Bystrica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pavlovicova</dc:creator>
  <cp:lastModifiedBy>Dubnickova</cp:lastModifiedBy>
  <cp:revision>5</cp:revision>
  <cp:lastPrinted>2017-09-20T08:09:00Z</cp:lastPrinted>
  <dcterms:created xsi:type="dcterms:W3CDTF">2017-09-14T04:13:00Z</dcterms:created>
  <dcterms:modified xsi:type="dcterms:W3CDTF">2017-09-20T08:09:00Z</dcterms:modified>
</cp:coreProperties>
</file>