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363B" w:rsidP="00E3363B">
      <w:pPr>
        <w:pStyle w:val="NormalWeb"/>
        <w:bidi w:val="0"/>
        <w:spacing w:before="0" w:beforeAutospacing="0" w:after="0" w:afterAutospacing="0"/>
        <w:jc w:val="center"/>
        <w:outlineLvl w:val="0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Dolož</w:t>
      </w:r>
      <w:r>
        <w:rPr>
          <w:rFonts w:hint="default"/>
          <w:b/>
          <w:bCs/>
          <w:sz w:val="28"/>
          <w:szCs w:val="28"/>
        </w:rPr>
        <w:t>ka vybraný</w:t>
      </w:r>
      <w:r>
        <w:rPr>
          <w:rFonts w:hint="default"/>
          <w:b/>
          <w:bCs/>
          <w:sz w:val="28"/>
          <w:szCs w:val="28"/>
        </w:rPr>
        <w:t>ch vplyvov</w:t>
      </w:r>
    </w:p>
    <w:p w:rsidR="00E3363B" w:rsidP="00E3363B">
      <w:pPr>
        <w:pStyle w:val="NormalWeb"/>
        <w:bidi w:val="0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Zá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kladné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ú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Ná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zov materiá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lu</w:t>
            </w:r>
          </w:p>
          <w:p w:rsidR="007542C7" w:rsidP="00E3363B">
            <w:pPr>
              <w:bidi w:val="0"/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7542C7" w:rsidRPr="00C07C36" w:rsidP="00DD1092">
            <w:pPr>
              <w:pStyle w:val="Casti"/>
              <w:tabs>
                <w:tab w:val="center" w:pos="4819"/>
              </w:tabs>
              <w:bidi w:val="0"/>
              <w:spacing w:before="0" w:after="0"/>
              <w:jc w:val="left"/>
              <w:rPr>
                <w:b w:val="0"/>
                <w:bCs w:val="0"/>
                <w:noProof/>
              </w:rPr>
            </w:pPr>
            <w:r w:rsidR="00DD1092">
              <w:rPr>
                <w:b w:val="0"/>
                <w:bCs w:val="0"/>
              </w:rPr>
              <w:t xml:space="preserve">  </w:t>
            </w:r>
            <w:r w:rsidR="00995EE0">
              <w:rPr>
                <w:rFonts w:hint="default"/>
                <w:b w:val="0"/>
                <w:bCs w:val="0"/>
              </w:rPr>
              <w:t>Ná</w:t>
            </w:r>
            <w:r w:rsidR="00995EE0">
              <w:rPr>
                <w:rFonts w:hint="default"/>
                <w:b w:val="0"/>
                <w:bCs w:val="0"/>
              </w:rPr>
              <w:t>vrh z</w:t>
            </w:r>
            <w:r w:rsidRPr="00C07C36">
              <w:rPr>
                <w:rFonts w:hint="default"/>
                <w:b w:val="0"/>
                <w:bCs w:val="0"/>
              </w:rPr>
              <w:t>á</w:t>
            </w:r>
            <w:r w:rsidRPr="00C07C36">
              <w:rPr>
                <w:rFonts w:hint="default"/>
                <w:b w:val="0"/>
                <w:bCs w:val="0"/>
              </w:rPr>
              <w:t>kon</w:t>
            </w:r>
            <w:r w:rsidR="00995EE0">
              <w:rPr>
                <w:b w:val="0"/>
                <w:bCs w:val="0"/>
              </w:rPr>
              <w:t>a</w:t>
            </w:r>
            <w:r w:rsidRPr="00C07C36">
              <w:rPr>
                <w:b w:val="0"/>
                <w:bCs w:val="0"/>
              </w:rPr>
              <w:t xml:space="preserve"> o </w:t>
            </w:r>
            <w:r w:rsidRPr="00C07C36">
              <w:rPr>
                <w:rFonts w:hint="default"/>
                <w:b w:val="0"/>
                <w:bCs w:val="0"/>
              </w:rPr>
              <w:t>radiač</w:t>
            </w:r>
            <w:r w:rsidRPr="00C07C36">
              <w:rPr>
                <w:rFonts w:hint="default"/>
                <w:b w:val="0"/>
                <w:bCs w:val="0"/>
              </w:rPr>
              <w:t>nej ochrane a o zmene a </w:t>
            </w:r>
            <w:r w:rsidRPr="00C07C36">
              <w:rPr>
                <w:rFonts w:hint="default"/>
                <w:b w:val="0"/>
                <w:bCs w:val="0"/>
              </w:rPr>
              <w:t>doplnení</w:t>
            </w:r>
            <w:r w:rsidRPr="00C07C36">
              <w:rPr>
                <w:rFonts w:hint="default"/>
                <w:b w:val="0"/>
                <w:bCs w:val="0"/>
              </w:rPr>
              <w:t xml:space="preserve"> niektorý</w:t>
            </w:r>
            <w:r w:rsidRPr="00C07C36">
              <w:rPr>
                <w:rFonts w:hint="default"/>
                <w:b w:val="0"/>
                <w:bCs w:val="0"/>
              </w:rPr>
              <w:t>ch zá</w:t>
            </w:r>
            <w:r w:rsidRPr="00C07C36">
              <w:rPr>
                <w:rFonts w:hint="default"/>
                <w:b w:val="0"/>
                <w:bCs w:val="0"/>
              </w:rPr>
              <w:t>konov</w:t>
            </w:r>
            <w:r w:rsidR="00DD1092">
              <w:rPr>
                <w:b w:val="0"/>
                <w:bCs w:val="0"/>
              </w:rPr>
              <w:t>.</w:t>
            </w:r>
          </w:p>
          <w:p w:rsidR="00E3363B" w:rsidP="00E3363B">
            <w:pPr>
              <w:bidi w:val="0"/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Predkladateľ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(a spolupredkladateľ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7D1264" w:rsidP="00E3363B">
            <w:pPr>
              <w:bidi w:val="0"/>
              <w:spacing w:line="276" w:lineRule="auto"/>
              <w:rPr>
                <w:rFonts w:ascii="Times" w:hAnsi="Times" w:cs="Times"/>
              </w:rPr>
            </w:pPr>
            <w:r w:rsidRPr="00DD1092" w:rsidR="00011174">
              <w:rPr>
                <w:rFonts w:ascii="Times" w:hAnsi="Times" w:cs="Times"/>
              </w:rPr>
              <w:t xml:space="preserve"> </w:t>
            </w:r>
            <w:r w:rsidR="00DD1092">
              <w:rPr>
                <w:rFonts w:ascii="Times" w:hAnsi="Times" w:cs="Times"/>
              </w:rPr>
              <w:t xml:space="preserve"> </w:t>
            </w:r>
            <w:r w:rsidRPr="007D1264" w:rsidR="007542C7">
              <w:rPr>
                <w:rFonts w:ascii="Times" w:hAnsi="Times" w:cs="Times" w:hint="default"/>
              </w:rPr>
              <w:t>Ministerstvo zdravotní</w:t>
            </w:r>
            <w:r w:rsidRPr="007D1264" w:rsidR="007542C7">
              <w:rPr>
                <w:rFonts w:ascii="Times" w:hAnsi="Times" w:cs="Times" w:hint="default"/>
              </w:rPr>
              <w:t>ctva  Sl</w:t>
            </w:r>
            <w:r w:rsidRPr="007D1264" w:rsidR="001D1FC8">
              <w:rPr>
                <w:rFonts w:ascii="Times" w:hAnsi="Times" w:cs="Times"/>
              </w:rPr>
              <w:t>o</w:t>
            </w:r>
            <w:r w:rsidRPr="007D1264" w:rsidR="007542C7">
              <w:rPr>
                <w:rFonts w:ascii="Times" w:hAnsi="Times" w:cs="Times"/>
              </w:rPr>
              <w:t>venskej republiky</w:t>
            </w:r>
          </w:p>
          <w:p w:rsidR="00DD1092" w:rsidRPr="007D1264" w:rsidP="00E3363B">
            <w:pPr>
              <w:bidi w:val="0"/>
              <w:spacing w:line="276" w:lineRule="auto"/>
              <w:rPr>
                <w:rFonts w:ascii="Times" w:hAnsi="Times" w:cs="Times" w:hint="default"/>
              </w:rPr>
            </w:pPr>
            <w:r w:rsidRPr="007D1264">
              <w:rPr>
                <w:rFonts w:ascii="Times" w:hAnsi="Times" w:cs="Times" w:hint="default"/>
              </w:rPr>
              <w:t xml:space="preserve">  Ministerstvo prá</w:t>
            </w:r>
            <w:r w:rsidRPr="007D1264">
              <w:rPr>
                <w:rFonts w:ascii="Times" w:hAnsi="Times" w:cs="Times" w:hint="default"/>
              </w:rPr>
              <w:t>ce, sociá</w:t>
            </w:r>
            <w:r w:rsidRPr="007D1264">
              <w:rPr>
                <w:rFonts w:ascii="Times" w:hAnsi="Times" w:cs="Times" w:hint="default"/>
              </w:rPr>
              <w:t>lnych vecí</w:t>
            </w:r>
            <w:r w:rsidRPr="007D1264">
              <w:rPr>
                <w:rFonts w:ascii="Times" w:hAnsi="Times" w:cs="Times" w:hint="default"/>
              </w:rPr>
              <w:t xml:space="preserve"> a rodiny Slovenskej republiky</w:t>
            </w:r>
          </w:p>
          <w:p w:rsidR="00DD1092" w:rsidRPr="00DD1092" w:rsidP="00E3363B">
            <w:pPr>
              <w:bidi w:val="0"/>
              <w:spacing w:line="276" w:lineRule="auto"/>
              <w:rPr>
                <w:rFonts w:ascii="Times" w:hAnsi="Times" w:cs="Times"/>
              </w:rPr>
            </w:pPr>
            <w:r w:rsidRPr="007D1264">
              <w:rPr>
                <w:rFonts w:ascii="Times" w:hAnsi="Times" w:cs="Times" w:hint="default"/>
              </w:rPr>
              <w:t xml:space="preserve">  Ú</w:t>
            </w:r>
            <w:r w:rsidRPr="007D1264">
              <w:rPr>
                <w:rFonts w:ascii="Times" w:hAnsi="Times" w:cs="Times" w:hint="default"/>
              </w:rPr>
              <w:t>rad jadrové</w:t>
            </w:r>
            <w:r w:rsidRPr="007D1264">
              <w:rPr>
                <w:rFonts w:ascii="Times" w:hAnsi="Times" w:cs="Times" w:hint="default"/>
              </w:rPr>
              <w:t>ho dozoru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E3363B" w:rsidP="00E3363B">
            <w:pPr>
              <w:bidi w:val="0"/>
              <w:spacing w:line="276" w:lineRule="auto"/>
              <w:jc w:val="center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Charakter predkladané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ho materiá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Materiá</w:t>
            </w:r>
            <w:r>
              <w:rPr>
                <w:rFonts w:ascii="Times" w:hAnsi="Times" w:cs="Times" w:hint="default"/>
                <w:sz w:val="20"/>
                <w:szCs w:val="20"/>
              </w:rPr>
              <w:t>l nelegislatí</w:t>
            </w:r>
            <w:r>
              <w:rPr>
                <w:rFonts w:ascii="Times" w:hAnsi="Times" w:cs="Times" w:hint="default"/>
                <w:sz w:val="20"/>
                <w:szCs w:val="20"/>
              </w:rPr>
              <w:t>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Materiá</w:t>
            </w:r>
            <w:r>
              <w:rPr>
                <w:rFonts w:ascii="Times" w:hAnsi="Times" w:cs="Times" w:hint="default"/>
                <w:sz w:val="20"/>
                <w:szCs w:val="20"/>
              </w:rPr>
              <w:t>l legislatí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 w:hint="default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Transpozí</w:t>
            </w:r>
            <w:r>
              <w:rPr>
                <w:rFonts w:ascii="Times" w:hAnsi="Times" w:cs="Times" w:hint="default"/>
                <w:sz w:val="20"/>
                <w:szCs w:val="20"/>
              </w:rPr>
              <w:t>cia prá</w:t>
            </w:r>
            <w:r>
              <w:rPr>
                <w:rFonts w:ascii="Times" w:hAnsi="Times" w:cs="Times" w:hint="default"/>
                <w:sz w:val="20"/>
                <w:szCs w:val="20"/>
              </w:rPr>
              <w:t>va EÚ</w:t>
            </w:r>
            <w:r>
              <w:rPr>
                <w:rFonts w:ascii="Times" w:hAnsi="Times" w:cs="Times" w:hint="default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DD1092" w:rsidP="00E3363B">
            <w:pPr>
              <w:bidi w:val="0"/>
              <w:rPr>
                <w:i/>
                <w:sz w:val="22"/>
                <w:szCs w:val="22"/>
              </w:rPr>
            </w:pPr>
            <w:r w:rsidRPr="00DD1092" w:rsidR="00DD1092">
              <w:rPr>
                <w:sz w:val="22"/>
                <w:szCs w:val="22"/>
              </w:rPr>
              <w:t xml:space="preserve">  </w:t>
            </w:r>
            <w:r w:rsidRPr="00DD1092" w:rsidR="00DD1092">
              <w:rPr>
                <w:i/>
                <w:sz w:val="22"/>
                <w:szCs w:val="22"/>
              </w:rPr>
              <w:t>V </w:t>
            </w:r>
            <w:r w:rsidRPr="00DD1092" w:rsidR="00DD1092">
              <w:rPr>
                <w:rFonts w:hint="default"/>
                <w:i/>
                <w:sz w:val="22"/>
                <w:szCs w:val="22"/>
              </w:rPr>
              <w:t>prí</w:t>
            </w:r>
            <w:r w:rsidRPr="00DD1092" w:rsidR="00DD1092">
              <w:rPr>
                <w:rFonts w:hint="default"/>
                <w:i/>
                <w:sz w:val="22"/>
                <w:szCs w:val="22"/>
              </w:rPr>
              <w:t>pade transpozí</w:t>
            </w:r>
            <w:r w:rsidRPr="00DD1092" w:rsidR="00DD1092">
              <w:rPr>
                <w:rFonts w:hint="default"/>
                <w:i/>
                <w:sz w:val="22"/>
                <w:szCs w:val="22"/>
              </w:rPr>
              <w:t>cie uveď</w:t>
            </w:r>
            <w:r w:rsidRPr="00DD1092" w:rsidR="00DD1092">
              <w:rPr>
                <w:rFonts w:hint="default"/>
                <w:i/>
                <w:sz w:val="22"/>
                <w:szCs w:val="22"/>
              </w:rPr>
              <w:t>te zoznam transponovaný</w:t>
            </w:r>
            <w:r w:rsidRPr="00DD1092" w:rsidR="00DD1092">
              <w:rPr>
                <w:rFonts w:hint="default"/>
                <w:i/>
                <w:sz w:val="22"/>
                <w:szCs w:val="22"/>
              </w:rPr>
              <w:t>ch prá</w:t>
            </w:r>
            <w:r w:rsidRPr="00DD1092" w:rsidR="00DD1092">
              <w:rPr>
                <w:rFonts w:hint="default"/>
                <w:i/>
                <w:sz w:val="22"/>
                <w:szCs w:val="22"/>
              </w:rPr>
              <w:t>vnych predpisov:</w:t>
            </w:r>
          </w:p>
          <w:p w:rsidR="00DD1092" w:rsidRPr="007D1264" w:rsidP="00CB4D55">
            <w:pPr>
              <w:bidi w:val="0"/>
              <w:ind w:left="156"/>
              <w:jc w:val="both"/>
              <w:rPr>
                <w:rFonts w:hint="default"/>
              </w:rPr>
            </w:pPr>
            <w:r w:rsidRPr="007D1264">
              <w:rPr>
                <w:rFonts w:hint="default"/>
              </w:rPr>
              <w:t>Smernica Rady 2013/59/Euratom z 5. decembra 2013, ktorou sa stanovujú</w:t>
            </w:r>
            <w:r w:rsidRPr="007D1264">
              <w:rPr>
                <w:rFonts w:hint="default"/>
              </w:rPr>
              <w:t xml:space="preserve"> zá</w:t>
            </w:r>
            <w:r w:rsidRPr="007D1264">
              <w:rPr>
                <w:rFonts w:hint="default"/>
              </w:rPr>
              <w:t>kladné</w:t>
            </w:r>
            <w:r w:rsidRPr="007D1264">
              <w:rPr>
                <w:rFonts w:hint="default"/>
              </w:rPr>
              <w:t xml:space="preserve"> bezpeč</w:t>
            </w:r>
            <w:r w:rsidRPr="007D1264">
              <w:rPr>
                <w:rFonts w:hint="default"/>
              </w:rPr>
              <w:t>nostné</w:t>
            </w:r>
            <w:r w:rsidRPr="007D1264">
              <w:rPr>
                <w:rFonts w:hint="default"/>
              </w:rPr>
              <w:t xml:space="preserve"> normy ochrany pred nebezpeč</w:t>
            </w:r>
            <w:r w:rsidRPr="007D1264">
              <w:rPr>
                <w:rFonts w:hint="default"/>
              </w:rPr>
              <w:t>enstvami vznikajú</w:t>
            </w:r>
            <w:r w:rsidRPr="007D1264">
              <w:rPr>
                <w:rFonts w:hint="default"/>
              </w:rPr>
              <w:t>cimi v dô</w:t>
            </w:r>
            <w:r w:rsidRPr="007D1264">
              <w:rPr>
                <w:rFonts w:hint="default"/>
              </w:rPr>
              <w:t>sledku ionizujú</w:t>
            </w:r>
            <w:r w:rsidRPr="007D1264">
              <w:rPr>
                <w:rFonts w:hint="default"/>
              </w:rPr>
              <w:t>ceho ž</w:t>
            </w:r>
            <w:r w:rsidRPr="007D1264">
              <w:rPr>
                <w:rFonts w:hint="default"/>
              </w:rPr>
              <w:t>iarenia, a ktorou sa zruš</w:t>
            </w:r>
            <w:r w:rsidRPr="007D1264">
              <w:rPr>
                <w:rFonts w:hint="default"/>
              </w:rPr>
              <w:t>ujú</w:t>
            </w:r>
            <w:r w:rsidRPr="007D1264">
              <w:rPr>
                <w:rFonts w:hint="default"/>
              </w:rPr>
              <w:t xml:space="preserve"> smernice 89/618/Euratom, 90/641/Euratom, 96/29/Euratom, 97/43/Euratom a 2003/122/Euratom.</w:t>
            </w:r>
          </w:p>
          <w:p w:rsidR="00DD1092" w:rsidRPr="00DD1092" w:rsidP="00CB4D55">
            <w:pPr>
              <w:bidi w:val="0"/>
              <w:ind w:left="156"/>
              <w:jc w:val="both"/>
              <w:rPr>
                <w:rFonts w:ascii="Times" w:hAnsi="Times" w:cs="Times"/>
              </w:rPr>
            </w:pPr>
            <w:r w:rsidRPr="007D1264">
              <w:rPr>
                <w:rFonts w:hint="default"/>
              </w:rPr>
              <w:t>Smernica Rady 2013/51/Euratom ktorou sa stanovujú</w:t>
            </w:r>
            <w:r w:rsidRPr="007D1264">
              <w:rPr>
                <w:rFonts w:hint="default"/>
              </w:rPr>
              <w:t xml:space="preserve"> pož</w:t>
            </w:r>
            <w:r w:rsidRPr="007D1264">
              <w:rPr>
                <w:rFonts w:hint="default"/>
              </w:rPr>
              <w:t>iadavky n</w:t>
            </w:r>
            <w:r w:rsidRPr="007D1264">
              <w:rPr>
                <w:rFonts w:hint="default"/>
              </w:rPr>
              <w:t>a ochranu zdravia obyvateľ</w:t>
            </w:r>
            <w:r w:rsidRPr="007D1264">
              <w:rPr>
                <w:rFonts w:hint="default"/>
              </w:rPr>
              <w:t>stva vzhľ</w:t>
            </w:r>
            <w:r w:rsidRPr="007D1264">
              <w:rPr>
                <w:rFonts w:hint="default"/>
              </w:rPr>
              <w:t>adom na rá</w:t>
            </w:r>
            <w:r w:rsidRPr="007D1264">
              <w:rPr>
                <w:rFonts w:hint="default"/>
              </w:rPr>
              <w:t>dioaktí</w:t>
            </w:r>
            <w:r w:rsidRPr="007D1264">
              <w:rPr>
                <w:rFonts w:hint="default"/>
              </w:rPr>
              <w:t>vne lá</w:t>
            </w:r>
            <w:r w:rsidRPr="007D1264">
              <w:rPr>
                <w:rFonts w:hint="default"/>
              </w:rPr>
              <w:t>tky obsiahnuté</w:t>
            </w:r>
            <w:r w:rsidRPr="007D1264">
              <w:rPr>
                <w:rFonts w:hint="default"/>
              </w:rPr>
              <w:t xml:space="preserve"> vo vode urč</w:t>
            </w:r>
            <w:r w:rsidRPr="007D1264">
              <w:rPr>
                <w:rFonts w:hint="default"/>
              </w:rPr>
              <w:t>enej na ľ</w:t>
            </w:r>
            <w:r w:rsidRPr="007D1264">
              <w:rPr>
                <w:rFonts w:hint="default"/>
              </w:rPr>
              <w:t>udskú</w:t>
            </w:r>
            <w:r w:rsidRPr="007D1264">
              <w:rPr>
                <w:rFonts w:hint="default"/>
              </w:rPr>
              <w:t xml:space="preserve"> spotrebu</w:t>
            </w:r>
            <w:r w:rsidR="00CB4D55"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zač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iatku a ukonč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DD1092" w:rsidP="00044112">
            <w:pPr>
              <w:bidi w:val="0"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D1092" w:rsidR="00DD1092">
              <w:rPr>
                <w:rFonts w:ascii="Times" w:hAnsi="Times" w:cs="Times"/>
                <w:sz w:val="22"/>
                <w:szCs w:val="22"/>
              </w:rPr>
              <w:t xml:space="preserve">8.6.2017 -  </w:t>
            </w:r>
            <w:r w:rsidR="00044112">
              <w:rPr>
                <w:rFonts w:ascii="Times" w:hAnsi="Times" w:cs="Times"/>
                <w:sz w:val="22"/>
                <w:szCs w:val="22"/>
              </w:rPr>
              <w:t>12.6.2017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Predpokladaný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predlož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DD1092" w:rsidP="00DD1092">
            <w:pPr>
              <w:bidi w:val="0"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D1092" w:rsidR="007542C7">
              <w:rPr>
                <w:rFonts w:ascii="Times" w:hAnsi="Times" w:cs="Times" w:hint="default"/>
                <w:sz w:val="22"/>
                <w:szCs w:val="22"/>
              </w:rPr>
              <w:t>Jú</w:t>
            </w:r>
            <w:r w:rsidRPr="00DD1092" w:rsidR="00DD1092">
              <w:rPr>
                <w:rFonts w:ascii="Times" w:hAnsi="Times" w:cs="Times"/>
                <w:sz w:val="22"/>
                <w:szCs w:val="22"/>
              </w:rPr>
              <w:t>l</w:t>
            </w:r>
            <w:r w:rsidRPr="00DD1092" w:rsidR="007542C7">
              <w:rPr>
                <w:rFonts w:ascii="Times" w:hAnsi="Times" w:cs="Times"/>
                <w:sz w:val="22"/>
                <w:szCs w:val="22"/>
              </w:rPr>
              <w:t xml:space="preserve"> 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Predpokladaný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predlož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na Rokovanie vlá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DD1092" w:rsidP="00DD1092">
            <w:pPr>
              <w:bidi w:val="0"/>
              <w:spacing w:line="276" w:lineRule="auto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DD1092" w:rsidR="00DD1092">
              <w:rPr>
                <w:rFonts w:ascii="Times" w:hAnsi="Times" w:cs="Times"/>
                <w:sz w:val="22"/>
                <w:szCs w:val="22"/>
              </w:rPr>
              <w:t>August</w:t>
            </w:r>
            <w:r w:rsidRPr="00DD1092">
              <w:rPr>
                <w:rFonts w:ascii="Times" w:hAnsi="Times" w:cs="Times"/>
                <w:sz w:val="22"/>
                <w:szCs w:val="22"/>
              </w:rPr>
              <w:t xml:space="preserve"> 2017</w:t>
            </w:r>
          </w:p>
        </w:tc>
      </w:tr>
    </w:tbl>
    <w:p w:rsidR="00E3363B" w:rsidP="00E3363B">
      <w:pPr>
        <w:pStyle w:val="NormalWeb"/>
        <w:bidi w:val="0"/>
        <w:spacing w:before="0" w:beforeAutospacing="0" w:after="0" w:afterAutospacing="0"/>
        <w:rPr>
          <w:bCs/>
          <w:sz w:val="22"/>
          <w:szCs w:val="22"/>
        </w:rPr>
      </w:pPr>
    </w:p>
    <w:p w:rsidR="00E3363B" w:rsidP="00E3363B">
      <w:pPr>
        <w:pStyle w:val="NormalWeb"/>
        <w:bidi w:val="0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2. 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Definí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cia problé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2F6FA8" w:rsidP="002F6FA8">
            <w:pPr>
              <w:bidi w:val="0"/>
              <w:ind w:firstLine="426"/>
              <w:jc w:val="both"/>
            </w:pPr>
            <w:r w:rsidRPr="00384331" w:rsidR="00E3363B">
              <w:rPr>
                <w:rFonts w:hint="default"/>
              </w:rPr>
              <w:t>Ná</w:t>
            </w:r>
            <w:r w:rsidRPr="00384331" w:rsidR="00E3363B">
              <w:rPr>
                <w:rFonts w:hint="default"/>
              </w:rPr>
              <w:t>vrh</w:t>
            </w:r>
            <w:r w:rsidR="00DD1092">
              <w:t>om</w:t>
            </w:r>
            <w:r w:rsidRPr="00384331" w:rsidR="00E3363B">
              <w:rPr>
                <w:rFonts w:hint="default"/>
              </w:rPr>
              <w:t xml:space="preserve"> zá</w:t>
            </w:r>
            <w:r w:rsidRPr="00384331" w:rsidR="00E3363B">
              <w:rPr>
                <w:rFonts w:hint="default"/>
              </w:rPr>
              <w:t xml:space="preserve">kona </w:t>
            </w:r>
            <w:r w:rsidR="00E06E69">
              <w:t>o </w:t>
            </w:r>
            <w:r w:rsidR="00E06E69">
              <w:rPr>
                <w:rFonts w:hint="default"/>
              </w:rPr>
              <w:t>radiač</w:t>
            </w:r>
            <w:r w:rsidR="00E06E69">
              <w:rPr>
                <w:rFonts w:hint="default"/>
              </w:rPr>
              <w:t>nej ochrane a o zmene a </w:t>
            </w:r>
            <w:r w:rsidR="00E06E69">
              <w:rPr>
                <w:rFonts w:hint="default"/>
              </w:rPr>
              <w:t>doplnení</w:t>
            </w:r>
            <w:r w:rsidR="00E06E69">
              <w:rPr>
                <w:rFonts w:hint="default"/>
              </w:rPr>
              <w:t xml:space="preserve"> niektorý</w:t>
            </w:r>
            <w:r w:rsidR="00E06E69">
              <w:rPr>
                <w:rFonts w:hint="default"/>
              </w:rPr>
              <w:t>ch zá</w:t>
            </w:r>
            <w:r w:rsidR="00E06E69">
              <w:rPr>
                <w:rFonts w:hint="default"/>
              </w:rPr>
              <w:t xml:space="preserve">konov sa </w:t>
            </w:r>
            <w:r w:rsidRPr="00384331" w:rsidR="00E3363B">
              <w:rPr>
                <w:rFonts w:hint="default"/>
              </w:rPr>
              <w:t>do prá</w:t>
            </w:r>
            <w:r w:rsidRPr="00384331" w:rsidR="00E3363B">
              <w:rPr>
                <w:rFonts w:hint="default"/>
              </w:rPr>
              <w:t xml:space="preserve">vneho poriadku Slovenskej republiky </w:t>
            </w:r>
            <w:r w:rsidRPr="00384331" w:rsidR="00E06E69">
              <w:rPr>
                <w:rFonts w:hint="default"/>
              </w:rPr>
              <w:t>preberá</w:t>
            </w:r>
            <w:r w:rsidRPr="00384331" w:rsidR="00E06E69">
              <w:rPr>
                <w:rFonts w:hint="default"/>
              </w:rPr>
              <w:t xml:space="preserve"> </w:t>
            </w:r>
            <w:r w:rsidRPr="00384331" w:rsidR="00E3363B">
              <w:t>smernic</w:t>
            </w:r>
            <w:r w:rsidR="00E06E69">
              <w:t>a</w:t>
            </w:r>
            <w:r w:rsidRPr="00384331" w:rsidR="00E3363B">
              <w:t xml:space="preserve"> Rady 201</w:t>
            </w:r>
            <w:r w:rsidRPr="00384331" w:rsidR="00FE3682">
              <w:t>3</w:t>
            </w:r>
            <w:r w:rsidRPr="00384331" w:rsidR="00E3363B">
              <w:t>/</w:t>
            </w:r>
            <w:r w:rsidRPr="00384331" w:rsidR="00FE3682">
              <w:t>59</w:t>
            </w:r>
            <w:r w:rsidRPr="00384331" w:rsidR="00E3363B">
              <w:rPr>
                <w:rFonts w:hint="default"/>
              </w:rPr>
              <w:t>/Euratom z 5. decembra 2013, ktorou sa stanovujú</w:t>
            </w:r>
            <w:r w:rsidRPr="00384331" w:rsidR="00E3363B">
              <w:rPr>
                <w:rFonts w:hint="default"/>
              </w:rPr>
              <w:t xml:space="preserve"> zá</w:t>
            </w:r>
            <w:r w:rsidRPr="00384331" w:rsidR="00E3363B">
              <w:rPr>
                <w:rFonts w:hint="default"/>
              </w:rPr>
              <w:t>kladné</w:t>
            </w:r>
            <w:r w:rsidRPr="00384331" w:rsidR="00E3363B">
              <w:rPr>
                <w:rFonts w:hint="default"/>
              </w:rPr>
              <w:t xml:space="preserve"> bezpeč</w:t>
            </w:r>
            <w:r w:rsidRPr="00384331" w:rsidR="00E3363B">
              <w:rPr>
                <w:rFonts w:hint="default"/>
              </w:rPr>
              <w:t>nostné</w:t>
            </w:r>
            <w:r w:rsidRPr="00384331" w:rsidR="00E3363B">
              <w:rPr>
                <w:rFonts w:hint="default"/>
              </w:rPr>
              <w:t xml:space="preserve"> normy ochrany pred nebezpeč</w:t>
            </w:r>
            <w:r w:rsidRPr="00384331" w:rsidR="00E3363B">
              <w:rPr>
                <w:rFonts w:hint="default"/>
              </w:rPr>
              <w:t>enstvami vznikajú</w:t>
            </w:r>
            <w:r w:rsidRPr="00384331" w:rsidR="00E3363B">
              <w:rPr>
                <w:rFonts w:hint="default"/>
              </w:rPr>
              <w:t>cimi v dô</w:t>
            </w:r>
            <w:r w:rsidRPr="00384331" w:rsidR="00E3363B">
              <w:rPr>
                <w:rFonts w:hint="default"/>
              </w:rPr>
              <w:t>sledku ionizujú</w:t>
            </w:r>
            <w:r w:rsidRPr="00384331" w:rsidR="00E3363B">
              <w:rPr>
                <w:rFonts w:hint="default"/>
              </w:rPr>
              <w:t>ceho ž</w:t>
            </w:r>
            <w:r w:rsidRPr="00384331" w:rsidR="00E3363B">
              <w:rPr>
                <w:rFonts w:hint="default"/>
              </w:rPr>
              <w:t>iarenia, a ktorou sa zruš</w:t>
            </w:r>
            <w:r w:rsidRPr="00384331" w:rsidR="00E3363B">
              <w:rPr>
                <w:rFonts w:hint="default"/>
              </w:rPr>
              <w:t>ujú</w:t>
            </w:r>
            <w:r w:rsidRPr="00384331" w:rsidR="00E3363B">
              <w:rPr>
                <w:rFonts w:hint="default"/>
              </w:rPr>
              <w:t xml:space="preserve"> smernice 89/618/Euratom, 90/641/Euratom, 96/29/Euratom, 97/43/Euratom a 2003/122/</w:t>
            </w:r>
            <w:r w:rsidRPr="00384331" w:rsidR="00E3363B">
              <w:rPr>
                <w:rFonts w:hint="default"/>
              </w:rPr>
              <w:t>E</w:t>
            </w:r>
            <w:r w:rsidRPr="00384331" w:rsidR="00E3363B">
              <w:rPr>
                <w:rFonts w:hint="default"/>
              </w:rPr>
              <w:t>uratom</w:t>
            </w:r>
            <w:r>
              <w:rPr>
                <w:rFonts w:hint="default"/>
              </w:rPr>
              <w:t xml:space="preserve"> a už</w:t>
            </w:r>
            <w:r>
              <w:rPr>
                <w:rFonts w:hint="default"/>
              </w:rPr>
              <w:t xml:space="preserve"> transponovanú</w:t>
            </w:r>
            <w:r>
              <w:rPr>
                <w:rFonts w:hint="default"/>
              </w:rPr>
              <w:t xml:space="preserve"> smernicu Rady 2013/51/Euratom </w:t>
            </w:r>
            <w:r w:rsidRPr="00BA36F6">
              <w:rPr>
                <w:rFonts w:hint="default"/>
              </w:rPr>
              <w:t>z 22. októ</w:t>
            </w:r>
            <w:r w:rsidRPr="00BA36F6">
              <w:rPr>
                <w:rFonts w:hint="default"/>
              </w:rPr>
              <w:t>bra 2013, ktorou sa stanovujú</w:t>
            </w:r>
            <w:r w:rsidRPr="00BA36F6">
              <w:rPr>
                <w:rFonts w:hint="default"/>
              </w:rPr>
              <w:t xml:space="preserve"> pož</w:t>
            </w:r>
            <w:r w:rsidRPr="00BA36F6">
              <w:rPr>
                <w:rFonts w:hint="default"/>
              </w:rPr>
              <w:t>iadavky na ochranu zdravia obyvateľ</w:t>
            </w:r>
            <w:r w:rsidRPr="00BA36F6">
              <w:rPr>
                <w:rFonts w:hint="default"/>
              </w:rPr>
              <w:t>stva vzhľ</w:t>
            </w:r>
            <w:r w:rsidRPr="00BA36F6">
              <w:rPr>
                <w:rFonts w:hint="default"/>
              </w:rPr>
              <w:t>adom na rá</w:t>
            </w:r>
            <w:r w:rsidRPr="00BA36F6">
              <w:rPr>
                <w:rFonts w:hint="default"/>
              </w:rPr>
              <w:t>dioaktí</w:t>
            </w:r>
            <w:r w:rsidRPr="00BA36F6">
              <w:rPr>
                <w:rFonts w:hint="default"/>
              </w:rPr>
              <w:t>vne lá</w:t>
            </w:r>
            <w:r w:rsidRPr="00BA36F6">
              <w:rPr>
                <w:rFonts w:hint="default"/>
              </w:rPr>
              <w:t>tky obsiahnuté</w:t>
            </w:r>
            <w:r w:rsidRPr="00BA36F6">
              <w:rPr>
                <w:rFonts w:hint="default"/>
              </w:rPr>
              <w:t xml:space="preserve"> vo vode urč</w:t>
            </w:r>
            <w:r w:rsidRPr="00BA36F6">
              <w:rPr>
                <w:rFonts w:hint="default"/>
              </w:rPr>
              <w:t>enej na ľ</w:t>
            </w:r>
            <w:r w:rsidRPr="00BA36F6">
              <w:rPr>
                <w:rFonts w:hint="default"/>
              </w:rPr>
              <w:t>udskú</w:t>
            </w:r>
            <w:r w:rsidRPr="00BA36F6">
              <w:rPr>
                <w:rFonts w:hint="default"/>
              </w:rPr>
              <w:t xml:space="preserve"> spotrebu</w:t>
            </w:r>
            <w:r>
              <w:t xml:space="preserve"> z </w:t>
            </w:r>
            <w:r>
              <w:rPr>
                <w:rFonts w:hint="default"/>
              </w:rPr>
              <w:t>dô</w:t>
            </w:r>
            <w:r>
              <w:rPr>
                <w:rFonts w:hint="default"/>
              </w:rPr>
              <w:t>vodu zjednotenia problematiky radiač</w:t>
            </w:r>
            <w:r>
              <w:rPr>
                <w:rFonts w:hint="default"/>
              </w:rPr>
              <w:t>nej ochrany do jedné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vneho predpisu.</w:t>
            </w:r>
            <w:r w:rsidRPr="005B743F">
              <w:t xml:space="preserve"> </w:t>
            </w:r>
          </w:p>
          <w:p w:rsidR="00E06E69" w:rsidRPr="00384331" w:rsidP="00CB4D55">
            <w:pPr>
              <w:bidi w:val="0"/>
              <w:ind w:firstLine="434"/>
              <w:jc w:val="both"/>
            </w:pP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vrh zá</w:t>
            </w:r>
            <w:r>
              <w:rPr>
                <w:rFonts w:hint="default"/>
              </w:rPr>
              <w:t>kona spolu s </w:t>
            </w:r>
            <w:r>
              <w:rPr>
                <w:rFonts w:hint="default"/>
              </w:rPr>
              <w:t>nový</w:t>
            </w:r>
            <w:r>
              <w:rPr>
                <w:rFonts w:hint="default"/>
              </w:rPr>
              <w:t>mi vykoná</w:t>
            </w:r>
            <w:r>
              <w:rPr>
                <w:rFonts w:hint="default"/>
              </w:rPr>
              <w:t>vací</w:t>
            </w:r>
            <w:r>
              <w:rPr>
                <w:rFonts w:hint="default"/>
              </w:rPr>
              <w:t>mi predpismi, ktoré</w:t>
            </w:r>
            <w:r>
              <w:rPr>
                <w:rFonts w:hint="default"/>
              </w:rPr>
              <w:t xml:space="preserve"> sa predpokladajú</w:t>
            </w:r>
            <w:r>
              <w:rPr>
                <w:rFonts w:hint="default"/>
              </w:rPr>
              <w:t xml:space="preserve"> podľ</w:t>
            </w:r>
            <w:r>
              <w:rPr>
                <w:rFonts w:hint="default"/>
              </w:rPr>
              <w:t>a predlož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>ho ná</w:t>
            </w:r>
            <w:r>
              <w:rPr>
                <w:rFonts w:hint="default"/>
              </w:rPr>
              <w:t>vrhu zá</w:t>
            </w:r>
            <w:r>
              <w:rPr>
                <w:rFonts w:hint="default"/>
              </w:rPr>
              <w:t>kona vydať</w:t>
            </w:r>
            <w:r>
              <w:rPr>
                <w:rFonts w:hint="default"/>
              </w:rPr>
              <w:t xml:space="preserve"> nahradia doteraz platné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vne predpisy, ktoré</w:t>
            </w:r>
            <w:r>
              <w:rPr>
                <w:rFonts w:hint="default"/>
              </w:rPr>
              <w:t xml:space="preserve"> upravovali problematiku radiač</w:t>
            </w:r>
            <w:r>
              <w:rPr>
                <w:rFonts w:hint="default"/>
              </w:rPr>
              <w:t>nej ochrany.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384331">
              <w:rPr>
                <w:b/>
                <w:bCs/>
              </w:rPr>
              <w:t> </w:t>
            </w:r>
            <w:r w:rsidRPr="00384331">
              <w:rPr>
                <w:b/>
                <w:bCs/>
              </w:rPr>
              <w:t xml:space="preserve"> 3.  Ci</w:t>
            </w:r>
            <w:r w:rsidRPr="00384331">
              <w:rPr>
                <w:rFonts w:hint="default"/>
                <w:b/>
                <w:bCs/>
              </w:rPr>
              <w:t>ele a vý</w:t>
            </w:r>
            <w:r w:rsidRPr="00384331">
              <w:rPr>
                <w:rFonts w:hint="default"/>
                <w:b/>
                <w:bCs/>
              </w:rPr>
              <w:t>sledný</w:t>
            </w:r>
            <w:r w:rsidRPr="00384331">
              <w:rPr>
                <w:rFonts w:hint="default"/>
                <w:b/>
                <w:bCs/>
              </w:rPr>
              <w:t xml:space="preserve">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CB4D55" w:rsidP="00CB4D55">
            <w:pPr>
              <w:bidi w:val="0"/>
              <w:ind w:firstLine="434"/>
              <w:jc w:val="both"/>
              <w:rPr>
                <w:rStyle w:val="PlaceholderText1"/>
              </w:rPr>
            </w:pPr>
            <w:r w:rsidR="00E06E69">
              <w:rPr>
                <w:rFonts w:hint="default"/>
              </w:rPr>
              <w:t>Ná</w:t>
            </w:r>
            <w:r w:rsidR="00E06E69">
              <w:rPr>
                <w:rFonts w:hint="default"/>
              </w:rPr>
              <w:t>vrh</w:t>
            </w:r>
            <w:r w:rsidRPr="002E4091" w:rsidR="00E06E69">
              <w:t xml:space="preserve"> </w:t>
            </w:r>
            <w:r w:rsidR="00E06E69">
              <w:rPr>
                <w:rFonts w:hint="default"/>
              </w:rPr>
              <w:t>zá</w:t>
            </w:r>
            <w:r w:rsidR="00E06E69">
              <w:rPr>
                <w:rFonts w:hint="default"/>
              </w:rPr>
              <w:t xml:space="preserve">kona upravuje </w:t>
            </w:r>
            <w:r w:rsidRPr="002E4091" w:rsidR="00E06E69">
              <w:rPr>
                <w:rFonts w:hint="default"/>
              </w:rPr>
              <w:t>vý</w:t>
            </w:r>
            <w:r w:rsidRPr="002E4091" w:rsidR="00E06E69">
              <w:rPr>
                <w:rFonts w:hint="default"/>
              </w:rPr>
              <w:t>kon š</w:t>
            </w:r>
            <w:r w:rsidRPr="002E4091" w:rsidR="00E06E69">
              <w:rPr>
                <w:rFonts w:hint="default"/>
              </w:rPr>
              <w:t>tá</w:t>
            </w:r>
            <w:r w:rsidRPr="002E4091" w:rsidR="00E06E69">
              <w:rPr>
                <w:rFonts w:hint="default"/>
              </w:rPr>
              <w:t>tnej sprá</w:t>
            </w:r>
            <w:r w:rsidRPr="002E4091" w:rsidR="00E06E69">
              <w:rPr>
                <w:rFonts w:hint="default"/>
              </w:rPr>
              <w:t>vy v oblasti radiač</w:t>
            </w:r>
            <w:r w:rsidRPr="002E4091" w:rsidR="00E06E69">
              <w:rPr>
                <w:rFonts w:hint="default"/>
              </w:rPr>
              <w:t>nej ochrany,</w:t>
            </w:r>
            <w:r w:rsidR="00E06E69">
              <w:t xml:space="preserve"> </w:t>
            </w:r>
            <w:r w:rsidRPr="002E4091" w:rsidR="00E06E69">
              <w:rPr>
                <w:rFonts w:hint="default"/>
              </w:rPr>
              <w:t>podmienky vykoná</w:t>
            </w:r>
            <w:r w:rsidRPr="002E4091" w:rsidR="00E06E69">
              <w:rPr>
                <w:rFonts w:hint="default"/>
              </w:rPr>
              <w:t>vania č</w:t>
            </w:r>
            <w:r w:rsidRPr="002E4091" w:rsidR="00E06E69">
              <w:rPr>
                <w:rFonts w:hint="default"/>
              </w:rPr>
              <w:t>innosti vedú</w:t>
            </w:r>
            <w:r w:rsidRPr="002E4091" w:rsidR="00E06E69">
              <w:rPr>
                <w:rFonts w:hint="default"/>
              </w:rPr>
              <w:t>cej k </w:t>
            </w:r>
            <w:r w:rsidRPr="002E4091" w:rsidR="00E06E69">
              <w:rPr>
                <w:rFonts w:hint="default"/>
              </w:rPr>
              <w:t>ož</w:t>
            </w:r>
            <w:r w:rsidRPr="002E4091" w:rsidR="00E06E69">
              <w:rPr>
                <w:rFonts w:hint="default"/>
              </w:rPr>
              <w:t xml:space="preserve">iareniu </w:t>
            </w:r>
            <w:r w:rsidRPr="002E4091" w:rsidR="00044112">
              <w:rPr>
                <w:rFonts w:hint="default"/>
              </w:rPr>
              <w:t>a č</w:t>
            </w:r>
            <w:r w:rsidRPr="002E4091" w:rsidR="00044112">
              <w:rPr>
                <w:rFonts w:hint="default"/>
              </w:rPr>
              <w:t>innosti poskytovania služ</w:t>
            </w:r>
            <w:r w:rsidRPr="002E4091" w:rsidR="00044112">
              <w:rPr>
                <w:rFonts w:hint="default"/>
              </w:rPr>
              <w:t xml:space="preserve">ieb </w:t>
            </w:r>
            <w:r w:rsidR="00044112">
              <w:rPr>
                <w:rFonts w:hint="default"/>
              </w:rPr>
              <w:t>dô</w:t>
            </w:r>
            <w:r w:rsidR="00044112">
              <w:rPr>
                <w:rFonts w:hint="default"/>
              </w:rPr>
              <w:t>lež</w:t>
            </w:r>
            <w:r w:rsidR="00044112">
              <w:rPr>
                <w:rFonts w:hint="default"/>
              </w:rPr>
              <w:t>itý</w:t>
            </w:r>
            <w:r w:rsidR="00044112">
              <w:rPr>
                <w:rFonts w:hint="default"/>
              </w:rPr>
              <w:t>ch z hľ</w:t>
            </w:r>
            <w:r w:rsidR="00044112">
              <w:rPr>
                <w:rFonts w:hint="default"/>
              </w:rPr>
              <w:t>adiska</w:t>
            </w:r>
            <w:r w:rsidRPr="002E4091" w:rsidR="00044112">
              <w:rPr>
                <w:rFonts w:hint="default"/>
              </w:rPr>
              <w:t xml:space="preserve"> radiač</w:t>
            </w:r>
            <w:r w:rsidRPr="002E4091" w:rsidR="00044112">
              <w:rPr>
                <w:rFonts w:hint="default"/>
              </w:rPr>
              <w:t xml:space="preserve">nej ochrany </w:t>
            </w:r>
            <w:r w:rsidRPr="002E4091" w:rsidR="00E06E69">
              <w:rPr>
                <w:rFonts w:hint="default"/>
              </w:rPr>
              <w:t>v prostredí</w:t>
            </w:r>
            <w:r w:rsidRPr="002E4091" w:rsidR="00E06E69">
              <w:rPr>
                <w:rFonts w:hint="default"/>
              </w:rPr>
              <w:t xml:space="preserve"> s </w:t>
            </w:r>
            <w:r w:rsidRPr="002E4091" w:rsidR="00E06E69">
              <w:rPr>
                <w:rFonts w:hint="default"/>
              </w:rPr>
              <w:t>prí</w:t>
            </w:r>
            <w:r w:rsidRPr="002E4091" w:rsidR="00E06E69">
              <w:rPr>
                <w:rFonts w:hint="default"/>
              </w:rPr>
              <w:t>rodný</w:t>
            </w:r>
            <w:r w:rsidRPr="002E4091" w:rsidR="00E06E69">
              <w:rPr>
                <w:rFonts w:hint="default"/>
              </w:rPr>
              <w:t>mi zdrojmi ž</w:t>
            </w:r>
            <w:r w:rsidRPr="002E4091" w:rsidR="00E06E69">
              <w:rPr>
                <w:rFonts w:hint="default"/>
              </w:rPr>
              <w:t>iarenia, pož</w:t>
            </w:r>
            <w:r w:rsidRPr="002E4091" w:rsidR="00E06E69">
              <w:rPr>
                <w:rFonts w:hint="default"/>
              </w:rPr>
              <w:t>iadavky na nakladanie s </w:t>
            </w:r>
            <w:r w:rsidRPr="002E4091" w:rsidR="00E06E69">
              <w:rPr>
                <w:rFonts w:hint="default"/>
              </w:rPr>
              <w:t>rá</w:t>
            </w:r>
            <w:r w:rsidRPr="002E4091" w:rsidR="00E06E69">
              <w:rPr>
                <w:rFonts w:hint="default"/>
              </w:rPr>
              <w:t>dioaktí</w:t>
            </w:r>
            <w:r w:rsidRPr="002E4091" w:rsidR="00E06E69">
              <w:rPr>
                <w:rFonts w:hint="default"/>
              </w:rPr>
              <w:t>vnymi lá</w:t>
            </w:r>
            <w:r w:rsidRPr="002E4091" w:rsidR="00E06E69">
              <w:rPr>
                <w:rFonts w:hint="default"/>
              </w:rPr>
              <w:t>tkami, inš</w:t>
            </w:r>
            <w:r w:rsidRPr="002E4091" w:rsidR="00E06E69">
              <w:rPr>
                <w:rFonts w:hint="default"/>
              </w:rPr>
              <w:t>titucioná</w:t>
            </w:r>
            <w:r w:rsidRPr="002E4091" w:rsidR="00E06E69">
              <w:rPr>
                <w:rFonts w:hint="default"/>
              </w:rPr>
              <w:t>lnymi rá</w:t>
            </w:r>
            <w:r w:rsidRPr="002E4091" w:rsidR="00E06E69">
              <w:rPr>
                <w:rFonts w:hint="default"/>
              </w:rPr>
              <w:t>dioaktí</w:t>
            </w:r>
            <w:r w:rsidRPr="002E4091" w:rsidR="00E06E69">
              <w:rPr>
                <w:rFonts w:hint="default"/>
              </w:rPr>
              <w:t>vnymi odpadmi a </w:t>
            </w:r>
            <w:r w:rsidRPr="002E4091" w:rsidR="00E06E69">
              <w:rPr>
                <w:rFonts w:hint="default"/>
              </w:rPr>
              <w:t>rá</w:t>
            </w:r>
            <w:r w:rsidRPr="002E4091" w:rsidR="00E06E69">
              <w:rPr>
                <w:rFonts w:hint="default"/>
              </w:rPr>
              <w:t>dioaktí</w:t>
            </w:r>
            <w:r w:rsidRPr="002E4091" w:rsidR="00E06E69">
              <w:rPr>
                <w:rFonts w:hint="default"/>
              </w:rPr>
              <w:t>vnymi odpadmi nezná</w:t>
            </w:r>
            <w:r w:rsidRPr="002E4091" w:rsidR="00E06E69">
              <w:rPr>
                <w:rFonts w:hint="default"/>
              </w:rPr>
              <w:t>meho pô</w:t>
            </w:r>
            <w:r w:rsidRPr="002E4091" w:rsidR="00E06E69">
              <w:rPr>
                <w:rFonts w:hint="default"/>
              </w:rPr>
              <w:t>vodu,</w:t>
            </w:r>
            <w:r w:rsidR="00E06E69">
              <w:t xml:space="preserve"> </w:t>
            </w:r>
            <w:r w:rsidRPr="002E4091" w:rsidR="00E06E69">
              <w:rPr>
                <w:rFonts w:hint="default"/>
              </w:rPr>
              <w:t>ochranu pracovní</w:t>
            </w:r>
            <w:r w:rsidRPr="002E4091" w:rsidR="00E06E69">
              <w:rPr>
                <w:rFonts w:hint="default"/>
              </w:rPr>
              <w:t>kov a obyvateľ</w:t>
            </w:r>
            <w:r w:rsidRPr="002E4091" w:rsidR="00E06E69">
              <w:rPr>
                <w:rFonts w:hint="default"/>
              </w:rPr>
              <w:t>ov pred ož</w:t>
            </w:r>
            <w:r w:rsidRPr="002E4091" w:rsidR="00E06E69">
              <w:rPr>
                <w:rFonts w:hint="default"/>
              </w:rPr>
              <w:t>iarení</w:t>
            </w:r>
            <w:r w:rsidRPr="002E4091" w:rsidR="00E06E69">
              <w:rPr>
                <w:rFonts w:hint="default"/>
              </w:rPr>
              <w:t>m radó</w:t>
            </w:r>
            <w:r w:rsidRPr="002E4091" w:rsidR="00E06E69">
              <w:rPr>
                <w:rFonts w:hint="default"/>
              </w:rPr>
              <w:t>nom vo vnú</w:t>
            </w:r>
            <w:r w:rsidRPr="002E4091" w:rsidR="00E06E69">
              <w:rPr>
                <w:rFonts w:hint="default"/>
              </w:rPr>
              <w:t>tornom ovzduší</w:t>
            </w:r>
            <w:r w:rsidRPr="002E4091" w:rsidR="00E06E69">
              <w:rPr>
                <w:rFonts w:hint="default"/>
              </w:rPr>
              <w:t xml:space="preserve"> budov, vonkajší</w:t>
            </w:r>
            <w:r w:rsidRPr="002E4091" w:rsidR="00E06E69">
              <w:rPr>
                <w:rFonts w:hint="default"/>
              </w:rPr>
              <w:t>m ož</w:t>
            </w:r>
            <w:r w:rsidRPr="002E4091" w:rsidR="00E06E69">
              <w:rPr>
                <w:rFonts w:hint="default"/>
              </w:rPr>
              <w:t>iarení</w:t>
            </w:r>
            <w:r w:rsidRPr="002E4091" w:rsidR="00E06E69">
              <w:rPr>
                <w:rFonts w:hint="default"/>
              </w:rPr>
              <w:t>m zo stave</w:t>
            </w:r>
            <w:r w:rsidRPr="002E4091" w:rsidR="00E06E69">
              <w:rPr>
                <w:rFonts w:hint="default"/>
              </w:rPr>
              <w:t>bný</w:t>
            </w:r>
            <w:r w:rsidRPr="002E4091" w:rsidR="00E06E69">
              <w:rPr>
                <w:rFonts w:hint="default"/>
              </w:rPr>
              <w:t>ch materiá</w:t>
            </w:r>
            <w:r w:rsidRPr="002E4091" w:rsidR="00E06E69">
              <w:rPr>
                <w:rFonts w:hint="default"/>
              </w:rPr>
              <w:t>lov a pretrvá</w:t>
            </w:r>
            <w:r w:rsidRPr="002E4091" w:rsidR="00E06E69">
              <w:rPr>
                <w:rFonts w:hint="default"/>
              </w:rPr>
              <w:t>vajú</w:t>
            </w:r>
            <w:r w:rsidRPr="002E4091" w:rsidR="00E06E69">
              <w:rPr>
                <w:rFonts w:hint="default"/>
              </w:rPr>
              <w:t>cim ož</w:t>
            </w:r>
            <w:r w:rsidRPr="002E4091" w:rsidR="00E06E69">
              <w:rPr>
                <w:rFonts w:hint="default"/>
              </w:rPr>
              <w:t>iarení</w:t>
            </w:r>
            <w:r w:rsidRPr="002E4091" w:rsidR="00E06E69">
              <w:rPr>
                <w:rFonts w:hint="default"/>
              </w:rPr>
              <w:t>m, ktoré</w:t>
            </w:r>
            <w:r w:rsidRPr="002E4091" w:rsidR="00E06E69">
              <w:rPr>
                <w:rFonts w:hint="default"/>
              </w:rPr>
              <w:t xml:space="preserve"> je dô</w:t>
            </w:r>
            <w:r w:rsidRPr="002E4091" w:rsidR="00E06E69">
              <w:rPr>
                <w:rFonts w:hint="default"/>
              </w:rPr>
              <w:t>sledkom nú</w:t>
            </w:r>
            <w:r w:rsidRPr="002E4091" w:rsidR="00E06E69">
              <w:rPr>
                <w:rFonts w:hint="default"/>
              </w:rPr>
              <w:t>dzovej situá</w:t>
            </w:r>
            <w:r w:rsidRPr="002E4091" w:rsidR="00E06E69">
              <w:rPr>
                <w:rFonts w:hint="default"/>
              </w:rPr>
              <w:t>cie alebo dô</w:t>
            </w:r>
            <w:r w:rsidRPr="002E4091" w:rsidR="00E06E69">
              <w:rPr>
                <w:rFonts w:hint="default"/>
              </w:rPr>
              <w:t>sledkom ľ</w:t>
            </w:r>
            <w:r w:rsidRPr="002E4091" w:rsidR="00E06E69">
              <w:rPr>
                <w:rFonts w:hint="default"/>
              </w:rPr>
              <w:t>udskej č</w:t>
            </w:r>
            <w:r w:rsidRPr="002E4091" w:rsidR="00E06E69">
              <w:rPr>
                <w:rFonts w:hint="default"/>
              </w:rPr>
              <w:t>innosti v minulosti,</w:t>
            </w:r>
            <w:r w:rsidR="00E06E69">
              <w:t xml:space="preserve"> </w:t>
            </w:r>
            <w:r w:rsidRPr="002E4091" w:rsidR="00E06E69">
              <w:rPr>
                <w:rFonts w:hint="default"/>
              </w:rPr>
              <w:t>zaistenie bezpeč</w:t>
            </w:r>
            <w:r w:rsidRPr="002E4091" w:rsidR="00E06E69">
              <w:rPr>
                <w:rFonts w:hint="default"/>
              </w:rPr>
              <w:t>nosti rá</w:t>
            </w:r>
            <w:r w:rsidRPr="002E4091" w:rsidR="00E06E69">
              <w:rPr>
                <w:rFonts w:hint="default"/>
              </w:rPr>
              <w:t>dioaktí</w:t>
            </w:r>
            <w:r w:rsidRPr="002E4091" w:rsidR="00E06E69">
              <w:rPr>
                <w:rFonts w:hint="default"/>
              </w:rPr>
              <w:t>vneho ž</w:t>
            </w:r>
            <w:r w:rsidRPr="002E4091" w:rsidR="00E06E69">
              <w:rPr>
                <w:rFonts w:hint="default"/>
              </w:rPr>
              <w:t>iarič</w:t>
            </w:r>
            <w:r w:rsidRPr="002E4091" w:rsidR="00E06E69">
              <w:rPr>
                <w:rFonts w:hint="default"/>
              </w:rPr>
              <w:t>a, pripravenosť</w:t>
            </w:r>
            <w:r w:rsidRPr="002E4091" w:rsidR="00E06E69">
              <w:rPr>
                <w:rFonts w:hint="default"/>
              </w:rPr>
              <w:t xml:space="preserve"> na nú</w:t>
            </w:r>
            <w:r w:rsidRPr="002E4091" w:rsidR="00E06E69">
              <w:rPr>
                <w:rFonts w:hint="default"/>
              </w:rPr>
              <w:t>dzové</w:t>
            </w:r>
            <w:r w:rsidRPr="002E4091" w:rsidR="00E06E69">
              <w:rPr>
                <w:rFonts w:hint="default"/>
              </w:rPr>
              <w:t xml:space="preserve"> situá</w:t>
            </w:r>
            <w:r w:rsidRPr="002E4091" w:rsidR="00E06E69">
              <w:rPr>
                <w:rFonts w:hint="default"/>
              </w:rPr>
              <w:t>cie ož</w:t>
            </w:r>
            <w:r w:rsidRPr="002E4091" w:rsidR="00E06E69">
              <w:rPr>
                <w:rFonts w:hint="default"/>
              </w:rPr>
              <w:t>iarenia,</w:t>
            </w:r>
            <w:r w:rsidR="00E06E69">
              <w:t xml:space="preserve"> </w:t>
            </w:r>
            <w:r w:rsidRPr="002E4091" w:rsidR="00E06E69">
              <w:rPr>
                <w:rFonts w:hint="default"/>
              </w:rPr>
              <w:t>monitorovanie radiač</w:t>
            </w:r>
            <w:r w:rsidRPr="002E4091" w:rsidR="00E06E69">
              <w:rPr>
                <w:rFonts w:hint="default"/>
              </w:rPr>
              <w:t>nej situá</w:t>
            </w:r>
            <w:r w:rsidRPr="002E4091" w:rsidR="00E06E69">
              <w:rPr>
                <w:rFonts w:hint="default"/>
              </w:rPr>
              <w:t>cie a rad</w:t>
            </w:r>
            <w:r w:rsidRPr="002E4091" w:rsidR="00E06E69">
              <w:rPr>
                <w:rFonts w:hint="default"/>
              </w:rPr>
              <w:t>iač</w:t>
            </w:r>
            <w:r w:rsidRPr="002E4091" w:rsidR="00E06E69">
              <w:rPr>
                <w:rFonts w:hint="default"/>
              </w:rPr>
              <w:t>nú</w:t>
            </w:r>
            <w:r w:rsidRPr="002E4091" w:rsidR="00E06E69">
              <w:rPr>
                <w:rFonts w:hint="default"/>
              </w:rPr>
              <w:t xml:space="preserve"> monitorovaciu sieť,</w:t>
            </w:r>
            <w:r w:rsidR="00E06E69">
              <w:t xml:space="preserve"> </w:t>
            </w:r>
            <w:r w:rsidRPr="002E4091" w:rsidR="00E06E69">
              <w:rPr>
                <w:rFonts w:hint="default"/>
              </w:rPr>
              <w:t>obmedzovanie ož</w:t>
            </w:r>
            <w:r w:rsidRPr="002E4091" w:rsidR="00E06E69">
              <w:rPr>
                <w:rFonts w:hint="default"/>
              </w:rPr>
              <w:t>iarenia z pitnej vody</w:t>
            </w:r>
            <w:r w:rsidR="00044112">
              <w:t xml:space="preserve"> a</w:t>
            </w:r>
            <w:r w:rsidRPr="002E4091" w:rsidR="00E06E69">
              <w:rPr>
                <w:rFonts w:hint="default"/>
              </w:rPr>
              <w:t xml:space="preserve"> prí</w:t>
            </w:r>
            <w:r w:rsidRPr="002E4091" w:rsidR="00E06E69">
              <w:rPr>
                <w:rFonts w:hint="default"/>
              </w:rPr>
              <w:t>rodnej minerá</w:t>
            </w:r>
            <w:r w:rsidRPr="002E4091" w:rsidR="00E06E69">
              <w:rPr>
                <w:rFonts w:hint="default"/>
              </w:rPr>
              <w:t>lnej vody,</w:t>
            </w:r>
            <w:r w:rsidR="00E06E69">
              <w:t xml:space="preserve"> </w:t>
            </w:r>
            <w:r w:rsidRPr="002E4091" w:rsidR="00E06E69">
              <w:rPr>
                <w:rFonts w:hint="default"/>
              </w:rPr>
              <w:t>povinnosti fyzický</w:t>
            </w:r>
            <w:r w:rsidRPr="002E4091" w:rsidR="00E06E69">
              <w:rPr>
                <w:rFonts w:hint="default"/>
              </w:rPr>
              <w:t>ch osô</w:t>
            </w:r>
            <w:r w:rsidRPr="002E4091" w:rsidR="00E06E69">
              <w:rPr>
                <w:rFonts w:hint="default"/>
              </w:rPr>
              <w:t>b a prá</w:t>
            </w:r>
            <w:r w:rsidRPr="002E4091" w:rsidR="00E06E69">
              <w:rPr>
                <w:rFonts w:hint="default"/>
              </w:rPr>
              <w:t>vnický</w:t>
            </w:r>
            <w:r w:rsidRPr="002E4091" w:rsidR="00E06E69">
              <w:rPr>
                <w:rFonts w:hint="default"/>
              </w:rPr>
              <w:t>ch osô</w:t>
            </w:r>
            <w:r w:rsidRPr="002E4091" w:rsidR="00E06E69">
              <w:rPr>
                <w:rFonts w:hint="default"/>
              </w:rPr>
              <w:t>b pri zabezpeč</w:t>
            </w:r>
            <w:r w:rsidRPr="002E4091" w:rsidR="00E06E69">
              <w:rPr>
                <w:rFonts w:hint="default"/>
              </w:rPr>
              <w:t>ovaní</w:t>
            </w:r>
            <w:r w:rsidRPr="002E4091" w:rsidR="00E06E69">
              <w:rPr>
                <w:rFonts w:hint="default"/>
              </w:rPr>
              <w:t xml:space="preserve"> radiač</w:t>
            </w:r>
            <w:r w:rsidRPr="002E4091" w:rsidR="00E06E69">
              <w:rPr>
                <w:rFonts w:hint="default"/>
              </w:rPr>
              <w:t>nej ochrany</w:t>
            </w:r>
            <w:r w:rsidR="00E06E69">
              <w:t xml:space="preserve">  </w:t>
            </w:r>
            <w:r w:rsidRPr="002E4091" w:rsidR="00E06E69">
              <w:t>priestupky</w:t>
            </w:r>
            <w:r w:rsidR="00044112">
              <w:t xml:space="preserve"> a </w:t>
            </w:r>
            <w:r w:rsidR="00044112">
              <w:rPr>
                <w:rFonts w:hint="default"/>
              </w:rPr>
              <w:t>iné</w:t>
            </w:r>
            <w:r w:rsidR="00044112">
              <w:rPr>
                <w:rFonts w:hint="default"/>
              </w:rPr>
              <w:t xml:space="preserve"> </w:t>
            </w:r>
            <w:r w:rsidRPr="002E4091" w:rsidR="00E06E69">
              <w:rPr>
                <w:rFonts w:hint="default"/>
              </w:rPr>
              <w:t>sprá</w:t>
            </w:r>
            <w:r w:rsidRPr="002E4091" w:rsidR="00E06E69">
              <w:rPr>
                <w:rFonts w:hint="default"/>
              </w:rPr>
              <w:t>vne delikty</w:t>
            </w:r>
            <w:r w:rsidR="00E06E69">
              <w:t xml:space="preserve"> a</w:t>
            </w:r>
            <w:r w:rsidRPr="002E4091" w:rsidR="00E06E69">
              <w:rPr>
                <w:rFonts w:hint="default"/>
              </w:rPr>
              <w:t xml:space="preserve"> sankcie na ú</w:t>
            </w:r>
            <w:r w:rsidRPr="002E4091" w:rsidR="00E06E69">
              <w:rPr>
                <w:rFonts w:hint="default"/>
              </w:rPr>
              <w:t>seku radiač</w:t>
            </w:r>
            <w:r w:rsidRPr="002E4091" w:rsidR="00E06E69">
              <w:rPr>
                <w:rFonts w:hint="default"/>
              </w:rPr>
              <w:t>nej ochrany.</w:t>
            </w:r>
          </w:p>
          <w:p w:rsidR="00CB4D55" w:rsidP="00CB4D55">
            <w:pPr>
              <w:bidi w:val="0"/>
              <w:ind w:firstLine="434"/>
              <w:jc w:val="both"/>
              <w:rPr>
                <w:color w:val="808080"/>
              </w:rPr>
            </w:pPr>
            <w:r w:rsidRPr="002E4091" w:rsidR="00E06E69">
              <w:rPr>
                <w:rFonts w:hint="default"/>
              </w:rPr>
              <w:t>Ná</w:t>
            </w:r>
            <w:r w:rsidRPr="002E4091" w:rsidR="00E06E69">
              <w:rPr>
                <w:rFonts w:hint="default"/>
              </w:rPr>
              <w:t>vrh zá</w:t>
            </w:r>
            <w:r w:rsidRPr="002E4091" w:rsidR="00E06E69">
              <w:rPr>
                <w:rFonts w:hint="default"/>
              </w:rPr>
              <w:t>kon</w:t>
            </w:r>
            <w:r w:rsidRPr="002E4091" w:rsidR="00E06E69">
              <w:rPr>
                <w:rFonts w:hint="default"/>
              </w:rPr>
              <w:t>a obsahuje nový</w:t>
            </w:r>
            <w:r w:rsidRPr="002E4091" w:rsidR="00E06E69">
              <w:rPr>
                <w:rFonts w:hint="default"/>
              </w:rPr>
              <w:t xml:space="preserve"> prí</w:t>
            </w:r>
            <w:r w:rsidRPr="002E4091" w:rsidR="00E06E69">
              <w:rPr>
                <w:rFonts w:hint="default"/>
              </w:rPr>
              <w:t>stup k </w:t>
            </w:r>
            <w:r w:rsidRPr="002E4091" w:rsidR="00E06E69">
              <w:rPr>
                <w:rFonts w:hint="default"/>
              </w:rPr>
              <w:t>regulá</w:t>
            </w:r>
            <w:r w:rsidRPr="002E4091" w:rsidR="00E06E69">
              <w:rPr>
                <w:rFonts w:hint="default"/>
              </w:rPr>
              <w:t>cii a </w:t>
            </w:r>
            <w:r w:rsidRPr="002E4091" w:rsidR="00E06E69">
              <w:rPr>
                <w:rFonts w:hint="default"/>
              </w:rPr>
              <w:t>kontrole použí</w:t>
            </w:r>
            <w:r w:rsidRPr="002E4091" w:rsidR="00E06E69">
              <w:rPr>
                <w:rFonts w:hint="default"/>
              </w:rPr>
              <w:t>vania rô</w:t>
            </w:r>
            <w:r w:rsidRPr="002E4091" w:rsidR="00E06E69">
              <w:rPr>
                <w:rFonts w:hint="default"/>
              </w:rPr>
              <w:t>znych druhov zdrojov ionizujú</w:t>
            </w:r>
            <w:r w:rsidRPr="002E4091" w:rsidR="00E06E69">
              <w:rPr>
                <w:rFonts w:hint="default"/>
              </w:rPr>
              <w:t>ceho ž</w:t>
            </w:r>
            <w:r w:rsidRPr="002E4091" w:rsidR="00E06E69">
              <w:rPr>
                <w:rFonts w:hint="default"/>
              </w:rPr>
              <w:t>iarenia a </w:t>
            </w:r>
            <w:r w:rsidRPr="002E4091" w:rsidR="00E06E69">
              <w:rPr>
                <w:rFonts w:hint="default"/>
              </w:rPr>
              <w:t>poskytovania služ</w:t>
            </w:r>
            <w:r w:rsidRPr="002E4091" w:rsidR="00E06E69">
              <w:rPr>
                <w:rFonts w:hint="default"/>
              </w:rPr>
              <w:t xml:space="preserve">ieb </w:t>
            </w:r>
            <w:r w:rsidR="00044112">
              <w:rPr>
                <w:rFonts w:hint="default"/>
              </w:rPr>
              <w:t>dô</w:t>
            </w:r>
            <w:r w:rsidR="00044112">
              <w:rPr>
                <w:rFonts w:hint="default"/>
              </w:rPr>
              <w:t>lež</w:t>
            </w:r>
            <w:r w:rsidR="00044112">
              <w:rPr>
                <w:rFonts w:hint="default"/>
              </w:rPr>
              <w:t>itý</w:t>
            </w:r>
            <w:r w:rsidR="00044112">
              <w:rPr>
                <w:rFonts w:hint="default"/>
              </w:rPr>
              <w:t>ch z hľ</w:t>
            </w:r>
            <w:r w:rsidR="00044112">
              <w:rPr>
                <w:rFonts w:hint="default"/>
              </w:rPr>
              <w:t>adiska</w:t>
            </w:r>
            <w:r w:rsidRPr="002E4091" w:rsidR="00E06E69">
              <w:rPr>
                <w:rFonts w:hint="default"/>
              </w:rPr>
              <w:t xml:space="preserve"> radiač</w:t>
            </w:r>
            <w:r w:rsidRPr="002E4091" w:rsidR="00E06E69">
              <w:rPr>
                <w:rFonts w:hint="default"/>
              </w:rPr>
              <w:t>nej ochrany. Ná</w:t>
            </w:r>
            <w:r w:rsidRPr="002E4091" w:rsidR="00E06E69">
              <w:rPr>
                <w:rFonts w:hint="default"/>
              </w:rPr>
              <w:t>vrh zá</w:t>
            </w:r>
            <w:r w:rsidRPr="002E4091" w:rsidR="00E06E69">
              <w:rPr>
                <w:rFonts w:hint="default"/>
              </w:rPr>
              <w:t>kona obsahuje odstupň</w:t>
            </w:r>
            <w:r w:rsidRPr="002E4091" w:rsidR="00E06E69">
              <w:rPr>
                <w:rFonts w:hint="default"/>
              </w:rPr>
              <w:t>ovaný</w:t>
            </w:r>
            <w:r w:rsidRPr="002E4091" w:rsidR="00E06E69">
              <w:rPr>
                <w:rFonts w:hint="default"/>
              </w:rPr>
              <w:t xml:space="preserve"> rež</w:t>
            </w:r>
            <w:r w:rsidRPr="002E4091" w:rsidR="00E06E69">
              <w:rPr>
                <w:rFonts w:hint="default"/>
              </w:rPr>
              <w:t>im v </w:t>
            </w:r>
            <w:r w:rsidRPr="002E4091" w:rsidR="00E06E69">
              <w:rPr>
                <w:rFonts w:hint="default"/>
              </w:rPr>
              <w:t>zá</w:t>
            </w:r>
            <w:r w:rsidRPr="002E4091" w:rsidR="00E06E69">
              <w:rPr>
                <w:rFonts w:hint="default"/>
              </w:rPr>
              <w:t>vislosti od výš</w:t>
            </w:r>
            <w:r w:rsidRPr="002E4091" w:rsidR="00E06E69">
              <w:rPr>
                <w:rFonts w:hint="default"/>
              </w:rPr>
              <w:t>ky mož</w:t>
            </w:r>
            <w:r w:rsidRPr="002E4091" w:rsidR="00E06E69">
              <w:rPr>
                <w:rFonts w:hint="default"/>
              </w:rPr>
              <w:t>né</w:t>
            </w:r>
            <w:r w:rsidRPr="002E4091" w:rsidR="00E06E69">
              <w:rPr>
                <w:rFonts w:hint="default"/>
              </w:rPr>
              <w:t>ho rizika ož</w:t>
            </w:r>
            <w:r w:rsidRPr="002E4091" w:rsidR="00E06E69">
              <w:rPr>
                <w:rFonts w:hint="default"/>
              </w:rPr>
              <w:t>iarenia a</w:t>
            </w:r>
            <w:r w:rsidRPr="002E4091" w:rsidR="00E06E69">
              <w:rPr>
                <w:rFonts w:hint="default"/>
              </w:rPr>
              <w:t xml:space="preserve"> zdravotnej ujmy pracovní</w:t>
            </w:r>
            <w:r w:rsidRPr="002E4091" w:rsidR="00E06E69">
              <w:rPr>
                <w:rFonts w:hint="default"/>
              </w:rPr>
              <w:t>kov alebo obyvateľ</w:t>
            </w:r>
            <w:r w:rsidRPr="002E4091" w:rsidR="00E06E69">
              <w:rPr>
                <w:rFonts w:hint="default"/>
              </w:rPr>
              <w:t>ov, ktorý</w:t>
            </w:r>
            <w:r w:rsidRPr="002E4091" w:rsidR="00E06E69">
              <w:rPr>
                <w:rFonts w:hint="default"/>
              </w:rPr>
              <w:t xml:space="preserve"> daný</w:t>
            </w:r>
            <w:r w:rsidRPr="002E4091" w:rsidR="00E06E69">
              <w:rPr>
                <w:rFonts w:hint="default"/>
              </w:rPr>
              <w:t xml:space="preserve"> zdroj ž</w:t>
            </w:r>
            <w:r w:rsidRPr="002E4091" w:rsidR="00E06E69">
              <w:rPr>
                <w:rFonts w:hint="default"/>
              </w:rPr>
              <w:t>iarenia alebo vykoná</w:t>
            </w:r>
            <w:r w:rsidRPr="002E4091" w:rsidR="00E06E69">
              <w:rPr>
                <w:rFonts w:hint="default"/>
              </w:rPr>
              <w:t>vaná</w:t>
            </w:r>
            <w:r w:rsidRPr="002E4091" w:rsidR="00E06E69">
              <w:rPr>
                <w:rFonts w:hint="default"/>
              </w:rPr>
              <w:t xml:space="preserve"> služ</w:t>
            </w:r>
            <w:r w:rsidRPr="002E4091" w:rsidR="00E06E69">
              <w:rPr>
                <w:rFonts w:hint="default"/>
              </w:rPr>
              <w:t>ba predstavuje pri bež</w:t>
            </w:r>
            <w:r w:rsidRPr="002E4091" w:rsidR="00E06E69">
              <w:rPr>
                <w:rFonts w:hint="default"/>
              </w:rPr>
              <w:t>nej č</w:t>
            </w:r>
            <w:r w:rsidRPr="002E4091" w:rsidR="00E06E69">
              <w:rPr>
                <w:rFonts w:hint="default"/>
              </w:rPr>
              <w:t>innosti</w:t>
            </w:r>
            <w:r w:rsidR="00E06E69">
              <w:t xml:space="preserve"> alebo pri</w:t>
            </w:r>
            <w:r w:rsidRPr="002E4091" w:rsidR="00E06E69">
              <w:rPr>
                <w:rFonts w:hint="default"/>
              </w:rPr>
              <w:t xml:space="preserve"> vzniku radiač</w:t>
            </w:r>
            <w:r w:rsidRPr="002E4091" w:rsidR="00E06E69">
              <w:rPr>
                <w:rFonts w:hint="default"/>
              </w:rPr>
              <w:t>nej</w:t>
            </w:r>
            <w:r w:rsidRPr="002E4091" w:rsidR="002F6FA8">
              <w:t xml:space="preserve"> mimoriadnej</w:t>
            </w:r>
            <w:r w:rsidRPr="002E4091" w:rsidR="00E06E69">
              <w:rPr>
                <w:rFonts w:hint="default"/>
              </w:rPr>
              <w:t xml:space="preserve"> situá</w:t>
            </w:r>
            <w:r w:rsidRPr="002E4091" w:rsidR="00E06E69">
              <w:rPr>
                <w:rFonts w:hint="default"/>
              </w:rPr>
              <w:t>cie. Vykoná</w:t>
            </w:r>
            <w:r w:rsidRPr="002E4091" w:rsidR="00E06E69">
              <w:rPr>
                <w:rFonts w:hint="default"/>
              </w:rPr>
              <w:t>vanie uvedený</w:t>
            </w:r>
            <w:r w:rsidRPr="002E4091" w:rsidR="00E06E69">
              <w:rPr>
                <w:rFonts w:hint="default"/>
              </w:rPr>
              <w:t>ch č</w:t>
            </w:r>
            <w:r w:rsidRPr="002E4091" w:rsidR="00E06E69">
              <w:rPr>
                <w:rFonts w:hint="default"/>
              </w:rPr>
              <w:t>inností</w:t>
            </w:r>
            <w:r w:rsidRPr="002E4091" w:rsidR="00E06E69">
              <w:rPr>
                <w:rFonts w:hint="default"/>
              </w:rPr>
              <w:t xml:space="preserve"> a poskytovanie služ</w:t>
            </w:r>
            <w:r w:rsidRPr="002E4091" w:rsidR="00E06E69">
              <w:rPr>
                <w:rFonts w:hint="default"/>
              </w:rPr>
              <w:t>ieb</w:t>
            </w:r>
            <w:r w:rsidR="00044112">
              <w:rPr>
                <w:rFonts w:hint="default"/>
              </w:rPr>
              <w:t xml:space="preserve"> dô</w:t>
            </w:r>
            <w:r w:rsidR="00044112">
              <w:rPr>
                <w:rFonts w:hint="default"/>
              </w:rPr>
              <w:t>lež</w:t>
            </w:r>
            <w:r w:rsidR="00044112">
              <w:rPr>
                <w:rFonts w:hint="default"/>
              </w:rPr>
              <w:t>itý</w:t>
            </w:r>
            <w:r w:rsidR="00044112">
              <w:rPr>
                <w:rFonts w:hint="default"/>
              </w:rPr>
              <w:t>ch z hľ</w:t>
            </w:r>
            <w:r w:rsidR="00044112">
              <w:rPr>
                <w:rFonts w:hint="default"/>
              </w:rPr>
              <w:t>adiska</w:t>
            </w:r>
            <w:r w:rsidRPr="002E4091" w:rsidR="00044112">
              <w:t xml:space="preserve"> ra</w:t>
            </w:r>
            <w:r w:rsidRPr="002E4091" w:rsidR="00044112">
              <w:rPr>
                <w:rFonts w:hint="default"/>
              </w:rPr>
              <w:t>diač</w:t>
            </w:r>
            <w:r w:rsidRPr="002E4091" w:rsidR="00044112">
              <w:rPr>
                <w:rFonts w:hint="default"/>
              </w:rPr>
              <w:t>nej ochrany</w:t>
            </w:r>
            <w:r w:rsidRPr="002E4091" w:rsidR="00E06E69">
              <w:rPr>
                <w:rFonts w:hint="default"/>
              </w:rPr>
              <w:t xml:space="preserve"> vzhľ</w:t>
            </w:r>
            <w:r w:rsidRPr="002E4091" w:rsidR="00E06E69">
              <w:rPr>
                <w:rFonts w:hint="default"/>
              </w:rPr>
              <w:t>adom na výš</w:t>
            </w:r>
            <w:r w:rsidRPr="002E4091" w:rsidR="00E06E69">
              <w:rPr>
                <w:rFonts w:hint="default"/>
              </w:rPr>
              <w:t>ku mož</w:t>
            </w:r>
            <w:r w:rsidRPr="002E4091" w:rsidR="00E06E69">
              <w:rPr>
                <w:rFonts w:hint="default"/>
              </w:rPr>
              <w:t>né</w:t>
            </w:r>
            <w:r w:rsidRPr="002E4091" w:rsidR="00E06E69">
              <w:rPr>
                <w:rFonts w:hint="default"/>
              </w:rPr>
              <w:t>ho radiač</w:t>
            </w:r>
            <w:r w:rsidRPr="002E4091" w:rsidR="00E06E69">
              <w:rPr>
                <w:rFonts w:hint="default"/>
              </w:rPr>
              <w:t>né</w:t>
            </w:r>
            <w:r w:rsidRPr="002E4091" w:rsidR="00E06E69">
              <w:rPr>
                <w:rFonts w:hint="default"/>
              </w:rPr>
              <w:t>ho rizika sa rozdeľ</w:t>
            </w:r>
            <w:r w:rsidRPr="002E4091" w:rsidR="00E06E69">
              <w:rPr>
                <w:rFonts w:hint="default"/>
              </w:rPr>
              <w:t>uje na č</w:t>
            </w:r>
            <w:r w:rsidRPr="002E4091" w:rsidR="00E06E69">
              <w:rPr>
                <w:rFonts w:hint="default"/>
              </w:rPr>
              <w:t>innosti, ktoré</w:t>
            </w:r>
            <w:r w:rsidRPr="002E4091" w:rsidR="00E06E69">
              <w:rPr>
                <w:rFonts w:hint="default"/>
              </w:rPr>
              <w:t xml:space="preserve"> </w:t>
            </w:r>
            <w:r w:rsidR="00044112">
              <w:t>s</w:t>
            </w:r>
            <w:r w:rsidRPr="002E4091" w:rsidR="00E06E69">
              <w:rPr>
                <w:rFonts w:hint="default"/>
              </w:rPr>
              <w:t>ú</w:t>
            </w:r>
            <w:r w:rsidRPr="002E4091" w:rsidR="00E06E69">
              <w:rPr>
                <w:rFonts w:hint="default"/>
              </w:rPr>
              <w:t xml:space="preserve"> vyň</w:t>
            </w:r>
            <w:r w:rsidRPr="002E4091" w:rsidR="00E06E69">
              <w:rPr>
                <w:rFonts w:hint="default"/>
              </w:rPr>
              <w:t>até</w:t>
            </w:r>
            <w:r w:rsidRPr="002E4091" w:rsidR="00E06E69">
              <w:rPr>
                <w:rFonts w:hint="default"/>
              </w:rPr>
              <w:t xml:space="preserve"> spod pô</w:t>
            </w:r>
            <w:r w:rsidRPr="002E4091" w:rsidR="00E06E69">
              <w:rPr>
                <w:rFonts w:hint="default"/>
              </w:rPr>
              <w:t>sobnosti zá</w:t>
            </w:r>
            <w:r w:rsidRPr="002E4091" w:rsidR="00E06E69">
              <w:rPr>
                <w:rFonts w:hint="default"/>
              </w:rPr>
              <w:t>kona, č</w:t>
            </w:r>
            <w:r w:rsidRPr="002E4091" w:rsidR="00E06E69">
              <w:rPr>
                <w:rFonts w:hint="default"/>
              </w:rPr>
              <w:t>innosti podliehajú</w:t>
            </w:r>
            <w:r w:rsidRPr="002E4091" w:rsidR="00E06E69">
              <w:rPr>
                <w:rFonts w:hint="default"/>
              </w:rPr>
              <w:t>ce oznamovacej povinnosti, č</w:t>
            </w:r>
            <w:r w:rsidRPr="002E4091" w:rsidR="00E06E69">
              <w:rPr>
                <w:rFonts w:hint="default"/>
              </w:rPr>
              <w:t>innosti a </w:t>
            </w:r>
            <w:r w:rsidRPr="002E4091" w:rsidR="00E06E69">
              <w:rPr>
                <w:rFonts w:hint="default"/>
              </w:rPr>
              <w:t>služ</w:t>
            </w:r>
            <w:r w:rsidRPr="002E4091" w:rsidR="00E06E69">
              <w:rPr>
                <w:rFonts w:hint="default"/>
              </w:rPr>
              <w:t>by podliehajú</w:t>
            </w:r>
            <w:r w:rsidRPr="002E4091" w:rsidR="00E06E69">
              <w:rPr>
                <w:rFonts w:hint="default"/>
              </w:rPr>
              <w:t>ce povinnej registrá</w:t>
            </w:r>
            <w:r w:rsidRPr="002E4091" w:rsidR="00E06E69">
              <w:rPr>
                <w:rFonts w:hint="default"/>
              </w:rPr>
              <w:t>cii a </w:t>
            </w:r>
            <w:r w:rsidRPr="002E4091" w:rsidR="00E06E69">
              <w:rPr>
                <w:rFonts w:hint="default"/>
              </w:rPr>
              <w:t>č</w:t>
            </w:r>
            <w:r w:rsidRPr="002E4091" w:rsidR="00E06E69">
              <w:rPr>
                <w:rFonts w:hint="default"/>
              </w:rPr>
              <w:t>innosti a </w:t>
            </w:r>
            <w:r w:rsidRPr="002E4091" w:rsidR="00E06E69">
              <w:rPr>
                <w:rFonts w:hint="default"/>
              </w:rPr>
              <w:t>služ</w:t>
            </w:r>
            <w:r w:rsidRPr="002E4091" w:rsidR="00E06E69">
              <w:rPr>
                <w:rFonts w:hint="default"/>
              </w:rPr>
              <w:t>by vykoná</w:t>
            </w:r>
            <w:r w:rsidRPr="002E4091" w:rsidR="00E06E69">
              <w:rPr>
                <w:rFonts w:hint="default"/>
              </w:rPr>
              <w:t>vané</w:t>
            </w:r>
            <w:r w:rsidRPr="002E4091" w:rsidR="00E06E69">
              <w:rPr>
                <w:rFonts w:hint="default"/>
              </w:rPr>
              <w:t xml:space="preserve"> n</w:t>
            </w:r>
            <w:r w:rsidRPr="002E4091" w:rsidR="00E06E69">
              <w:rPr>
                <w:rFonts w:hint="default"/>
              </w:rPr>
              <w:t>a zá</w:t>
            </w:r>
            <w:r w:rsidRPr="002E4091" w:rsidR="00E06E69">
              <w:rPr>
                <w:rFonts w:hint="default"/>
              </w:rPr>
              <w:t>klade povolenia. Zá</w:t>
            </w:r>
            <w:r w:rsidRPr="002E4091" w:rsidR="00E06E69">
              <w:rPr>
                <w:rFonts w:hint="default"/>
              </w:rPr>
              <w:t>roveň</w:t>
            </w:r>
            <w:r w:rsidRPr="002E4091" w:rsidR="00E06E69">
              <w:rPr>
                <w:rFonts w:hint="default"/>
              </w:rPr>
              <w:t xml:space="preserve"> sa ná</w:t>
            </w:r>
            <w:r w:rsidRPr="002E4091" w:rsidR="00E06E69">
              <w:rPr>
                <w:rFonts w:hint="default"/>
              </w:rPr>
              <w:t>vrhom zá</w:t>
            </w:r>
            <w:r w:rsidRPr="002E4091" w:rsidR="00E06E69">
              <w:rPr>
                <w:rFonts w:hint="default"/>
              </w:rPr>
              <w:t>kona upravujú</w:t>
            </w:r>
            <w:r w:rsidRPr="002E4091" w:rsidR="00E06E69">
              <w:rPr>
                <w:rFonts w:hint="default"/>
              </w:rPr>
              <w:t xml:space="preserve"> pož</w:t>
            </w:r>
            <w:r w:rsidRPr="002E4091" w:rsidR="00E06E69">
              <w:rPr>
                <w:rFonts w:hint="default"/>
              </w:rPr>
              <w:t>iadavky na odbornú</w:t>
            </w:r>
            <w:r w:rsidRPr="002E4091" w:rsidR="00E06E69">
              <w:rPr>
                <w:rFonts w:hint="default"/>
              </w:rPr>
              <w:t xml:space="preserve"> spô</w:t>
            </w:r>
            <w:r w:rsidRPr="002E4091" w:rsidR="00E06E69">
              <w:rPr>
                <w:rFonts w:hint="default"/>
              </w:rPr>
              <w:t>sobilosť</w:t>
            </w:r>
            <w:r w:rsidRPr="002E4091" w:rsidR="00E06E69">
              <w:rPr>
                <w:rFonts w:hint="default"/>
              </w:rPr>
              <w:t xml:space="preserve"> </w:t>
            </w:r>
            <w:r w:rsidR="00044112">
              <w:t>v </w:t>
            </w:r>
            <w:r w:rsidR="00044112">
              <w:rPr>
                <w:rFonts w:hint="default"/>
              </w:rPr>
              <w:t>oblasti radiač</w:t>
            </w:r>
            <w:r w:rsidR="00044112">
              <w:rPr>
                <w:rFonts w:hint="default"/>
              </w:rPr>
              <w:t>nej ochrany</w:t>
            </w:r>
            <w:r w:rsidRPr="002E4091" w:rsidR="00E06E69">
              <w:t>.</w:t>
            </w:r>
          </w:p>
          <w:p w:rsidR="00E06E69" w:rsidRPr="00CB4D55" w:rsidP="00CB4D55">
            <w:pPr>
              <w:bidi w:val="0"/>
              <w:ind w:firstLine="434"/>
              <w:jc w:val="both"/>
              <w:rPr>
                <w:color w:val="808080"/>
              </w:rPr>
            </w:pPr>
            <w:r w:rsidRPr="002E4091">
              <w:rPr>
                <w:rFonts w:hint="default"/>
              </w:rPr>
              <w:t>Ná</w:t>
            </w:r>
            <w:r w:rsidRPr="002E4091">
              <w:rPr>
                <w:rFonts w:hint="default"/>
              </w:rPr>
              <w:t>vrh zá</w:t>
            </w:r>
            <w:r w:rsidRPr="002E4091">
              <w:rPr>
                <w:rFonts w:hint="default"/>
              </w:rPr>
              <w:t>kona upravuje limity ož</w:t>
            </w:r>
            <w:r w:rsidRPr="002E4091">
              <w:rPr>
                <w:rFonts w:hint="default"/>
              </w:rPr>
              <w:t>iarenia pracovní</w:t>
            </w:r>
            <w:r w:rsidRPr="002E4091">
              <w:rPr>
                <w:rFonts w:hint="default"/>
              </w:rPr>
              <w:t>kov, najmä</w:t>
            </w:r>
            <w:r w:rsidRPr="002E4091">
              <w:rPr>
                <w:rFonts w:hint="default"/>
              </w:rPr>
              <w:t xml:space="preserve"> limity dá</w:t>
            </w:r>
            <w:r w:rsidRPr="002E4091">
              <w:rPr>
                <w:rFonts w:hint="default"/>
              </w:rPr>
              <w:t>vky v </w:t>
            </w:r>
            <w:r w:rsidRPr="002E4091">
              <w:rPr>
                <w:rFonts w:hint="default"/>
              </w:rPr>
              <w:t>oč</w:t>
            </w:r>
            <w:r w:rsidRPr="002E4091">
              <w:rPr>
                <w:rFonts w:hint="default"/>
              </w:rPr>
              <w:t>nej š</w:t>
            </w:r>
            <w:r w:rsidRPr="002E4091">
              <w:rPr>
                <w:rFonts w:hint="default"/>
              </w:rPr>
              <w:t>oš</w:t>
            </w:r>
            <w:r w:rsidRPr="002E4091">
              <w:rPr>
                <w:rFonts w:hint="default"/>
              </w:rPr>
              <w:t>ovke, č</w:t>
            </w:r>
            <w:r w:rsidRPr="002E4091">
              <w:rPr>
                <w:rFonts w:hint="default"/>
              </w:rPr>
              <w:t>o by malo vylúč</w:t>
            </w:r>
            <w:r w:rsidRPr="002E4091">
              <w:rPr>
                <w:rFonts w:hint="default"/>
              </w:rPr>
              <w:t>iť</w:t>
            </w:r>
            <w:r w:rsidRPr="002E4091">
              <w:rPr>
                <w:rFonts w:hint="default"/>
              </w:rPr>
              <w:t xml:space="preserve"> vznik chorô</w:t>
            </w:r>
            <w:r w:rsidRPr="002E4091">
              <w:rPr>
                <w:rFonts w:hint="default"/>
              </w:rPr>
              <w:t>b z </w:t>
            </w:r>
            <w:r w:rsidRPr="002E4091">
              <w:rPr>
                <w:rFonts w:hint="default"/>
              </w:rPr>
              <w:t>povolania spô</w:t>
            </w:r>
            <w:r w:rsidRPr="002E4091">
              <w:rPr>
                <w:rFonts w:hint="default"/>
              </w:rPr>
              <w:t>so</w:t>
            </w:r>
            <w:r w:rsidRPr="002E4091">
              <w:rPr>
                <w:rFonts w:hint="default"/>
              </w:rPr>
              <w:t>bený</w:t>
            </w:r>
            <w:r w:rsidRPr="002E4091">
              <w:rPr>
                <w:rFonts w:hint="default"/>
              </w:rPr>
              <w:t>ch ož</w:t>
            </w:r>
            <w:r w:rsidRPr="002E4091">
              <w:rPr>
                <w:rFonts w:hint="default"/>
              </w:rPr>
              <w:t>iarení</w:t>
            </w:r>
            <w:r w:rsidRPr="002E4091">
              <w:rPr>
                <w:rFonts w:hint="default"/>
              </w:rPr>
              <w:t>m ionizujú</w:t>
            </w:r>
            <w:r w:rsidRPr="002E4091">
              <w:rPr>
                <w:rFonts w:hint="default"/>
              </w:rPr>
              <w:t>cim ž</w:t>
            </w:r>
            <w:r w:rsidRPr="002E4091">
              <w:rPr>
                <w:rFonts w:hint="default"/>
              </w:rPr>
              <w:t>iarení</w:t>
            </w:r>
            <w:r w:rsidRPr="002E4091">
              <w:rPr>
                <w:rFonts w:hint="default"/>
              </w:rPr>
              <w:t>m. Ná</w:t>
            </w:r>
            <w:r w:rsidRPr="002E4091">
              <w:rPr>
                <w:rFonts w:hint="default"/>
              </w:rPr>
              <w:t>vrhom zá</w:t>
            </w:r>
            <w:r w:rsidRPr="002E4091">
              <w:rPr>
                <w:rFonts w:hint="default"/>
              </w:rPr>
              <w:t>kona sa definujú</w:t>
            </w:r>
            <w:r w:rsidRPr="002E4091">
              <w:rPr>
                <w:rFonts w:hint="default"/>
              </w:rPr>
              <w:t xml:space="preserve"> pož</w:t>
            </w:r>
            <w:r w:rsidRPr="002E4091">
              <w:rPr>
                <w:rFonts w:hint="default"/>
              </w:rPr>
              <w:t>iadavky na zabezpeč</w:t>
            </w:r>
            <w:r w:rsidRPr="002E4091">
              <w:rPr>
                <w:rFonts w:hint="default"/>
              </w:rPr>
              <w:t>enie fyzickej ochrany pri použí</w:t>
            </w:r>
            <w:r w:rsidRPr="002E4091">
              <w:rPr>
                <w:rFonts w:hint="default"/>
              </w:rPr>
              <w:t>vaní</w:t>
            </w:r>
            <w:r w:rsidRPr="002E4091">
              <w:rPr>
                <w:rFonts w:hint="default"/>
              </w:rPr>
              <w:t xml:space="preserve"> rá</w:t>
            </w:r>
            <w:r w:rsidRPr="002E4091">
              <w:rPr>
                <w:rFonts w:hint="default"/>
              </w:rPr>
              <w:t>dioaktí</w:t>
            </w:r>
            <w:r w:rsidRPr="002E4091">
              <w:rPr>
                <w:rFonts w:hint="default"/>
              </w:rPr>
              <w:t>vnych ž</w:t>
            </w:r>
            <w:r w:rsidRPr="002E4091">
              <w:rPr>
                <w:rFonts w:hint="default"/>
              </w:rPr>
              <w:t>iarič</w:t>
            </w:r>
            <w:r w:rsidRPr="002E4091">
              <w:rPr>
                <w:rFonts w:hint="default"/>
              </w:rPr>
              <w:t>ov, ktoré</w:t>
            </w:r>
            <w:r w:rsidRPr="002E4091">
              <w:rPr>
                <w:rFonts w:hint="default"/>
              </w:rPr>
              <w:t xml:space="preserve"> majú</w:t>
            </w:r>
            <w:r w:rsidRPr="002E4091">
              <w:rPr>
                <w:rFonts w:hint="default"/>
              </w:rPr>
              <w:t xml:space="preserve"> zabrá</w:t>
            </w:r>
            <w:r w:rsidRPr="002E4091">
              <w:rPr>
                <w:rFonts w:hint="default"/>
              </w:rPr>
              <w:t>niť</w:t>
            </w:r>
            <w:r w:rsidRPr="002E4091">
              <w:rPr>
                <w:rFonts w:hint="default"/>
              </w:rPr>
              <w:t xml:space="preserve"> zneuž</w:t>
            </w:r>
            <w:r w:rsidRPr="002E4091">
              <w:rPr>
                <w:rFonts w:hint="default"/>
              </w:rPr>
              <w:t>itiu rá</w:t>
            </w:r>
            <w:r w:rsidRPr="002E4091">
              <w:rPr>
                <w:rFonts w:hint="default"/>
              </w:rPr>
              <w:t>dioaktí</w:t>
            </w:r>
            <w:r w:rsidRPr="002E4091">
              <w:rPr>
                <w:rFonts w:hint="default"/>
              </w:rPr>
              <w:t>vnych ž</w:t>
            </w:r>
            <w:r w:rsidRPr="002E4091">
              <w:rPr>
                <w:rFonts w:hint="default"/>
              </w:rPr>
              <w:t>iarič</w:t>
            </w:r>
            <w:r w:rsidRPr="002E4091">
              <w:rPr>
                <w:rFonts w:hint="default"/>
              </w:rPr>
              <w:t>ov na nelegá</w:t>
            </w:r>
            <w:r w:rsidRPr="002E4091">
              <w:rPr>
                <w:rFonts w:hint="default"/>
              </w:rPr>
              <w:t>lnu manipulá</w:t>
            </w:r>
            <w:r w:rsidRPr="002E4091">
              <w:rPr>
                <w:rFonts w:hint="default"/>
              </w:rPr>
              <w:t>ciu vrá</w:t>
            </w:r>
            <w:r w:rsidRPr="002E4091">
              <w:rPr>
                <w:rFonts w:hint="default"/>
              </w:rPr>
              <w:t>tane mož</w:t>
            </w:r>
            <w:r w:rsidRPr="002E4091">
              <w:rPr>
                <w:rFonts w:hint="default"/>
              </w:rPr>
              <w:t>nosti ich zneuž</w:t>
            </w:r>
            <w:r w:rsidRPr="002E4091">
              <w:rPr>
                <w:rFonts w:hint="default"/>
              </w:rPr>
              <w:t>i</w:t>
            </w:r>
            <w:r w:rsidRPr="002E4091">
              <w:rPr>
                <w:rFonts w:hint="default"/>
              </w:rPr>
              <w:t>t</w:t>
            </w:r>
            <w:r w:rsidRPr="002E4091">
              <w:rPr>
                <w:rFonts w:hint="default"/>
              </w:rPr>
              <w:t>ia na teroristické</w:t>
            </w:r>
            <w:r w:rsidRPr="002E4091">
              <w:rPr>
                <w:rFonts w:hint="default"/>
              </w:rPr>
              <w:t xml:space="preserve"> úč</w:t>
            </w:r>
            <w:r w:rsidRPr="002E4091">
              <w:rPr>
                <w:rFonts w:hint="default"/>
              </w:rPr>
              <w:t>ely.</w:t>
            </w:r>
          </w:p>
          <w:p w:rsidR="00E06E69" w:rsidP="00E06E69">
            <w:pPr>
              <w:bidi w:val="0"/>
              <w:jc w:val="both"/>
            </w:pPr>
            <w:r w:rsidRPr="00384331">
              <w:rPr>
                <w:rFonts w:hint="default"/>
              </w:rPr>
              <w:t>Prijatí</w:t>
            </w:r>
            <w:r w:rsidRPr="00384331">
              <w:rPr>
                <w:rFonts w:hint="default"/>
              </w:rPr>
              <w:t xml:space="preserve">m </w:t>
            </w:r>
            <w:r w:rsidR="007D7DCF">
              <w:rPr>
                <w:rFonts w:hint="default"/>
              </w:rPr>
              <w:t>ná</w:t>
            </w:r>
            <w:r w:rsidR="007D7DCF">
              <w:rPr>
                <w:rFonts w:hint="default"/>
              </w:rPr>
              <w:t xml:space="preserve">vrhu </w:t>
            </w:r>
            <w:r w:rsidRPr="00384331">
              <w:rPr>
                <w:rFonts w:hint="default"/>
              </w:rPr>
              <w:t>zá</w:t>
            </w:r>
            <w:r w:rsidRPr="00384331">
              <w:rPr>
                <w:rFonts w:hint="default"/>
              </w:rPr>
              <w:t>kona a </w:t>
            </w:r>
            <w:r w:rsidRPr="00384331">
              <w:rPr>
                <w:rFonts w:hint="default"/>
              </w:rPr>
              <w:t>jeho vykoná</w:t>
            </w:r>
            <w:r w:rsidRPr="00384331">
              <w:rPr>
                <w:rFonts w:hint="default"/>
              </w:rPr>
              <w:t>vací</w:t>
            </w:r>
            <w:r w:rsidRPr="00384331">
              <w:rPr>
                <w:rFonts w:hint="default"/>
              </w:rPr>
              <w:t>ch predpisov sa zabezpečí</w:t>
            </w:r>
            <w:r w:rsidRPr="00384331">
              <w:rPr>
                <w:rFonts w:hint="default"/>
              </w:rPr>
              <w:t xml:space="preserve"> </w:t>
            </w:r>
            <w:r w:rsidR="00044112">
              <w:rPr>
                <w:rFonts w:hint="default"/>
              </w:rPr>
              <w:t>ú</w:t>
            </w:r>
            <w:r w:rsidR="00044112">
              <w:rPr>
                <w:rFonts w:hint="default"/>
              </w:rPr>
              <w:t>plná</w:t>
            </w:r>
            <w:r w:rsidR="00044112">
              <w:rPr>
                <w:rFonts w:hint="default"/>
              </w:rPr>
              <w:t xml:space="preserve"> zhoda</w:t>
            </w:r>
            <w:r w:rsidRPr="00384331">
              <w:t xml:space="preserve"> s </w:t>
            </w:r>
            <w:r w:rsidRPr="00384331">
              <w:rPr>
                <w:rFonts w:hint="default"/>
              </w:rPr>
              <w:t>prá</w:t>
            </w:r>
            <w:r w:rsidRPr="00384331">
              <w:rPr>
                <w:rFonts w:hint="default"/>
              </w:rPr>
              <w:t>vom Euró</w:t>
            </w:r>
            <w:r w:rsidRPr="00384331">
              <w:rPr>
                <w:rFonts w:hint="default"/>
              </w:rPr>
              <w:t>pskej ú</w:t>
            </w:r>
            <w:r w:rsidRPr="00384331">
              <w:rPr>
                <w:rFonts w:hint="default"/>
              </w:rPr>
              <w:t>nie v </w:t>
            </w:r>
            <w:r w:rsidRPr="00384331">
              <w:rPr>
                <w:rFonts w:hint="default"/>
              </w:rPr>
              <w:t>oblasti radiač</w:t>
            </w:r>
            <w:r w:rsidRPr="00384331">
              <w:rPr>
                <w:rFonts w:hint="default"/>
              </w:rPr>
              <w:t>nej ochrany.</w:t>
            </w:r>
          </w:p>
          <w:p w:rsidR="00F21468" w:rsidRPr="00384331" w:rsidP="00E06E69">
            <w:pPr>
              <w:bidi w:val="0"/>
              <w:jc w:val="both"/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384331">
              <w:rPr>
                <w:b/>
                <w:bCs/>
              </w:rPr>
              <w:t> </w:t>
            </w:r>
            <w:r w:rsidRPr="00384331">
              <w:rPr>
                <w:b/>
                <w:bCs/>
              </w:rPr>
              <w:t xml:space="preserve"> 4. </w:t>
            </w:r>
            <w:r w:rsidRPr="00384331">
              <w:rPr>
                <w:rFonts w:hint="default"/>
                <w:b/>
                <w:bCs/>
              </w:rPr>
              <w:t xml:space="preserve"> Dotknuté</w:t>
            </w:r>
            <w:r w:rsidRPr="00384331">
              <w:rPr>
                <w:rFonts w:hint="default"/>
                <w:b/>
                <w:bCs/>
              </w:rPr>
              <w:t xml:space="preserve">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F21468" w:rsidRPr="00384331" w:rsidP="00DA4EE1">
            <w:pPr>
              <w:bidi w:val="0"/>
              <w:spacing w:line="276" w:lineRule="auto"/>
              <w:ind w:firstLine="434"/>
              <w:jc w:val="both"/>
            </w:pPr>
            <w:r w:rsidR="00673ECE">
              <w:t>Zmeny v </w:t>
            </w:r>
            <w:r w:rsidR="00673ECE">
              <w:rPr>
                <w:rFonts w:hint="default"/>
              </w:rPr>
              <w:t>ná</w:t>
            </w:r>
            <w:r w:rsidR="00673ECE">
              <w:rPr>
                <w:rFonts w:hint="default"/>
              </w:rPr>
              <w:t>vrhu zá</w:t>
            </w:r>
            <w:r w:rsidR="00673ECE">
              <w:rPr>
                <w:rFonts w:hint="default"/>
              </w:rPr>
              <w:t>kona sa dotknú</w:t>
            </w:r>
            <w:r w:rsidR="00673ECE">
              <w:rPr>
                <w:rFonts w:hint="default"/>
              </w:rPr>
              <w:t xml:space="preserve"> vš</w:t>
            </w:r>
            <w:r w:rsidR="00673ECE">
              <w:rPr>
                <w:rFonts w:hint="default"/>
              </w:rPr>
              <w:t>etký</w:t>
            </w:r>
            <w:r w:rsidR="00673ECE">
              <w:rPr>
                <w:rFonts w:hint="default"/>
              </w:rPr>
              <w:t>ch subjektov vykoná</w:t>
            </w:r>
            <w:r w:rsidR="00673ECE">
              <w:rPr>
                <w:rFonts w:hint="default"/>
              </w:rPr>
              <w:t>vajú</w:t>
            </w:r>
            <w:r w:rsidR="00673ECE">
              <w:rPr>
                <w:rFonts w:hint="default"/>
              </w:rPr>
              <w:t>cich č</w:t>
            </w:r>
            <w:r w:rsidR="00673ECE">
              <w:rPr>
                <w:rFonts w:hint="default"/>
              </w:rPr>
              <w:t>innosti so zdrojmi ionizujú</w:t>
            </w:r>
            <w:r w:rsidR="00673ECE">
              <w:rPr>
                <w:rFonts w:hint="default"/>
              </w:rPr>
              <w:t>ceho ž</w:t>
            </w:r>
            <w:r w:rsidR="00673ECE">
              <w:rPr>
                <w:rFonts w:hint="default"/>
              </w:rPr>
              <w:t>iarenia, ktoré</w:t>
            </w:r>
            <w:r w:rsidR="00673ECE">
              <w:rPr>
                <w:rFonts w:hint="default"/>
              </w:rPr>
              <w:t xml:space="preserve"> sa oznamujú</w:t>
            </w:r>
            <w:r w:rsidR="00044112">
              <w:t>,</w:t>
            </w:r>
            <w:r w:rsidR="00673ECE">
              <w:rPr>
                <w:rFonts w:hint="default"/>
              </w:rPr>
              <w:t xml:space="preserve"> registrujú</w:t>
            </w:r>
            <w:r w:rsidR="00673ECE">
              <w:rPr>
                <w:rFonts w:hint="default"/>
              </w:rPr>
              <w:t xml:space="preserve"> a </w:t>
            </w:r>
            <w:r w:rsidR="00673ECE">
              <w:rPr>
                <w:rFonts w:hint="default"/>
              </w:rPr>
              <w:t>povoľ</w:t>
            </w:r>
            <w:r w:rsidR="00673ECE">
              <w:rPr>
                <w:rFonts w:hint="default"/>
              </w:rPr>
              <w:t>ujú.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384331">
              <w:rPr>
                <w:b/>
                <w:bCs/>
              </w:rPr>
              <w:t> </w:t>
            </w:r>
            <w:r w:rsidRPr="00384331">
              <w:rPr>
                <w:b/>
                <w:bCs/>
              </w:rPr>
              <w:t xml:space="preserve"> 5. </w:t>
            </w:r>
            <w:r w:rsidRPr="00384331">
              <w:rPr>
                <w:rFonts w:hint="default"/>
                <w:b/>
                <w:bCs/>
              </w:rPr>
              <w:t xml:space="preserve"> Alternatí</w:t>
            </w:r>
            <w:r w:rsidRPr="00384331">
              <w:rPr>
                <w:rFonts w:hint="default"/>
                <w:b/>
                <w:bCs/>
              </w:rPr>
              <w:t>vne rieš</w:t>
            </w:r>
            <w:r w:rsidRPr="00384331">
              <w:rPr>
                <w:rFonts w:hint="default"/>
                <w:b/>
                <w:bCs/>
              </w:rPr>
              <w:t>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760C0F" w:rsidP="00760C0F">
            <w:pPr>
              <w:bidi w:val="0"/>
              <w:spacing w:line="276" w:lineRule="auto"/>
              <w:ind w:firstLine="434"/>
              <w:jc w:val="both"/>
            </w:pPr>
            <w:r w:rsidR="00CB4D55">
              <w:rPr>
                <w:rFonts w:hint="default"/>
              </w:rPr>
              <w:t>Rozsah problematiky radiač</w:t>
            </w:r>
            <w:r w:rsidR="00CB4D55">
              <w:rPr>
                <w:rFonts w:hint="default"/>
              </w:rPr>
              <w:t>nej ochrany v </w:t>
            </w:r>
            <w:r w:rsidR="00CB4D55">
              <w:rPr>
                <w:rFonts w:hint="default"/>
              </w:rPr>
              <w:t>predlož</w:t>
            </w:r>
            <w:r w:rsidR="00CB4D55">
              <w:rPr>
                <w:rFonts w:hint="default"/>
              </w:rPr>
              <w:t>enom ná</w:t>
            </w:r>
            <w:r w:rsidR="00CB4D55">
              <w:rPr>
                <w:rFonts w:hint="default"/>
              </w:rPr>
              <w:t>vrhu zá</w:t>
            </w:r>
            <w:r w:rsidR="00CB4D55">
              <w:rPr>
                <w:rFonts w:hint="default"/>
              </w:rPr>
              <w:t>kona urč</w:t>
            </w:r>
            <w:r w:rsidR="00CB4D55">
              <w:rPr>
                <w:rFonts w:hint="default"/>
              </w:rPr>
              <w:t>uje smernica a o </w:t>
            </w:r>
            <w:r w:rsidR="00CB4D55">
              <w:rPr>
                <w:rFonts w:hint="default"/>
              </w:rPr>
              <w:t>alternatí</w:t>
            </w:r>
            <w:r w:rsidR="00CB4D55">
              <w:rPr>
                <w:rFonts w:hint="default"/>
              </w:rPr>
              <w:t>vnych rieš</w:t>
            </w:r>
            <w:r w:rsidR="00CB4D55">
              <w:rPr>
                <w:rFonts w:hint="default"/>
              </w:rPr>
              <w:t>eniach sa neuvaž</w:t>
            </w:r>
            <w:r w:rsidR="00CB4D55">
              <w:rPr>
                <w:rFonts w:hint="default"/>
              </w:rPr>
              <w:t>ovalo.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384331">
              <w:rPr>
                <w:b/>
                <w:bCs/>
              </w:rPr>
              <w:t> </w:t>
            </w:r>
            <w:r w:rsidRPr="00384331">
              <w:rPr>
                <w:b/>
                <w:bCs/>
              </w:rPr>
              <w:t xml:space="preserve"> 6. </w:t>
            </w:r>
            <w:r w:rsidRPr="00384331">
              <w:rPr>
                <w:rFonts w:hint="default"/>
                <w:b/>
                <w:bCs/>
              </w:rPr>
              <w:t xml:space="preserve"> Vykoná</w:t>
            </w:r>
            <w:r w:rsidRPr="00384331">
              <w:rPr>
                <w:rFonts w:hint="default"/>
                <w:b/>
                <w:bCs/>
              </w:rPr>
              <w:t>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CB4D55" w:rsidP="00673ECE">
            <w:pPr>
              <w:bidi w:val="0"/>
              <w:spacing w:line="276" w:lineRule="auto"/>
              <w:jc w:val="both"/>
            </w:pPr>
            <w:r w:rsidRPr="0045223C" w:rsidR="00E3363B">
              <w:rPr>
                <w:rFonts w:hint="default"/>
                <w:i/>
              </w:rPr>
              <w:t>Predpokladá</w:t>
            </w:r>
            <w:r w:rsidRPr="0045223C" w:rsidR="00E3363B">
              <w:rPr>
                <w:rFonts w:hint="default"/>
                <w:i/>
              </w:rPr>
              <w:t xml:space="preserve"> sa prijatie/zmena vykoná</w:t>
            </w:r>
            <w:r w:rsidRPr="0045223C" w:rsidR="00E3363B">
              <w:rPr>
                <w:rFonts w:hint="default"/>
                <w:i/>
              </w:rPr>
              <w:t>vací</w:t>
            </w:r>
            <w:r w:rsidRPr="0045223C" w:rsidR="00E3363B">
              <w:rPr>
                <w:rFonts w:hint="default"/>
                <w:i/>
              </w:rPr>
              <w:t>ch predpisov?</w:t>
            </w:r>
            <w:r w:rsidRPr="00384331" w:rsidR="00E3363B">
              <w:t xml:space="preserve">                          </w:t>
            </w:r>
            <w:r w:rsidR="00384331">
              <w:t>x</w:t>
            </w:r>
            <w:r w:rsidRPr="00384331" w:rsidR="00E3363B">
              <w:t> </w:t>
            </w:r>
            <w:r w:rsidRPr="00384331" w:rsidR="00E3363B">
              <w:rPr>
                <w:rFonts w:hint="default"/>
              </w:rPr>
              <w:t xml:space="preserve"> Á</w:t>
            </w:r>
            <w:r w:rsidRPr="00384331" w:rsidR="00E3363B">
              <w:rPr>
                <w:rFonts w:hint="default"/>
              </w:rPr>
              <w:t>no            </w:t>
            </w:r>
            <w:r w:rsidRPr="00384331" w:rsidR="00E3363B">
              <w:rPr>
                <w:rFonts w:hint="default"/>
              </w:rPr>
              <w:t> </w:t>
            </w:r>
            <w:r w:rsidRPr="00384331" w:rsidR="00E3363B">
              <w:rPr>
                <w:rFonts w:hint="default"/>
              </w:rPr>
              <w:t xml:space="preserve"> Nie</w:t>
            </w:r>
          </w:p>
          <w:p w:rsidR="00E3363B" w:rsidRPr="00384331" w:rsidP="00760C0F">
            <w:pPr>
              <w:bidi w:val="0"/>
              <w:spacing w:line="276" w:lineRule="auto"/>
              <w:ind w:firstLine="434"/>
              <w:jc w:val="both"/>
            </w:pPr>
            <w:r w:rsidR="0045223C">
              <w:rPr>
                <w:rFonts w:hint="default"/>
              </w:rPr>
              <w:t>Pre ú</w:t>
            </w:r>
            <w:r w:rsidR="0045223C">
              <w:rPr>
                <w:rFonts w:hint="default"/>
              </w:rPr>
              <w:t>plnú</w:t>
            </w:r>
            <w:r w:rsidR="0045223C">
              <w:rPr>
                <w:rFonts w:hint="default"/>
              </w:rPr>
              <w:t xml:space="preserve"> transpozí</w:t>
            </w:r>
            <w:r w:rsidR="0045223C">
              <w:rPr>
                <w:rFonts w:hint="default"/>
              </w:rPr>
              <w:t>ciu smernice sa predpokladá</w:t>
            </w:r>
            <w:r w:rsidR="0045223C">
              <w:rPr>
                <w:rFonts w:hint="default"/>
              </w:rPr>
              <w:t xml:space="preserve"> vydať</w:t>
            </w:r>
            <w:r w:rsidR="0045223C">
              <w:rPr>
                <w:rFonts w:hint="default"/>
              </w:rPr>
              <w:t xml:space="preserve"> vykoná</w:t>
            </w:r>
            <w:r w:rsidR="0045223C">
              <w:rPr>
                <w:rFonts w:hint="default"/>
              </w:rPr>
              <w:t>vacie predpisy o</w:t>
            </w:r>
            <w:r w:rsidRPr="00BA36F6" w:rsidR="00BA36F6">
              <w:t> </w:t>
            </w:r>
            <w:r w:rsidRPr="00BA36F6" w:rsidR="00BA36F6">
              <w:rPr>
                <w:rFonts w:hint="default"/>
              </w:rPr>
              <w:t>podrobnostiach pri zabezpeč</w:t>
            </w:r>
            <w:r w:rsidR="00673ECE">
              <w:rPr>
                <w:rFonts w:hint="default"/>
              </w:rPr>
              <w:t>ovaní</w:t>
            </w:r>
            <w:r w:rsidRPr="00BA36F6" w:rsidR="00BA36F6">
              <w:rPr>
                <w:rFonts w:hint="default"/>
              </w:rPr>
              <w:t xml:space="preserve"> radiač</w:t>
            </w:r>
            <w:r w:rsidRPr="00BA36F6" w:rsidR="00BA36F6">
              <w:rPr>
                <w:rFonts w:hint="default"/>
              </w:rPr>
              <w:t>nej ochrany</w:t>
            </w:r>
            <w:r w:rsidR="0045223C">
              <w:t xml:space="preserve">, </w:t>
            </w:r>
            <w:r w:rsidRPr="00BA36F6" w:rsidR="00BA36F6">
              <w:t>o </w:t>
            </w:r>
            <w:r w:rsidRPr="00BA36F6" w:rsidR="00BA36F6">
              <w:rPr>
                <w:rFonts w:hint="default"/>
              </w:rPr>
              <w:t>radiač</w:t>
            </w:r>
            <w:r w:rsidRPr="00BA36F6" w:rsidR="00BA36F6">
              <w:rPr>
                <w:rFonts w:hint="default"/>
              </w:rPr>
              <w:t>nej ochrane osô</w:t>
            </w:r>
            <w:r w:rsidRPr="00BA36F6" w:rsidR="00BA36F6">
              <w:rPr>
                <w:rFonts w:hint="default"/>
              </w:rPr>
              <w:t>b pri leká</w:t>
            </w:r>
            <w:r w:rsidRPr="00BA36F6" w:rsidR="00BA36F6">
              <w:rPr>
                <w:rFonts w:hint="default"/>
              </w:rPr>
              <w:t>rskom ož</w:t>
            </w:r>
            <w:r w:rsidRPr="00BA36F6" w:rsidR="00BA36F6">
              <w:rPr>
                <w:rFonts w:hint="default"/>
              </w:rPr>
              <w:t>iarení</w:t>
            </w:r>
            <w:r w:rsidR="0045223C">
              <w:t xml:space="preserve">, </w:t>
            </w:r>
            <w:r w:rsidRPr="00BA36F6" w:rsidR="00BA36F6">
              <w:t>o </w:t>
            </w:r>
            <w:r w:rsidRPr="00BA36F6" w:rsidR="00BA36F6">
              <w:rPr>
                <w:rFonts w:hint="default"/>
              </w:rPr>
              <w:t>radiač</w:t>
            </w:r>
            <w:r w:rsidRPr="00BA36F6" w:rsidR="00BA36F6">
              <w:rPr>
                <w:rFonts w:hint="default"/>
              </w:rPr>
              <w:t>nej monitorovacej sieti</w:t>
            </w:r>
            <w:r w:rsidR="00CB4D55">
              <w:t>,</w:t>
            </w:r>
            <w:r w:rsidR="0045223C">
              <w:t xml:space="preserve"> o</w:t>
            </w:r>
            <w:r w:rsidRPr="00BA36F6" w:rsidR="00BA36F6">
              <w:t xml:space="preserve"> podrobnosti</w:t>
            </w:r>
            <w:r w:rsidR="0045223C">
              <w:t>ach</w:t>
            </w:r>
            <w:r w:rsidRPr="00BA36F6" w:rsidR="00BA36F6">
              <w:rPr>
                <w:rFonts w:hint="default"/>
              </w:rPr>
              <w:t xml:space="preserve"> o obmedzení</w:t>
            </w:r>
            <w:r w:rsidRPr="00BA36F6" w:rsidR="00BA36F6">
              <w:rPr>
                <w:rFonts w:hint="default"/>
              </w:rPr>
              <w:t xml:space="preserve"> ož</w:t>
            </w:r>
            <w:r w:rsidRPr="00BA36F6" w:rsidR="00BA36F6">
              <w:rPr>
                <w:rFonts w:hint="default"/>
              </w:rPr>
              <w:t>iarenia prí</w:t>
            </w:r>
            <w:r w:rsidRPr="00BA36F6" w:rsidR="00BA36F6">
              <w:rPr>
                <w:rFonts w:hint="default"/>
              </w:rPr>
              <w:t>rodný</w:t>
            </w:r>
            <w:r w:rsidRPr="00BA36F6" w:rsidR="00BA36F6">
              <w:rPr>
                <w:rFonts w:hint="default"/>
              </w:rPr>
              <w:t>m ionizujú</w:t>
            </w:r>
            <w:r w:rsidRPr="00BA36F6" w:rsidR="00BA36F6">
              <w:rPr>
                <w:rFonts w:hint="default"/>
              </w:rPr>
              <w:t>cim ž</w:t>
            </w:r>
            <w:r w:rsidRPr="00BA36F6" w:rsidR="00BA36F6">
              <w:rPr>
                <w:rFonts w:hint="default"/>
              </w:rPr>
              <w:t>iarení</w:t>
            </w:r>
            <w:r w:rsidRPr="00BA36F6" w:rsidR="00BA36F6">
              <w:rPr>
                <w:rFonts w:hint="default"/>
              </w:rPr>
              <w:t>m</w:t>
            </w:r>
            <w:r w:rsidR="00550700">
              <w:t xml:space="preserve">, </w:t>
            </w:r>
            <w:r w:rsidR="00760C0F">
              <w:t>o podrobnostiach</w:t>
            </w:r>
            <w:r w:rsidR="00550700">
              <w:t xml:space="preserve"> na kvalitu pitnej vody z </w:t>
            </w:r>
            <w:r w:rsidR="00550700">
              <w:rPr>
                <w:rFonts w:hint="default"/>
              </w:rPr>
              <w:t>hľ</w:t>
            </w:r>
            <w:r w:rsidR="00550700">
              <w:rPr>
                <w:rFonts w:hint="default"/>
              </w:rPr>
              <w:t>adiska radiač</w:t>
            </w:r>
            <w:r w:rsidR="00550700">
              <w:rPr>
                <w:rFonts w:hint="default"/>
              </w:rPr>
              <w:t>nej ochrany, o </w:t>
            </w:r>
            <w:r w:rsidR="00550700">
              <w:rPr>
                <w:rFonts w:hint="default"/>
              </w:rPr>
              <w:t>diagnostický</w:t>
            </w:r>
            <w:r w:rsidR="00550700">
              <w:rPr>
                <w:rFonts w:hint="default"/>
              </w:rPr>
              <w:t>ch referenč</w:t>
            </w:r>
            <w:r w:rsidR="00550700">
              <w:rPr>
                <w:rFonts w:hint="default"/>
              </w:rPr>
              <w:t>ný</w:t>
            </w:r>
            <w:r w:rsidR="00550700">
              <w:rPr>
                <w:rFonts w:hint="default"/>
              </w:rPr>
              <w:t>ch ú</w:t>
            </w:r>
            <w:r w:rsidR="00550700">
              <w:rPr>
                <w:rFonts w:hint="default"/>
              </w:rPr>
              <w:t>rovniach l</w:t>
            </w:r>
            <w:r w:rsidR="00550700">
              <w:rPr>
                <w:rFonts w:hint="default"/>
              </w:rPr>
              <w:t>eká</w:t>
            </w:r>
            <w:r w:rsidR="00550700">
              <w:rPr>
                <w:rFonts w:hint="default"/>
              </w:rPr>
              <w:t>rskeho ož</w:t>
            </w:r>
            <w:r w:rsidR="00550700">
              <w:rPr>
                <w:rFonts w:hint="default"/>
              </w:rPr>
              <w:t>iarenia, o </w:t>
            </w:r>
            <w:r w:rsidR="00550700">
              <w:rPr>
                <w:rFonts w:hint="default"/>
              </w:rPr>
              <w:t>š</w:t>
            </w:r>
            <w:r w:rsidR="00550700">
              <w:rPr>
                <w:rFonts w:hint="default"/>
              </w:rPr>
              <w:t>tandardný</w:t>
            </w:r>
            <w:r w:rsidR="00550700">
              <w:rPr>
                <w:rFonts w:hint="default"/>
              </w:rPr>
              <w:t>ch postupoch na vykoná</w:t>
            </w:r>
            <w:r w:rsidR="00550700">
              <w:rPr>
                <w:rFonts w:hint="default"/>
              </w:rPr>
              <w:t>vanie leká</w:t>
            </w:r>
            <w:r w:rsidR="00550700">
              <w:rPr>
                <w:rFonts w:hint="default"/>
              </w:rPr>
              <w:t>rskeho ož</w:t>
            </w:r>
            <w:r w:rsidR="00550700">
              <w:rPr>
                <w:rFonts w:hint="default"/>
              </w:rPr>
              <w:t>iarenia pri diagnostike alebo lieč</w:t>
            </w:r>
            <w:r w:rsidR="00550700">
              <w:rPr>
                <w:rFonts w:hint="default"/>
              </w:rPr>
              <w:t>be.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384331">
              <w:rPr>
                <w:b/>
                <w:bCs/>
              </w:rPr>
              <w:t> </w:t>
            </w:r>
            <w:r w:rsidRPr="00384331">
              <w:rPr>
                <w:b/>
                <w:bCs/>
              </w:rPr>
              <w:t xml:space="preserve"> 7. </w:t>
            </w:r>
            <w:r w:rsidRPr="00384331">
              <w:rPr>
                <w:rFonts w:hint="default"/>
                <w:b/>
                <w:bCs/>
              </w:rPr>
              <w:t xml:space="preserve"> Transpozí</w:t>
            </w:r>
            <w:r w:rsidRPr="00384331">
              <w:rPr>
                <w:rFonts w:hint="default"/>
                <w:b/>
                <w:bCs/>
              </w:rPr>
              <w:t>cia prá</w:t>
            </w:r>
            <w:r w:rsidRPr="00384331">
              <w:rPr>
                <w:rFonts w:hint="default"/>
                <w:b/>
                <w:bCs/>
              </w:rPr>
              <w:t>va EÚ</w:t>
            </w:r>
            <w:r w:rsidRPr="00384331">
              <w:rPr>
                <w:rFonts w:hint="default"/>
                <w:b/>
                <w:bCs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384331" w:rsidP="00CB4D55">
            <w:pPr>
              <w:bidi w:val="0"/>
              <w:spacing w:line="276" w:lineRule="auto"/>
              <w:ind w:firstLine="434"/>
              <w:jc w:val="both"/>
            </w:pPr>
            <w:r w:rsidR="00084C64">
              <w:rPr>
                <w:rFonts w:hint="default"/>
              </w:rPr>
              <w:t>Predkladaný</w:t>
            </w:r>
            <w:r w:rsidR="00084C64">
              <w:rPr>
                <w:rFonts w:hint="default"/>
              </w:rPr>
              <w:t>m ná</w:t>
            </w:r>
            <w:r w:rsidR="00084C64">
              <w:rPr>
                <w:rFonts w:hint="default"/>
              </w:rPr>
              <w:t xml:space="preserve">vrhom </w:t>
            </w:r>
            <w:r w:rsidRPr="00384331">
              <w:rPr>
                <w:rFonts w:hint="default"/>
              </w:rPr>
              <w:t>zá</w:t>
            </w:r>
            <w:r w:rsidRPr="00384331">
              <w:rPr>
                <w:rFonts w:hint="default"/>
              </w:rPr>
              <w:t>kona</w:t>
            </w:r>
            <w:r w:rsidR="00084C64">
              <w:rPr>
                <w:rFonts w:hint="default"/>
              </w:rPr>
              <w:t xml:space="preserve"> sa preberá</w:t>
            </w:r>
            <w:r w:rsidR="00084C64">
              <w:rPr>
                <w:rFonts w:hint="default"/>
              </w:rPr>
              <w:t xml:space="preserve"> smernica</w:t>
            </w:r>
            <w:r w:rsidRPr="00384331" w:rsidR="001D1FC8">
              <w:t xml:space="preserve"> </w:t>
            </w:r>
            <w:r w:rsidRPr="00384331" w:rsidR="00084C64">
              <w:t>Rady 2013/59/Euratom z 5. decembra 2013</w:t>
            </w:r>
            <w:r w:rsidR="00084C64">
              <w:t xml:space="preserve">, </w:t>
            </w:r>
            <w:r w:rsidRPr="00384331" w:rsidR="001D1FC8">
              <w:rPr>
                <w:rFonts w:hint="default"/>
              </w:rPr>
              <w:t>neprekrač</w:t>
            </w:r>
            <w:r w:rsidRPr="00384331" w:rsidR="001D1FC8">
              <w:rPr>
                <w:rFonts w:hint="default"/>
              </w:rPr>
              <w:t>uj</w:t>
            </w:r>
            <w:r w:rsidR="00084C64">
              <w:rPr>
                <w:rFonts w:hint="default"/>
              </w:rPr>
              <w:t>ú</w:t>
            </w:r>
            <w:r w:rsidRPr="00384331">
              <w:t xml:space="preserve"> </w:t>
            </w:r>
            <w:r w:rsidR="00084C64">
              <w:t xml:space="preserve">sa </w:t>
            </w:r>
            <w:r w:rsidRPr="00384331">
              <w:rPr>
                <w:rFonts w:hint="default"/>
              </w:rPr>
              <w:t>pož</w:t>
            </w:r>
            <w:r w:rsidRPr="00384331">
              <w:rPr>
                <w:rFonts w:hint="default"/>
              </w:rPr>
              <w:t>iadavky definované</w:t>
            </w:r>
            <w:r w:rsidRPr="00384331">
              <w:rPr>
                <w:rFonts w:hint="default"/>
              </w:rPr>
              <w:t xml:space="preserve"> v</w:t>
            </w:r>
            <w:r w:rsidR="00084C64">
              <w:t> </w:t>
            </w:r>
            <w:r w:rsidRPr="00384331">
              <w:t>smernici</w:t>
            </w:r>
            <w:r w:rsidR="00084C64">
              <w:t xml:space="preserve"> </w:t>
            </w:r>
            <w:r w:rsidRPr="00384331">
              <w:t xml:space="preserve">a ani </w:t>
            </w:r>
            <w:r w:rsidR="00084C64">
              <w:t xml:space="preserve">sa </w:t>
            </w:r>
            <w:r w:rsidRPr="00384331">
              <w:rPr>
                <w:rFonts w:hint="default"/>
              </w:rPr>
              <w:t>nepristupuje ku skorš</w:t>
            </w:r>
            <w:r w:rsidRPr="00384331">
              <w:rPr>
                <w:rFonts w:hint="default"/>
              </w:rPr>
              <w:t>ej implementá</w:t>
            </w:r>
            <w:r w:rsidRPr="00384331">
              <w:rPr>
                <w:rFonts w:hint="default"/>
              </w:rPr>
              <w:t>cii.</w:t>
            </w:r>
            <w:r w:rsidR="0023339D">
              <w:rPr>
                <w:rFonts w:hint="default"/>
              </w:rPr>
              <w:t xml:space="preserve"> Smernica Rady 2013/51/Euratom je už</w:t>
            </w:r>
            <w:r w:rsidR="0023339D">
              <w:rPr>
                <w:rFonts w:hint="default"/>
              </w:rPr>
              <w:t xml:space="preserve"> prebratá</w:t>
            </w:r>
            <w:r w:rsidR="0023339D">
              <w:rPr>
                <w:rFonts w:hint="default"/>
              </w:rPr>
              <w:t xml:space="preserve"> v </w:t>
            </w:r>
            <w:r w:rsidR="0023339D">
              <w:rPr>
                <w:rFonts w:hint="default"/>
              </w:rPr>
              <w:t>novele zá</w:t>
            </w:r>
            <w:r w:rsidR="0023339D">
              <w:rPr>
                <w:rFonts w:hint="default"/>
              </w:rPr>
              <w:t>kona č</w:t>
            </w:r>
            <w:r w:rsidR="0023339D">
              <w:rPr>
                <w:rFonts w:hint="default"/>
              </w:rPr>
              <w:t>. 150/2017 Z. z., ktorou sa dopĺň</w:t>
            </w:r>
            <w:r w:rsidR="0023339D">
              <w:rPr>
                <w:rFonts w:hint="default"/>
              </w:rPr>
              <w:t>a zá</w:t>
            </w:r>
            <w:r w:rsidR="0023339D">
              <w:rPr>
                <w:rFonts w:hint="default"/>
              </w:rPr>
              <w:t>kon č</w:t>
            </w:r>
            <w:r w:rsidR="0023339D">
              <w:rPr>
                <w:rFonts w:hint="default"/>
              </w:rPr>
              <w:t>. 355/2007 Z. z.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384331">
              <w:rPr>
                <w:b/>
                <w:bCs/>
              </w:rPr>
              <w:t> </w:t>
            </w:r>
            <w:r w:rsidRPr="00384331">
              <w:rPr>
                <w:b/>
                <w:bCs/>
              </w:rPr>
              <w:t xml:space="preserve"> 8. </w:t>
            </w:r>
            <w:r w:rsidRPr="00384331">
              <w:rPr>
                <w:rFonts w:hint="default"/>
                <w:b/>
                <w:bCs/>
              </w:rPr>
              <w:t xml:space="preserve"> Preskú</w:t>
            </w:r>
            <w:r w:rsidRPr="00384331">
              <w:rPr>
                <w:rFonts w:hint="default"/>
                <w:b/>
                <w:bCs/>
              </w:rPr>
              <w:t>manie úč</w:t>
            </w:r>
            <w:r w:rsidRPr="00384331">
              <w:rPr>
                <w:rFonts w:hint="default"/>
                <w:b/>
                <w:bCs/>
              </w:rPr>
              <w:t>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</w:pPr>
          </w:p>
        </w:tc>
      </w:tr>
    </w:tbl>
    <w:p w:rsidR="00E3363B" w:rsidRPr="00384331" w:rsidP="00E3363B">
      <w:pPr>
        <w:pStyle w:val="NormalWeb"/>
        <w:bidi w:val="0"/>
        <w:spacing w:before="0" w:beforeAutospacing="0" w:after="0" w:afterAutospacing="0"/>
        <w:rPr>
          <w:bCs/>
        </w:rPr>
      </w:pPr>
    </w:p>
    <w:p w:rsidR="00E3363B" w:rsidRPr="00384331" w:rsidP="00E3363B">
      <w:pPr>
        <w:bidi w:val="0"/>
        <w:ind w:left="142" w:hanging="142"/>
        <w:rPr>
          <w:rFonts w:hint="default"/>
        </w:rPr>
      </w:pPr>
      <w:r w:rsidRPr="00384331">
        <w:rPr>
          <w:rFonts w:hint="default"/>
        </w:rPr>
        <w:t>* vyplniť</w:t>
      </w:r>
      <w:r w:rsidRPr="00384331">
        <w:rPr>
          <w:rFonts w:hint="default"/>
        </w:rPr>
        <w:t xml:space="preserve"> iba v prí</w:t>
      </w:r>
      <w:r w:rsidRPr="00384331">
        <w:rPr>
          <w:rFonts w:hint="default"/>
        </w:rPr>
        <w:t>pade, ak materiá</w:t>
      </w:r>
      <w:r w:rsidRPr="00384331">
        <w:rPr>
          <w:rFonts w:hint="default"/>
        </w:rPr>
        <w:t>l nie je zahrnutý</w:t>
      </w:r>
      <w:r w:rsidRPr="00384331">
        <w:rPr>
          <w:rFonts w:hint="default"/>
        </w:rPr>
        <w:t xml:space="preserve"> do Plá</w:t>
      </w:r>
      <w:r w:rsidRPr="00384331">
        <w:rPr>
          <w:rFonts w:hint="default"/>
        </w:rPr>
        <w:t>nu prá</w:t>
      </w:r>
      <w:r w:rsidRPr="00384331">
        <w:rPr>
          <w:rFonts w:hint="default"/>
        </w:rPr>
        <w:t>ce vlá</w:t>
      </w:r>
      <w:r w:rsidRPr="00384331">
        <w:rPr>
          <w:rFonts w:hint="default"/>
        </w:rPr>
        <w:t>dy Slovenskej republiky alebo Plá</w:t>
      </w:r>
      <w:r w:rsidRPr="00384331">
        <w:rPr>
          <w:rFonts w:hint="default"/>
        </w:rPr>
        <w:t>nu  legislatí</w:t>
      </w:r>
      <w:r w:rsidRPr="00384331">
        <w:rPr>
          <w:rFonts w:hint="default"/>
        </w:rPr>
        <w:t>vnych ú</w:t>
      </w:r>
      <w:r w:rsidRPr="00384331">
        <w:rPr>
          <w:rFonts w:hint="default"/>
        </w:rPr>
        <w:t>loh vlá</w:t>
      </w:r>
      <w:r w:rsidRPr="00384331">
        <w:rPr>
          <w:rFonts w:hint="default"/>
        </w:rPr>
        <w:t xml:space="preserve">dy Slovenskej republiky. </w:t>
      </w:r>
    </w:p>
    <w:p w:rsidR="00E3363B" w:rsidRPr="00384331" w:rsidP="00E3363B">
      <w:pPr>
        <w:pStyle w:val="NormalWeb"/>
        <w:bidi w:val="0"/>
        <w:spacing w:before="0" w:beforeAutospacing="0" w:after="0" w:afterAutospacing="0"/>
        <w:rPr>
          <w:rFonts w:hint="default"/>
        </w:rPr>
      </w:pPr>
      <w:r w:rsidRPr="00384331">
        <w:rPr>
          <w:rFonts w:hint="default"/>
        </w:rPr>
        <w:t>** nepovinné</w:t>
      </w:r>
    </w:p>
    <w:p w:rsidR="00E3363B" w:rsidRPr="00384331" w:rsidP="00E3363B">
      <w:pPr>
        <w:pStyle w:val="NormalWeb"/>
        <w:bidi w:val="0"/>
        <w:spacing w:before="0" w:beforeAutospacing="0" w:after="0" w:afterAutospacing="0"/>
        <w:rPr>
          <w:bCs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692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E51151">
              <w:rPr>
                <w:b/>
                <w:bCs/>
              </w:rPr>
              <w:t> </w:t>
            </w:r>
            <w:r w:rsidRPr="00E51151">
              <w:rPr>
                <w:b/>
                <w:bCs/>
              </w:rPr>
              <w:t xml:space="preserve"> 9.  </w:t>
            </w:r>
            <w:r w:rsidRPr="00E51151">
              <w:rPr>
                <w:rFonts w:hint="default"/>
                <w:b/>
                <w:bCs/>
              </w:rPr>
              <w:t xml:space="preserve"> Vplyvy navrhované</w:t>
            </w:r>
            <w:r w:rsidRPr="00E51151">
              <w:rPr>
                <w:rFonts w:hint="default"/>
                <w:b/>
                <w:bCs/>
              </w:rPr>
              <w:t>ho materiá</w:t>
            </w:r>
            <w:r w:rsidRPr="00E51151">
              <w:rPr>
                <w:rFonts w:hint="default"/>
                <w:b/>
                <w:bCs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rPr>
                <w:b/>
                <w:bCs/>
              </w:rPr>
              <w:t> </w:t>
            </w:r>
            <w:r w:rsidRPr="00E51151">
              <w:rPr>
                <w:rFonts w:hint="default"/>
                <w:b/>
                <w:bCs/>
              </w:rPr>
              <w:t xml:space="preserve"> Vplyvy na rozpoč</w:t>
            </w:r>
            <w:r w:rsidRPr="00E51151">
              <w:rPr>
                <w:rFonts w:hint="default"/>
                <w:b/>
                <w:bCs/>
              </w:rPr>
              <w:t>et verejnej sprá</w:t>
            </w:r>
            <w:r w:rsidRPr="00E51151">
              <w:rPr>
                <w:rFonts w:hint="default"/>
                <w:b/>
                <w:bCs/>
              </w:rPr>
              <w:t>vy</w:t>
            </w:r>
            <w:r w:rsidRPr="00E51151">
              <w:br/>
              <w:t> </w:t>
            </w:r>
            <w:r w:rsidRPr="00E51151">
              <w:t xml:space="preserve">  </w:t>
            </w:r>
            <w:r w:rsidRPr="00E51151">
              <w:rPr>
                <w:rFonts w:hint="default"/>
              </w:rPr>
              <w:t xml:space="preserve"> z toho rozpoč</w:t>
            </w:r>
            <w:r w:rsidRPr="00E51151">
              <w:rPr>
                <w:rFonts w:hint="default"/>
              </w:rPr>
              <w:t>tovo zabezpe</w:t>
            </w:r>
            <w:r w:rsidRPr="00E51151">
              <w:rPr>
                <w:rFonts w:hint="default"/>
              </w:rPr>
              <w:t>č</w:t>
            </w:r>
            <w:r w:rsidRPr="00E51151">
              <w:rPr>
                <w:rFonts w:hint="default"/>
              </w:rPr>
              <w:t>ené</w:t>
            </w:r>
            <w:r w:rsidRPr="00E51151">
              <w:rPr>
                <w:rFonts w:hint="default"/>
              </w:rPr>
              <w:t xml:space="preserve">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673ECE">
            <w:pPr>
              <w:bidi w:val="0"/>
              <w:spacing w:line="276" w:lineRule="auto"/>
              <w:rPr>
                <w:rFonts w:hint="default"/>
              </w:rPr>
            </w:pPr>
            <w:r w:rsidR="00A93C16">
              <w:t xml:space="preserve">  </w:t>
            </w:r>
            <w:r w:rsidR="00673ECE">
              <w:t>x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Pozití</w:t>
            </w:r>
            <w:r w:rsidRPr="00E51151">
              <w:rPr>
                <w:rFonts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Ž</w:t>
            </w:r>
            <w:r w:rsidRPr="00E51151">
              <w:rPr>
                <w:rFonts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673ECE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Pr="00E51151">
              <w:t xml:space="preserve"> </w:t>
            </w:r>
            <w:r w:rsidR="00673ECE">
              <w:t>x</w:t>
            </w:r>
            <w:r w:rsidRPr="00E51151">
              <w:t xml:space="preserve">  </w:t>
            </w:r>
            <w:r w:rsidRPr="00E51151">
              <w:rPr>
                <w:rFonts w:hint="default"/>
              </w:rPr>
              <w:t xml:space="preserve"> Negatí</w:t>
            </w:r>
            <w:r w:rsidRPr="00E51151">
              <w:rPr>
                <w:rFonts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Pr="00E51151">
              <w:t xml:space="preserve"> </w:t>
            </w:r>
            <w:r w:rsidRPr="00E51151">
              <w:rPr>
                <w:rFonts w:hint="default"/>
              </w:rPr>
              <w:t></w:t>
            </w:r>
            <w:r w:rsidRPr="00E51151">
              <w:rPr>
                <w:rFonts w:hint="default"/>
              </w:rPr>
              <w:t xml:space="preserve">    </w:t>
            </w:r>
            <w:r w:rsidRPr="00E51151">
              <w:rPr>
                <w:rFonts w:hint="default"/>
              </w:rPr>
              <w:t xml:space="preserve"> Á</w:t>
            </w:r>
            <w:r w:rsidRPr="00E51151">
              <w:rPr>
                <w:rFonts w:hint="default"/>
              </w:rPr>
              <w:t>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673ECE">
            <w:pPr>
              <w:bidi w:val="0"/>
              <w:spacing w:line="276" w:lineRule="auto"/>
            </w:pPr>
            <w:r w:rsidRPr="00E51151" w:rsidR="005F5AEC">
              <w:t xml:space="preserve"> </w:t>
            </w:r>
            <w:r w:rsidR="00673ECE">
              <w:t xml:space="preserve"> </w:t>
            </w:r>
            <w:r w:rsidRPr="00E51151" w:rsidR="005F5AEC">
              <w:t xml:space="preserve"> </w:t>
            </w:r>
            <w:r w:rsidR="00673ECE">
              <w:t>x</w:t>
            </w:r>
            <w:r w:rsidRPr="00E51151"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> </w:t>
            </w:r>
            <w:r w:rsidRPr="00E51151">
              <w:rPr>
                <w:rFonts w:hint="default"/>
              </w:rPr>
              <w:t xml:space="preserve"> Č</w:t>
            </w:r>
            <w:r w:rsidRPr="00E51151">
              <w:rPr>
                <w:rFonts w:hint="default"/>
              </w:rPr>
              <w:t>iastoč</w:t>
            </w:r>
            <w:r w:rsidRPr="00E51151">
              <w:rPr>
                <w:rFonts w:hint="default"/>
              </w:rPr>
              <w:t>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</w:pPr>
            <w:r w:rsidRPr="00E51151">
              <w:rPr>
                <w:b/>
                <w:bCs/>
              </w:rPr>
              <w:t> </w:t>
            </w:r>
            <w:r w:rsidRPr="00E51151">
              <w:rPr>
                <w:rFonts w:hint="default"/>
                <w:b/>
                <w:bCs/>
              </w:rPr>
              <w:t xml:space="preserve"> Vplyvy na podnikateľ</w:t>
            </w:r>
            <w:r w:rsidRPr="00E51151">
              <w:rPr>
                <w:rFonts w:hint="default"/>
                <w:b/>
                <w:bCs/>
              </w:rPr>
              <w:t>ské</w:t>
            </w:r>
            <w:r w:rsidRPr="00E51151">
              <w:rPr>
                <w:rFonts w:hint="default"/>
                <w:b/>
                <w:bCs/>
              </w:rPr>
              <w:t xml:space="preserve"> prostredie</w:t>
            </w:r>
            <w:r w:rsidRPr="00E51151">
              <w:br/>
              <w:t> </w:t>
            </w:r>
            <w:r w:rsidRPr="00E51151">
              <w:t xml:space="preserve">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Pozití</w:t>
            </w:r>
            <w:r w:rsidRPr="00E51151">
              <w:rPr>
                <w:rFonts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AE1C83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Ž</w:t>
            </w:r>
            <w:r w:rsidRPr="00E51151">
              <w:rPr>
                <w:rFonts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673ECE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Pr="00E51151">
              <w:t xml:space="preserve"> </w:t>
            </w:r>
            <w:r w:rsidR="00673ECE">
              <w:t>x</w:t>
            </w:r>
            <w:r w:rsidRPr="00E51151">
              <w:t xml:space="preserve">  </w:t>
            </w:r>
            <w:r w:rsidRPr="00E51151">
              <w:rPr>
                <w:rFonts w:hint="default"/>
              </w:rPr>
              <w:t xml:space="preserve"> Negatí</w:t>
            </w:r>
            <w:r w:rsidRPr="00E51151">
              <w:rPr>
                <w:rFonts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AE1C83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="00673ECE">
              <w:t xml:space="preserve">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Pozití</w:t>
            </w:r>
            <w:r w:rsidRPr="00E51151">
              <w:rPr>
                <w:rFonts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Pr="00E51151">
              <w:t xml:space="preserve"> </w:t>
            </w:r>
            <w:r w:rsidRPr="00E51151">
              <w:rPr>
                <w:rFonts w:hint="default"/>
              </w:rPr>
              <w:t></w:t>
            </w:r>
            <w:r w:rsidRPr="00E51151">
              <w:rPr>
                <w:rFonts w:hint="default"/>
              </w:rPr>
              <w:t xml:space="preserve">    </w:t>
            </w:r>
            <w:r w:rsidRPr="00E51151">
              <w:rPr>
                <w:rFonts w:hint="default"/>
              </w:rPr>
              <w:t xml:space="preserve"> Ž</w:t>
            </w:r>
            <w:r w:rsidRPr="00E51151">
              <w:rPr>
                <w:rFonts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673ECE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="00673ECE">
              <w:t>x</w:t>
            </w:r>
            <w:r w:rsidRPr="00E51151">
              <w:t xml:space="preserve">  </w:t>
            </w:r>
            <w:r w:rsidRPr="00E51151">
              <w:rPr>
                <w:rFonts w:hint="default"/>
              </w:rPr>
              <w:t xml:space="preserve"> Negatí</w:t>
            </w:r>
            <w:r w:rsidRPr="00E51151">
              <w:rPr>
                <w:rFonts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</w:pPr>
            <w:r w:rsidRPr="00E51151">
              <w:rPr>
                <w:b/>
                <w:bCs/>
              </w:rPr>
              <w:t> </w:t>
            </w:r>
            <w:r w:rsidRPr="00E51151">
              <w:rPr>
                <w:rFonts w:hint="default"/>
                <w:b/>
                <w:bCs/>
              </w:rPr>
              <w:t xml:space="preserve"> Sociá</w:t>
            </w:r>
            <w:r w:rsidRPr="00E51151">
              <w:rPr>
                <w:rFonts w:hint="default"/>
                <w:b/>
                <w:bCs/>
              </w:rPr>
              <w:t>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="0023339D">
              <w:t>x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Pozití</w:t>
            </w:r>
            <w:r w:rsidRPr="00E51151">
              <w:rPr>
                <w:rFonts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23339D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Pr="00E51151">
              <w:t xml:space="preserve"> </w:t>
            </w:r>
            <w:r w:rsidRPr="00E51151" w:rsidR="0023339D">
              <w:rPr>
                <w:rFonts w:hint="default"/>
              </w:rPr>
              <w:t>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Ž</w:t>
            </w:r>
            <w:r w:rsidRPr="00E51151">
              <w:rPr>
                <w:rFonts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</w:t>
            </w:r>
            <w:r w:rsidRPr="00E51151">
              <w:rPr>
                <w:rFonts w:hint="default"/>
              </w:rPr>
              <w:t xml:space="preserve"> Negatí</w:t>
            </w:r>
            <w:r w:rsidRPr="00E51151">
              <w:rPr>
                <w:rFonts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</w:pPr>
            <w:r w:rsidRPr="00E51151">
              <w:rPr>
                <w:b/>
                <w:bCs/>
              </w:rPr>
              <w:t> </w:t>
            </w:r>
            <w:r w:rsidRPr="00E51151">
              <w:rPr>
                <w:rFonts w:hint="default"/>
                <w:b/>
                <w:bCs/>
              </w:rPr>
              <w:t xml:space="preserve"> Vplyvy na ž</w:t>
            </w:r>
            <w:r w:rsidRPr="00E51151">
              <w:rPr>
                <w:rFonts w:hint="default"/>
                <w:b/>
                <w:bCs/>
              </w:rPr>
              <w:t>ivotné</w:t>
            </w:r>
            <w:r w:rsidRPr="00E51151">
              <w:rPr>
                <w:rFonts w:hint="default"/>
                <w:b/>
                <w:bCs/>
              </w:rPr>
              <w:t xml:space="preserve">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23339D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</w:t>
            </w:r>
            <w:r w:rsidR="00673ECE">
              <w:t xml:space="preserve"> x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Pozití</w:t>
            </w:r>
            <w:r w:rsidRPr="00E51151">
              <w:rPr>
                <w:rFonts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Pr="00E51151">
              <w:t xml:space="preserve"> </w:t>
            </w:r>
            <w:r w:rsidRPr="00E51151">
              <w:rPr>
                <w:rFonts w:hint="default"/>
              </w:rPr>
              <w:t></w:t>
            </w:r>
            <w:r w:rsidRPr="00E51151">
              <w:rPr>
                <w:rFonts w:hint="default"/>
              </w:rPr>
              <w:t xml:space="preserve">    </w:t>
            </w:r>
            <w:r w:rsidRPr="00E51151">
              <w:rPr>
                <w:rFonts w:hint="default"/>
              </w:rPr>
              <w:t xml:space="preserve"> Ž</w:t>
            </w:r>
            <w:r w:rsidRPr="00E51151">
              <w:rPr>
                <w:rFonts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> </w:t>
            </w:r>
            <w:r w:rsidRPr="00E51151">
              <w:rPr>
                <w:rFonts w:hint="default"/>
              </w:rPr>
              <w:t xml:space="preserve"> Negatí</w:t>
            </w:r>
            <w:r w:rsidRPr="00E51151">
              <w:rPr>
                <w:rFonts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</w:pPr>
            <w:r w:rsidRPr="00E51151">
              <w:rPr>
                <w:b/>
                <w:bCs/>
              </w:rPr>
              <w:t> </w:t>
            </w:r>
            <w:r w:rsidRPr="00E51151">
              <w:rPr>
                <w:rFonts w:hint="default"/>
                <w:b/>
                <w:bCs/>
              </w:rPr>
              <w:t xml:space="preserve"> Vplyvy na informatizá</w:t>
            </w:r>
            <w:r w:rsidRPr="00E51151">
              <w:rPr>
                <w:rFonts w:hint="default"/>
                <w:b/>
                <w:bCs/>
              </w:rPr>
              <w:t>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673ECE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Pr="00E51151">
              <w:t xml:space="preserve"> </w:t>
            </w:r>
            <w:r w:rsidR="00673ECE">
              <w:t>x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Pozití</w:t>
            </w:r>
            <w:r w:rsidRPr="00E51151">
              <w:rPr>
                <w:rFonts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Ž</w:t>
            </w:r>
            <w:r w:rsidRPr="00E51151">
              <w:rPr>
                <w:rFonts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</w:t>
            </w:r>
            <w:r w:rsidRPr="00E51151">
              <w:rPr>
                <w:rFonts w:hint="default"/>
              </w:rPr>
              <w:t xml:space="preserve"> Negatí</w:t>
            </w:r>
            <w:r w:rsidRPr="00E51151">
              <w:rPr>
                <w:rFonts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rPr>
                <w:b/>
                <w:bCs/>
              </w:rPr>
              <w:t> </w:t>
            </w:r>
            <w:r w:rsidRPr="00E51151">
              <w:rPr>
                <w:rFonts w:hint="default"/>
                <w:b/>
                <w:bCs/>
              </w:rPr>
              <w:t xml:space="preserve"> Vplyvy na služ</w:t>
            </w:r>
            <w:r w:rsidRPr="00E51151">
              <w:rPr>
                <w:rFonts w:hint="default"/>
                <w:b/>
                <w:bCs/>
              </w:rPr>
              <w:t>by pre obč</w:t>
            </w:r>
            <w:r w:rsidRPr="00E51151">
              <w:rPr>
                <w:rFonts w:hint="default"/>
                <w:b/>
                <w:bCs/>
              </w:rPr>
              <w:t>ana z toho</w:t>
            </w:r>
            <w:r w:rsidRPr="00E51151">
              <w:br/>
              <w:t> </w:t>
            </w:r>
            <w:r w:rsidRPr="00E51151">
              <w:t xml:space="preserve">  </w:t>
            </w:r>
            <w:r w:rsidRPr="00E51151">
              <w:rPr>
                <w:rFonts w:hint="default"/>
              </w:rPr>
              <w:t xml:space="preserve"> vplyvy služ</w:t>
            </w:r>
            <w:r w:rsidRPr="00E51151">
              <w:rPr>
                <w:rFonts w:hint="default"/>
              </w:rPr>
              <w:t>ieb verejnej sprá</w:t>
            </w:r>
            <w:r w:rsidRPr="00E51151">
              <w:rPr>
                <w:rFonts w:hint="default"/>
              </w:rPr>
              <w:t>vy na obč</w:t>
            </w:r>
            <w:r w:rsidRPr="00E51151">
              <w:rPr>
                <w:rFonts w:hint="default"/>
              </w:rPr>
              <w:t>ana</w:t>
              <w:br/>
              <w:t>   </w:t>
            </w:r>
            <w:r w:rsidRPr="00E51151">
              <w:rPr>
                <w:rFonts w:hint="default"/>
              </w:rPr>
              <w:t xml:space="preserve"> vplyvy na procesy služ</w:t>
            </w:r>
            <w:r w:rsidRPr="00E51151">
              <w:rPr>
                <w:rFonts w:hint="default"/>
              </w:rPr>
              <w:t>ieb vo verejnej</w:t>
              <w:br/>
              <w:t>   </w:t>
            </w:r>
            <w:r w:rsidRPr="00E51151">
              <w:rPr>
                <w:rFonts w:hint="default"/>
              </w:rPr>
              <w:t xml:space="preserve"> sprá</w:t>
            </w:r>
            <w:r w:rsidRPr="00E51151">
              <w:rPr>
                <w:rFonts w:hint="default"/>
              </w:rPr>
              <w:t>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5F5AEC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br/>
            </w: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Pozití</w:t>
            </w:r>
            <w:r w:rsidRPr="00E51151">
              <w:rPr>
                <w:rFonts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673ECE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br/>
              <w:t> </w:t>
            </w:r>
            <w:r w:rsidRPr="00E51151">
              <w:t xml:space="preserve"> </w:t>
            </w:r>
            <w:r w:rsidR="00673ECE">
              <w:t xml:space="preserve"> x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Ž</w:t>
            </w:r>
            <w:r w:rsidRPr="00E51151">
              <w:rPr>
                <w:rFonts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5F5AEC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br/>
            </w: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> </w:t>
            </w:r>
            <w:r w:rsidRPr="00E51151">
              <w:rPr>
                <w:rFonts w:hint="default"/>
              </w:rPr>
              <w:t xml:space="preserve"> Negatí</w:t>
            </w:r>
            <w:r w:rsidRPr="00E51151">
              <w:rPr>
                <w:rFonts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Pozití</w:t>
            </w:r>
            <w:r w:rsidRPr="00E51151">
              <w:rPr>
                <w:rFonts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673ECE">
            <w:pPr>
              <w:bidi w:val="0"/>
              <w:spacing w:line="276" w:lineRule="auto"/>
              <w:rPr>
                <w:rFonts w:hint="default"/>
              </w:rPr>
            </w:pPr>
            <w:r w:rsidRPr="00E51151">
              <w:t> </w:t>
            </w:r>
            <w:r w:rsidR="00673ECE">
              <w:t xml:space="preserve"> </w:t>
            </w:r>
            <w:r w:rsidRPr="00E51151">
              <w:t xml:space="preserve"> </w:t>
            </w:r>
            <w:r w:rsidR="00673ECE">
              <w:t>x</w:t>
            </w:r>
            <w:r w:rsidRPr="00E51151">
              <w:t xml:space="preserve">    </w:t>
            </w:r>
            <w:r w:rsidRPr="00E51151">
              <w:rPr>
                <w:rFonts w:hint="default"/>
              </w:rPr>
              <w:t xml:space="preserve"> Ž</w:t>
            </w:r>
            <w:r w:rsidRPr="00E51151">
              <w:rPr>
                <w:rFonts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E3363B" w:rsidRPr="00E51151" w:rsidP="00E3363B">
            <w:pPr>
              <w:bidi w:val="0"/>
              <w:spacing w:line="276" w:lineRule="auto"/>
              <w:rPr>
                <w:rFonts w:hint="default"/>
              </w:rPr>
            </w:pPr>
            <w:r w:rsidRPr="00E51151" w:rsidR="005F5AEC">
              <w:t xml:space="preserve">  </w:t>
            </w:r>
            <w:r w:rsidRPr="00E51151" w:rsidR="00A93C16">
              <w:rPr>
                <w:rFonts w:hint="default"/>
              </w:rPr>
              <w:t></w:t>
            </w:r>
            <w:r w:rsidRPr="00E51151">
              <w:t xml:space="preserve">  </w:t>
            </w:r>
            <w:r w:rsidRPr="00E51151">
              <w:rPr>
                <w:rFonts w:hint="default"/>
              </w:rPr>
              <w:t xml:space="preserve"> Negatí</w:t>
            </w:r>
            <w:r w:rsidRPr="00E51151">
              <w:rPr>
                <w:rFonts w:hint="default"/>
              </w:rPr>
              <w:t>vne</w:t>
            </w:r>
          </w:p>
        </w:tc>
      </w:tr>
    </w:tbl>
    <w:p w:rsidR="00E3363B" w:rsidRPr="00384331" w:rsidP="00E3363B">
      <w:pPr>
        <w:pStyle w:val="NormalWeb"/>
        <w:bidi w:val="0"/>
        <w:spacing w:before="0" w:beforeAutospacing="0" w:after="0" w:afterAutospacing="0"/>
        <w:rPr>
          <w:bCs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384331">
              <w:rPr>
                <w:b/>
                <w:bCs/>
              </w:rPr>
              <w:t> </w:t>
            </w:r>
            <w:r w:rsidRPr="00384331">
              <w:rPr>
                <w:b/>
                <w:bCs/>
              </w:rPr>
              <w:t xml:space="preserve"> 10. </w:t>
            </w:r>
            <w:r w:rsidRPr="00384331">
              <w:rPr>
                <w:rFonts w:hint="default"/>
                <w:b/>
                <w:bCs/>
              </w:rPr>
              <w:t xml:space="preserve"> Pozná</w:t>
            </w:r>
            <w:r w:rsidRPr="00384331">
              <w:rPr>
                <w:rFonts w:hint="default"/>
                <w:b/>
                <w:bCs/>
              </w:rPr>
              <w:t>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RPr="00384331" w:rsidP="00E3363B">
            <w:pPr>
              <w:bidi w:val="0"/>
              <w:spacing w:line="276" w:lineRule="auto"/>
              <w:rPr>
                <w:rFonts w:hint="default"/>
                <w:b/>
                <w:bCs/>
              </w:rPr>
            </w:pPr>
            <w:r w:rsidRPr="00384331">
              <w:rPr>
                <w:b/>
                <w:bCs/>
              </w:rPr>
              <w:t> </w:t>
            </w:r>
            <w:r w:rsidRPr="00384331">
              <w:rPr>
                <w:b/>
                <w:bCs/>
              </w:rPr>
              <w:t xml:space="preserve"> 11. </w:t>
            </w:r>
            <w:r w:rsidRPr="00384331">
              <w:rPr>
                <w:rFonts w:hint="default"/>
                <w:b/>
                <w:bCs/>
              </w:rPr>
              <w:t xml:space="preserve"> Kontakt na spracovateľ</w:t>
            </w:r>
            <w:r w:rsidRPr="00384331">
              <w:rPr>
                <w:rFonts w:hint="default"/>
                <w:b/>
                <w:bCs/>
              </w:rPr>
              <w:t>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6F556A" w:rsidP="006F556A">
            <w:pPr>
              <w:bidi w:val="0"/>
              <w:spacing w:line="276" w:lineRule="auto"/>
            </w:pPr>
            <w:r w:rsidRPr="00384331" w:rsidR="001D1FC8">
              <w:t>Ing</w:t>
            </w:r>
            <w:r w:rsidRPr="00384331" w:rsidR="00E3363B">
              <w:t xml:space="preserve">. </w:t>
            </w:r>
            <w:r w:rsidRPr="00384331" w:rsidR="001D1FC8">
              <w:rPr>
                <w:rFonts w:hint="default"/>
              </w:rPr>
              <w:t>Ľ</w:t>
            </w:r>
            <w:r w:rsidRPr="00384331" w:rsidR="001D1FC8">
              <w:rPr>
                <w:rFonts w:hint="default"/>
              </w:rPr>
              <w:t>udmila Auxtová</w:t>
            </w:r>
            <w:r w:rsidRPr="00384331" w:rsidR="00E3363B">
              <w:t xml:space="preserve">, </w:t>
            </w:r>
            <w:r w:rsidRPr="00384331" w:rsidR="001D1FC8">
              <w:rPr>
                <w:rFonts w:hint="default"/>
              </w:rPr>
              <w:t>Regioná</w:t>
            </w:r>
            <w:r w:rsidRPr="00384331" w:rsidR="001D1FC8">
              <w:rPr>
                <w:rFonts w:hint="default"/>
              </w:rPr>
              <w:t>lny ú</w:t>
            </w:r>
            <w:r w:rsidRPr="00384331" w:rsidR="001D1FC8">
              <w:rPr>
                <w:rFonts w:hint="default"/>
              </w:rPr>
              <w:t>rad verejné</w:t>
            </w:r>
            <w:r w:rsidRPr="00384331" w:rsidR="001D1FC8">
              <w:rPr>
                <w:rFonts w:hint="default"/>
              </w:rPr>
              <w:t>ho zdravotní</w:t>
            </w:r>
            <w:r w:rsidRPr="00384331" w:rsidR="001D1FC8">
              <w:rPr>
                <w:rFonts w:hint="default"/>
              </w:rPr>
              <w:t xml:space="preserve">ctva </w:t>
            </w:r>
            <w:r w:rsidR="005B53AA">
              <w:rPr>
                <w:rFonts w:hint="default"/>
              </w:rPr>
              <w:t>so sí</w:t>
            </w:r>
            <w:r w:rsidR="005B53AA">
              <w:rPr>
                <w:rFonts w:hint="default"/>
              </w:rPr>
              <w:t xml:space="preserve">dlom v </w:t>
            </w:r>
            <w:r w:rsidRPr="00384331" w:rsidR="001D1FC8">
              <w:t>Bansk</w:t>
            </w:r>
            <w:r w:rsidR="005B53AA">
              <w:t>ej</w:t>
            </w:r>
            <w:r w:rsidRPr="00384331" w:rsidR="001D1FC8">
              <w:t xml:space="preserve"> Bystric</w:t>
            </w:r>
            <w:r w:rsidR="005B53AA">
              <w:t>i</w:t>
            </w:r>
            <w:r w:rsidRPr="00384331" w:rsidR="00E3363B">
              <w:t xml:space="preserve">, </w:t>
            </w:r>
            <w:hyperlink r:id="rId4" w:history="1">
              <w:r w:rsidRPr="00786F74" w:rsidR="005B53AA">
                <w:rPr>
                  <w:rStyle w:val="Hyperlink"/>
                </w:rPr>
                <w:t>ludmila.auxtova@vzbb.sk</w:t>
              </w:r>
            </w:hyperlink>
            <w:r w:rsidR="005B53AA">
              <w:t xml:space="preserve"> </w:t>
            </w:r>
            <w:r w:rsidRPr="00384331" w:rsidR="00E3363B">
              <w:t xml:space="preserve">, tel.: +421 </w:t>
            </w:r>
            <w:r w:rsidR="005B53AA">
              <w:t xml:space="preserve">48 </w:t>
            </w:r>
            <w:r w:rsidRPr="00384331">
              <w:t>4367711</w:t>
            </w:r>
          </w:p>
          <w:p w:rsidR="005B53AA" w:rsidP="006F556A">
            <w:pPr>
              <w:bidi w:val="0"/>
              <w:spacing w:line="276" w:lineRule="auto"/>
            </w:pPr>
            <w:r>
              <w:rPr>
                <w:rFonts w:hint="default"/>
              </w:rPr>
              <w:t>RNDr. Vladimí</w:t>
            </w:r>
            <w:r>
              <w:rPr>
                <w:rFonts w:hint="default"/>
              </w:rPr>
              <w:t xml:space="preserve">r Jurina, </w:t>
            </w:r>
            <w:r w:rsidRPr="00384331">
              <w:rPr>
                <w:rFonts w:hint="default"/>
              </w:rPr>
              <w:t>Ú</w:t>
            </w:r>
            <w:r w:rsidRPr="00384331">
              <w:rPr>
                <w:rFonts w:hint="default"/>
              </w:rPr>
              <w:t>rad verejné</w:t>
            </w:r>
            <w:r w:rsidRPr="00384331">
              <w:rPr>
                <w:rFonts w:hint="default"/>
              </w:rPr>
              <w:t>ho zdravotní</w:t>
            </w:r>
            <w:r w:rsidRPr="00384331">
              <w:rPr>
                <w:rFonts w:hint="default"/>
              </w:rPr>
              <w:t>ctva Slovenskej republiky</w:t>
            </w:r>
            <w:r>
              <w:t xml:space="preserve">, </w:t>
            </w:r>
            <w:hyperlink r:id="rId5" w:history="1">
              <w:r w:rsidRPr="00786F74">
                <w:rPr>
                  <w:rStyle w:val="Hyperlink"/>
                </w:rPr>
                <w:t>vladimir.jurina@uvzsr.sk</w:t>
              </w:r>
            </w:hyperlink>
            <w:r>
              <w:t xml:space="preserve"> , tel.: + 421 2 49284251</w:t>
            </w:r>
          </w:p>
          <w:p w:rsidR="005B53AA" w:rsidRPr="00384331" w:rsidP="006F556A">
            <w:pPr>
              <w:bidi w:val="0"/>
              <w:spacing w:line="276" w:lineRule="auto"/>
            </w:pPr>
            <w:r>
              <w:rPr>
                <w:rFonts w:hint="default"/>
              </w:rPr>
              <w:t>Ing. Martina Dubníč</w:t>
            </w:r>
            <w:r>
              <w:rPr>
                <w:rFonts w:hint="default"/>
              </w:rPr>
              <w:t>ková</w:t>
            </w:r>
            <w:r>
              <w:rPr>
                <w:rFonts w:hint="default"/>
              </w:rPr>
              <w:t xml:space="preserve">, </w:t>
            </w:r>
            <w:r w:rsidRPr="00384331">
              <w:rPr>
                <w:rFonts w:hint="default"/>
              </w:rPr>
              <w:t>Ú</w:t>
            </w:r>
            <w:r w:rsidRPr="00384331">
              <w:rPr>
                <w:rFonts w:hint="default"/>
              </w:rPr>
              <w:t>rad verejné</w:t>
            </w:r>
            <w:r w:rsidRPr="00384331">
              <w:rPr>
                <w:rFonts w:hint="default"/>
              </w:rPr>
              <w:t>ho zdravotní</w:t>
            </w:r>
            <w:r w:rsidRPr="00384331">
              <w:rPr>
                <w:rFonts w:hint="default"/>
              </w:rPr>
              <w:t>ctva Slovenskej republiky</w:t>
            </w:r>
            <w:r>
              <w:t xml:space="preserve">, </w:t>
            </w:r>
            <w:hyperlink r:id="rId6" w:history="1">
              <w:r w:rsidRPr="00786F74">
                <w:rPr>
                  <w:rStyle w:val="Hyperlink"/>
                </w:rPr>
                <w:t>martina.dubnickova@uvzsr.sk</w:t>
              </w:r>
            </w:hyperlink>
            <w:r>
              <w:t xml:space="preserve"> , tel.: + 421 2 49284401</w:t>
            </w:r>
          </w:p>
          <w:p w:rsidR="00E3363B" w:rsidRPr="00384331" w:rsidP="006F556A">
            <w:pPr>
              <w:bidi w:val="0"/>
              <w:spacing w:line="276" w:lineRule="auto"/>
            </w:pPr>
            <w:r w:rsidRPr="00384331" w:rsidR="006F556A">
              <w:rPr>
                <w:rFonts w:hint="default"/>
              </w:rPr>
              <w:t>RNDr. Karol Bö</w:t>
            </w:r>
            <w:r w:rsidRPr="00384331" w:rsidR="006F556A">
              <w:rPr>
                <w:rFonts w:hint="default"/>
              </w:rPr>
              <w:t>hm, Ú</w:t>
            </w:r>
            <w:r w:rsidRPr="00384331" w:rsidR="006F556A">
              <w:rPr>
                <w:rFonts w:hint="default"/>
              </w:rPr>
              <w:t>rad verejné</w:t>
            </w:r>
            <w:r w:rsidRPr="00384331" w:rsidR="006F556A">
              <w:rPr>
                <w:rFonts w:hint="default"/>
              </w:rPr>
              <w:t>ho zdravotní</w:t>
            </w:r>
            <w:r w:rsidRPr="00384331" w:rsidR="006F556A">
              <w:rPr>
                <w:rFonts w:hint="default"/>
              </w:rPr>
              <w:t xml:space="preserve">ctva Slovenskej republiky, </w:t>
            </w:r>
            <w:hyperlink r:id="rId7" w:history="1">
              <w:r w:rsidRPr="00574998" w:rsidR="006F556A">
                <w:rPr>
                  <w:rStyle w:val="Hyperlink"/>
                </w:rPr>
                <w:t>karol.bohm@uvzsr.sk</w:t>
              </w:r>
            </w:hyperlink>
            <w:r w:rsidRPr="00384331" w:rsidR="006F556A">
              <w:t>, tel.: +421</w:t>
            </w:r>
            <w:r w:rsidRPr="00384331" w:rsidR="00384331">
              <w:t xml:space="preserve"> </w:t>
            </w:r>
            <w:r w:rsidRPr="00384331" w:rsidR="006F556A">
              <w:t>2 49284203</w:t>
            </w:r>
            <w:r w:rsidRPr="00384331">
              <w:br/>
            </w:r>
            <w:r w:rsidRPr="00384331" w:rsidR="006F556A">
              <w:t>JUDr</w:t>
            </w:r>
            <w:r w:rsidRPr="00384331">
              <w:t xml:space="preserve">. </w:t>
            </w:r>
            <w:r w:rsidRPr="00384331" w:rsidR="006F556A">
              <w:t>Roman Soska</w:t>
            </w:r>
            <w:r w:rsidRPr="00384331">
              <w:rPr>
                <w:rFonts w:hint="default"/>
              </w:rPr>
              <w:t>, odbor legislatí</w:t>
            </w:r>
            <w:r w:rsidRPr="00384331">
              <w:rPr>
                <w:rFonts w:hint="default"/>
              </w:rPr>
              <w:t>vno-prá</w:t>
            </w:r>
            <w:r w:rsidRPr="00384331">
              <w:rPr>
                <w:rFonts w:hint="default"/>
              </w:rPr>
              <w:t xml:space="preserve">vny, </w:t>
            </w:r>
            <w:r w:rsidRPr="00384331" w:rsidR="006F556A">
              <w:rPr>
                <w:rFonts w:hint="default"/>
              </w:rPr>
              <w:t>Ú</w:t>
            </w:r>
            <w:r w:rsidRPr="00384331" w:rsidR="006F556A">
              <w:rPr>
                <w:rFonts w:hint="default"/>
              </w:rPr>
              <w:t>rad verejné</w:t>
            </w:r>
            <w:r w:rsidRPr="00384331" w:rsidR="006F556A">
              <w:rPr>
                <w:rFonts w:hint="default"/>
              </w:rPr>
              <w:t>ho zdravotní</w:t>
            </w:r>
            <w:r w:rsidRPr="00384331" w:rsidR="006F556A">
              <w:rPr>
                <w:rFonts w:hint="default"/>
              </w:rPr>
              <w:t>ctva Slovenskej republiky</w:t>
            </w:r>
            <w:r w:rsidRPr="00384331">
              <w:t xml:space="preserve">, </w:t>
            </w:r>
            <w:hyperlink r:id="rId8" w:history="1">
              <w:r w:rsidRPr="00786F74" w:rsidR="005B53AA">
                <w:rPr>
                  <w:rStyle w:val="Hyperlink"/>
                </w:rPr>
                <w:t>roman.soska@uvzsr.sk</w:t>
              </w:r>
            </w:hyperlink>
            <w:r w:rsidR="005B53AA">
              <w:t xml:space="preserve"> </w:t>
            </w:r>
            <w:r w:rsidRPr="00384331">
              <w:t xml:space="preserve">, tel.: +421 2 </w:t>
            </w:r>
            <w:r w:rsidRPr="00384331" w:rsidR="006F556A">
              <w:t>49284388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6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E3363B" w:rsidP="00E3363B">
            <w:pPr>
              <w:bidi w:val="0"/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E3363B" w:rsidP="0023339D">
            <w:pPr>
              <w:bidi w:val="0"/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13. </w:t>
            </w:r>
            <w:r w:rsidR="0023339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Stanovisko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Komisie pre posudzovanie vybraný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ch vplyvov z</w:t>
            </w:r>
            <w:r w:rsidR="00560844"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0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9608F5" w:rsidRPr="00EC320D" w:rsidP="009608F5">
            <w:pPr>
              <w:bidi w:val="0"/>
              <w:ind w:right="-2"/>
              <w:jc w:val="both"/>
              <w:rPr>
                <w:bCs/>
              </w:rPr>
            </w:pPr>
            <w:r w:rsidRPr="00EC320D" w:rsidR="00CF50F4">
              <w:rPr>
                <w:rFonts w:hint="default"/>
                <w:bCs/>
              </w:rPr>
              <w:t>Stá</w:t>
            </w:r>
            <w:r w:rsidRPr="00EC320D" w:rsidR="00CF50F4">
              <w:rPr>
                <w:rFonts w:hint="default"/>
                <w:bCs/>
              </w:rPr>
              <w:t>la pracovná</w:t>
            </w:r>
            <w:r w:rsidRPr="00EC320D" w:rsidR="00CF50F4">
              <w:rPr>
                <w:rFonts w:hint="default"/>
                <w:bCs/>
              </w:rPr>
              <w:t xml:space="preserve"> komisia </w:t>
            </w:r>
            <w:r w:rsidRPr="00EC320D">
              <w:rPr>
                <w:rFonts w:hint="default"/>
                <w:bCs/>
              </w:rPr>
              <w:t>Legislatí</w:t>
            </w:r>
            <w:r w:rsidRPr="00EC320D">
              <w:rPr>
                <w:rFonts w:hint="default"/>
                <w:bCs/>
              </w:rPr>
              <w:t>vnej rady vlá</w:t>
            </w:r>
            <w:r w:rsidRPr="00EC320D">
              <w:rPr>
                <w:rFonts w:hint="default"/>
                <w:bCs/>
              </w:rPr>
              <w:t>dy Slovenskej republiky pre</w:t>
            </w:r>
            <w:r w:rsidRPr="00EC320D" w:rsidR="00CF50F4">
              <w:rPr>
                <w:rFonts w:hint="default"/>
                <w:bCs/>
              </w:rPr>
              <w:t xml:space="preserve"> posudzovanie vybraný</w:t>
            </w:r>
            <w:r w:rsidRPr="00EC320D" w:rsidR="00CF50F4">
              <w:rPr>
                <w:rFonts w:hint="default"/>
                <w:bCs/>
              </w:rPr>
              <w:t>ch vplyvov vyjadr</w:t>
            </w:r>
            <w:r w:rsidRPr="00EC320D">
              <w:rPr>
                <w:bCs/>
              </w:rPr>
              <w:t xml:space="preserve">ila </w:t>
            </w:r>
            <w:r w:rsidRPr="00EC320D" w:rsidR="00CF50F4">
              <w:rPr>
                <w:rFonts w:eastAsia="Times New Roman"/>
                <w:bCs/>
                <w:lang w:eastAsia="en-US"/>
              </w:rPr>
              <w:t>nesúhlasné stanovisko</w:t>
            </w:r>
            <w:r w:rsidRPr="00EC320D">
              <w:rPr>
                <w:rFonts w:eastAsia="Times New Roman"/>
                <w:bCs/>
                <w:lang w:eastAsia="en-US"/>
              </w:rPr>
              <w:t xml:space="preserve"> </w:t>
            </w:r>
            <w:r w:rsidRPr="00EC320D" w:rsidR="00CF50F4">
              <w:rPr>
                <w:bCs/>
                <w:szCs w:val="22"/>
              </w:rPr>
              <w:t>s </w:t>
            </w:r>
            <w:r w:rsidRPr="00EC320D" w:rsidR="00CF50F4">
              <w:rPr>
                <w:rFonts w:hint="default"/>
                <w:bCs/>
                <w:szCs w:val="22"/>
              </w:rPr>
              <w:t>materiá</w:t>
            </w:r>
            <w:r w:rsidRPr="00EC320D" w:rsidR="00CF50F4">
              <w:rPr>
                <w:rFonts w:hint="default"/>
                <w:bCs/>
                <w:szCs w:val="22"/>
              </w:rPr>
              <w:t xml:space="preserve">lom </w:t>
            </w:r>
            <w:r w:rsidRPr="00EC320D" w:rsidR="00CF50F4">
              <w:rPr>
                <w:rFonts w:hint="default"/>
                <w:bCs/>
              </w:rPr>
              <w:t>predlož</w:t>
            </w:r>
            <w:r w:rsidRPr="00EC320D" w:rsidR="00CF50F4">
              <w:rPr>
                <w:rFonts w:hint="default"/>
                <w:bCs/>
              </w:rPr>
              <w:t>ený</w:t>
            </w:r>
            <w:r w:rsidRPr="00EC320D" w:rsidR="00CF50F4">
              <w:rPr>
                <w:rFonts w:hint="default"/>
                <w:bCs/>
              </w:rPr>
              <w:t>m na predbež</w:t>
            </w:r>
            <w:r w:rsidRPr="00EC320D" w:rsidR="00CF50F4">
              <w:rPr>
                <w:rFonts w:hint="default"/>
                <w:bCs/>
              </w:rPr>
              <w:t>né</w:t>
            </w:r>
            <w:r w:rsidRPr="00EC320D" w:rsidR="00CF50F4">
              <w:rPr>
                <w:rFonts w:hint="default"/>
                <w:bCs/>
              </w:rPr>
              <w:t xml:space="preserve"> pripomienkové</w:t>
            </w:r>
            <w:r w:rsidRPr="00EC320D" w:rsidR="00CF50F4">
              <w:rPr>
                <w:rFonts w:hint="default"/>
                <w:bCs/>
              </w:rPr>
              <w:t xml:space="preserve"> konanie s </w:t>
            </w:r>
            <w:r w:rsidRPr="00EC320D" w:rsidR="00CF50F4">
              <w:rPr>
                <w:rFonts w:hint="default"/>
                <w:bCs/>
              </w:rPr>
              <w:t>odporúč</w:t>
            </w:r>
            <w:r w:rsidRPr="00EC320D" w:rsidR="00CF50F4">
              <w:rPr>
                <w:rFonts w:hint="default"/>
                <w:bCs/>
              </w:rPr>
              <w:t>aní</w:t>
            </w:r>
            <w:r w:rsidRPr="00EC320D" w:rsidR="00CF50F4">
              <w:rPr>
                <w:rFonts w:hint="default"/>
                <w:bCs/>
              </w:rPr>
              <w:t>m na jeho dopracovanie podľ</w:t>
            </w:r>
            <w:r w:rsidRPr="00EC320D" w:rsidR="00CF50F4">
              <w:rPr>
                <w:rFonts w:hint="default"/>
                <w:bCs/>
              </w:rPr>
              <w:t>a pripomienok v bode II.</w:t>
            </w:r>
          </w:p>
          <w:p w:rsidR="00CF50F4" w:rsidRPr="00EC320D" w:rsidP="009608F5">
            <w:pPr>
              <w:bidi w:val="0"/>
              <w:ind w:right="-2"/>
              <w:jc w:val="both"/>
              <w:rPr>
                <w:rFonts w:eastAsia="Times New Roman"/>
                <w:bCs/>
                <w:lang w:eastAsia="en-US"/>
              </w:rPr>
            </w:pPr>
            <w:r w:rsidRPr="00EC320D">
              <w:rPr>
                <w:bCs/>
                <w:szCs w:val="22"/>
              </w:rPr>
              <w:t xml:space="preserve"> </w:t>
            </w:r>
            <w:r w:rsidRPr="00EC320D">
              <w:rPr>
                <w:rFonts w:eastAsia="Times New Roman"/>
                <w:bCs/>
                <w:lang w:eastAsia="en-US"/>
              </w:rPr>
              <w:t xml:space="preserve"> </w:t>
            </w:r>
          </w:p>
          <w:p w:rsidR="009608F5" w:rsidRPr="00EC320D" w:rsidP="009608F5">
            <w:pPr>
              <w:bidi w:val="0"/>
              <w:ind w:right="-2"/>
              <w:jc w:val="both"/>
              <w:rPr>
                <w:rFonts w:hint="default"/>
                <w:bCs/>
              </w:rPr>
            </w:pPr>
            <w:r w:rsidRPr="00EC320D">
              <w:rPr>
                <w:rFonts w:hint="default"/>
                <w:bCs/>
              </w:rPr>
              <w:t>Komisia upozornila predkladateľ</w:t>
            </w:r>
            <w:r w:rsidRPr="00EC320D">
              <w:rPr>
                <w:rFonts w:hint="default"/>
                <w:bCs/>
              </w:rPr>
              <w:t>a na lepší</w:t>
            </w:r>
            <w:r w:rsidRPr="00EC320D">
              <w:rPr>
                <w:rFonts w:hint="default"/>
                <w:bCs/>
              </w:rPr>
              <w:t xml:space="preserve"> popis a vysvetlenie, resp. zosú</w:t>
            </w:r>
            <w:r w:rsidRPr="00EC320D">
              <w:rPr>
                <w:rFonts w:hint="default"/>
                <w:bCs/>
              </w:rPr>
              <w:t>ladenie v Analý</w:t>
            </w:r>
            <w:r w:rsidRPr="00EC320D">
              <w:rPr>
                <w:rFonts w:hint="default"/>
                <w:bCs/>
              </w:rPr>
              <w:t>ze vplyvov na podnikateľ</w:t>
            </w:r>
            <w:r w:rsidRPr="00EC320D">
              <w:rPr>
                <w:rFonts w:hint="default"/>
                <w:bCs/>
              </w:rPr>
              <w:t>ské</w:t>
            </w:r>
            <w:r w:rsidRPr="00EC320D">
              <w:rPr>
                <w:rFonts w:hint="default"/>
                <w:bCs/>
              </w:rPr>
              <w:t xml:space="preserve"> prostredie, konkré</w:t>
            </w:r>
            <w:r w:rsidRPr="00EC320D">
              <w:rPr>
                <w:rFonts w:hint="default"/>
                <w:bCs/>
              </w:rPr>
              <w:t>tne bodu 3.3.4 Sú</w:t>
            </w:r>
            <w:r w:rsidRPr="00EC320D">
              <w:rPr>
                <w:rFonts w:hint="default"/>
                <w:bCs/>
              </w:rPr>
              <w:t>hrnná</w:t>
            </w:r>
            <w:r w:rsidRPr="00EC320D">
              <w:rPr>
                <w:rFonts w:hint="default"/>
                <w:bCs/>
              </w:rPr>
              <w:t xml:space="preserve"> tabuľ</w:t>
            </w:r>
            <w:r w:rsidRPr="00EC320D">
              <w:rPr>
                <w:rFonts w:hint="default"/>
                <w:bCs/>
              </w:rPr>
              <w:t>ka ná</w:t>
            </w:r>
            <w:r w:rsidRPr="00EC320D">
              <w:rPr>
                <w:rFonts w:hint="default"/>
                <w:bCs/>
              </w:rPr>
              <w:t>kladov regulá</w:t>
            </w:r>
            <w:r w:rsidRPr="00EC320D">
              <w:rPr>
                <w:rFonts w:hint="default"/>
                <w:bCs/>
              </w:rPr>
              <w:t>cie, kde predklada</w:t>
            </w:r>
            <w:r w:rsidRPr="00EC320D">
              <w:rPr>
                <w:rFonts w:hint="default"/>
                <w:bCs/>
              </w:rPr>
              <w:t>teľ</w:t>
            </w:r>
            <w:r w:rsidRPr="00EC320D">
              <w:rPr>
                <w:rFonts w:hint="default"/>
                <w:bCs/>
              </w:rPr>
              <w:t xml:space="preserve"> uvá</w:t>
            </w:r>
            <w:r w:rsidRPr="00EC320D">
              <w:rPr>
                <w:rFonts w:hint="default"/>
                <w:bCs/>
              </w:rPr>
              <w:t>dza celkové</w:t>
            </w:r>
            <w:r w:rsidRPr="00EC320D">
              <w:rPr>
                <w:rFonts w:hint="default"/>
                <w:bCs/>
              </w:rPr>
              <w:t xml:space="preserve"> ná</w:t>
            </w:r>
            <w:r w:rsidRPr="00EC320D">
              <w:rPr>
                <w:rFonts w:hint="default"/>
                <w:bCs/>
              </w:rPr>
              <w:t>klady na podnikateľ</w:t>
            </w:r>
            <w:r w:rsidRPr="00EC320D">
              <w:rPr>
                <w:rFonts w:hint="default"/>
                <w:bCs/>
              </w:rPr>
              <w:t>ské</w:t>
            </w:r>
            <w:r w:rsidRPr="00EC320D">
              <w:rPr>
                <w:rFonts w:hint="default"/>
                <w:bCs/>
              </w:rPr>
              <w:t xml:space="preserve"> prostredie a to ako priame, tak aj nepriame finanč</w:t>
            </w:r>
            <w:r w:rsidRPr="00EC320D">
              <w:rPr>
                <w:rFonts w:hint="default"/>
                <w:bCs/>
              </w:rPr>
              <w:t>né</w:t>
            </w:r>
            <w:r w:rsidRPr="00EC320D">
              <w:rPr>
                <w:rFonts w:hint="default"/>
                <w:bCs/>
              </w:rPr>
              <w:t xml:space="preserve"> ná</w:t>
            </w:r>
            <w:r w:rsidRPr="00EC320D">
              <w:rPr>
                <w:rFonts w:hint="default"/>
                <w:bCs/>
              </w:rPr>
              <w:t>klady, avš</w:t>
            </w:r>
            <w:r w:rsidRPr="00EC320D">
              <w:rPr>
                <w:rFonts w:hint="default"/>
                <w:bCs/>
              </w:rPr>
              <w:t>ak v bodoch 3.3.1 a 3.3.2 ž</w:t>
            </w:r>
            <w:r w:rsidRPr="00EC320D">
              <w:rPr>
                <w:rFonts w:hint="default"/>
                <w:bCs/>
              </w:rPr>
              <w:t>iadne navýš</w:t>
            </w:r>
            <w:r w:rsidRPr="00EC320D">
              <w:rPr>
                <w:rFonts w:hint="default"/>
                <w:bCs/>
              </w:rPr>
              <w:t>enie neuvá</w:t>
            </w:r>
            <w:r w:rsidRPr="00EC320D">
              <w:rPr>
                <w:rFonts w:hint="default"/>
                <w:bCs/>
              </w:rPr>
              <w:t>dza, dokonca v bode 3.3.1 ho explicitne vyluč</w:t>
            </w:r>
            <w:r w:rsidRPr="00EC320D">
              <w:rPr>
                <w:rFonts w:hint="default"/>
                <w:bCs/>
              </w:rPr>
              <w:t>uje.</w:t>
            </w:r>
          </w:p>
          <w:p w:rsidR="009608F5" w:rsidRPr="00EC320D" w:rsidP="009608F5">
            <w:pPr>
              <w:bidi w:val="0"/>
              <w:ind w:right="-2"/>
              <w:jc w:val="both"/>
              <w:rPr>
                <w:b/>
                <w:bCs/>
              </w:rPr>
            </w:pPr>
          </w:p>
          <w:p w:rsidR="009608F5" w:rsidRPr="00EC320D" w:rsidP="009608F5">
            <w:pPr>
              <w:bidi w:val="0"/>
              <w:ind w:right="-2"/>
              <w:jc w:val="both"/>
              <w:rPr>
                <w:rFonts w:hint="default"/>
                <w:bCs/>
              </w:rPr>
            </w:pPr>
            <w:r w:rsidRPr="00EC320D">
              <w:rPr>
                <w:bCs/>
              </w:rPr>
              <w:t>K </w:t>
            </w:r>
            <w:r w:rsidRPr="00EC320D">
              <w:rPr>
                <w:rFonts w:hint="default"/>
                <w:bCs/>
              </w:rPr>
              <w:t>analý</w:t>
            </w:r>
            <w:r w:rsidRPr="00EC320D">
              <w:rPr>
                <w:rFonts w:hint="default"/>
                <w:bCs/>
              </w:rPr>
              <w:t>ze sociá</w:t>
            </w:r>
            <w:r w:rsidRPr="00EC320D">
              <w:rPr>
                <w:rFonts w:hint="default"/>
                <w:bCs/>
              </w:rPr>
              <w:t>lnych vplyvov</w:t>
            </w:r>
          </w:p>
          <w:p w:rsidR="009608F5" w:rsidRPr="00EC320D" w:rsidP="009608F5">
            <w:pPr>
              <w:bidi w:val="0"/>
              <w:ind w:right="-2"/>
              <w:jc w:val="both"/>
              <w:rPr>
                <w:rFonts w:hint="default"/>
                <w:bCs/>
              </w:rPr>
            </w:pPr>
            <w:r w:rsidRPr="00EC320D">
              <w:rPr>
                <w:rFonts w:hint="default"/>
                <w:bCs/>
              </w:rPr>
              <w:t>Vzhľ</w:t>
            </w:r>
            <w:r w:rsidRPr="00EC320D">
              <w:rPr>
                <w:rFonts w:hint="default"/>
                <w:bCs/>
              </w:rPr>
              <w:t>adom k tomu, ž</w:t>
            </w:r>
            <w:r w:rsidRPr="00EC320D">
              <w:rPr>
                <w:rFonts w:hint="default"/>
                <w:bCs/>
              </w:rPr>
              <w:t>e predkladateľ</w:t>
            </w:r>
            <w:r w:rsidRPr="00EC320D">
              <w:rPr>
                <w:rFonts w:hint="default"/>
                <w:bCs/>
              </w:rPr>
              <w:t xml:space="preserve"> predpokladá</w:t>
            </w:r>
            <w:r w:rsidRPr="00EC320D">
              <w:rPr>
                <w:rFonts w:hint="default"/>
                <w:bCs/>
              </w:rPr>
              <w:t xml:space="preserve"> pozití</w:t>
            </w:r>
            <w:r w:rsidRPr="00EC320D">
              <w:rPr>
                <w:rFonts w:hint="default"/>
                <w:bCs/>
              </w:rPr>
              <w:t>vne aj negatí</w:t>
            </w:r>
            <w:r w:rsidRPr="00EC320D">
              <w:rPr>
                <w:rFonts w:hint="default"/>
                <w:bCs/>
              </w:rPr>
              <w:t>vne sociá</w:t>
            </w:r>
            <w:r w:rsidRPr="00EC320D">
              <w:rPr>
                <w:rFonts w:hint="default"/>
                <w:bCs/>
              </w:rPr>
              <w:t>lne vplyvy predlož</w:t>
            </w:r>
            <w:r w:rsidRPr="00EC320D">
              <w:rPr>
                <w:rFonts w:hint="default"/>
                <w:bCs/>
              </w:rPr>
              <w:t>ené</w:t>
            </w:r>
            <w:r w:rsidRPr="00EC320D">
              <w:rPr>
                <w:rFonts w:hint="default"/>
                <w:bCs/>
              </w:rPr>
              <w:t>ho ná</w:t>
            </w:r>
            <w:r w:rsidRPr="00EC320D">
              <w:rPr>
                <w:rFonts w:hint="default"/>
                <w:bCs/>
              </w:rPr>
              <w:t>vrhu zá</w:t>
            </w:r>
            <w:r w:rsidRPr="00EC320D">
              <w:rPr>
                <w:rFonts w:hint="default"/>
                <w:bCs/>
              </w:rPr>
              <w:t>kona, je podľ</w:t>
            </w:r>
            <w:r w:rsidRPr="00EC320D">
              <w:rPr>
                <w:rFonts w:hint="default"/>
                <w:bCs/>
              </w:rPr>
              <w:t>a Jednotnej metodiky na posudzovanie vybraný</w:t>
            </w:r>
            <w:r w:rsidRPr="00EC320D">
              <w:rPr>
                <w:rFonts w:hint="default"/>
                <w:bCs/>
              </w:rPr>
              <w:t>ch vplyvov povinnou súč</w:t>
            </w:r>
            <w:r w:rsidRPr="00EC320D">
              <w:rPr>
                <w:rFonts w:hint="default"/>
                <w:bCs/>
              </w:rPr>
              <w:t>asť</w:t>
            </w:r>
            <w:r w:rsidRPr="00EC320D">
              <w:rPr>
                <w:rFonts w:hint="default"/>
                <w:bCs/>
              </w:rPr>
              <w:t>ou predkladané</w:t>
            </w:r>
            <w:r w:rsidRPr="00EC320D">
              <w:rPr>
                <w:rFonts w:hint="default"/>
                <w:bCs/>
              </w:rPr>
              <w:t>ho materiá</w:t>
            </w:r>
            <w:r w:rsidRPr="00EC320D">
              <w:rPr>
                <w:rFonts w:hint="default"/>
                <w:bCs/>
              </w:rPr>
              <w:t>lu aj analý</w:t>
            </w:r>
            <w:r w:rsidRPr="00EC320D">
              <w:rPr>
                <w:rFonts w:hint="default"/>
                <w:bCs/>
              </w:rPr>
              <w:t>za sociá</w:t>
            </w:r>
            <w:r w:rsidRPr="00EC320D">
              <w:rPr>
                <w:rFonts w:hint="default"/>
                <w:bCs/>
              </w:rPr>
              <w:t>lnych vplyvov vypracovaná</w:t>
            </w:r>
            <w:r w:rsidRPr="00EC320D">
              <w:rPr>
                <w:rFonts w:hint="default"/>
                <w:bCs/>
              </w:rPr>
              <w:t xml:space="preserve"> v sú</w:t>
            </w:r>
            <w:r w:rsidRPr="00EC320D">
              <w:rPr>
                <w:rFonts w:hint="default"/>
                <w:bCs/>
              </w:rPr>
              <w:t>lade s meto</w:t>
            </w:r>
            <w:r w:rsidRPr="00EC320D">
              <w:rPr>
                <w:rFonts w:hint="default"/>
                <w:bCs/>
              </w:rPr>
              <w:t>d</w:t>
            </w:r>
            <w:r w:rsidRPr="00EC320D">
              <w:rPr>
                <w:rFonts w:hint="default"/>
                <w:bCs/>
              </w:rPr>
              <w:t>ický</w:t>
            </w:r>
            <w:r w:rsidRPr="00EC320D">
              <w:rPr>
                <w:rFonts w:hint="default"/>
                <w:bCs/>
              </w:rPr>
              <w:t>m postupom pre analý</w:t>
            </w:r>
            <w:r w:rsidRPr="00EC320D">
              <w:rPr>
                <w:rFonts w:hint="default"/>
                <w:bCs/>
              </w:rPr>
              <w:t>zu sociá</w:t>
            </w:r>
            <w:r w:rsidRPr="00EC320D">
              <w:rPr>
                <w:rFonts w:hint="default"/>
                <w:bCs/>
              </w:rPr>
              <w:t>lnych vplyvov, ktorú</w:t>
            </w:r>
            <w:r w:rsidRPr="00EC320D">
              <w:rPr>
                <w:rFonts w:hint="default"/>
                <w:bCs/>
              </w:rPr>
              <w:t xml:space="preserve"> je potrebné</w:t>
            </w:r>
            <w:r w:rsidRPr="00EC320D">
              <w:rPr>
                <w:rFonts w:hint="default"/>
                <w:bCs/>
              </w:rPr>
              <w:t xml:space="preserve"> k predlož</w:t>
            </w:r>
            <w:r w:rsidRPr="00EC320D">
              <w:rPr>
                <w:rFonts w:hint="default"/>
                <w:bCs/>
              </w:rPr>
              <w:t>ené</w:t>
            </w:r>
            <w:r w:rsidRPr="00EC320D">
              <w:rPr>
                <w:rFonts w:hint="default"/>
                <w:bCs/>
              </w:rPr>
              <w:t>mu ná</w:t>
            </w:r>
            <w:r w:rsidRPr="00EC320D">
              <w:rPr>
                <w:rFonts w:hint="default"/>
                <w:bCs/>
              </w:rPr>
              <w:t>vrhu zá</w:t>
            </w:r>
            <w:r w:rsidRPr="00EC320D">
              <w:rPr>
                <w:rFonts w:hint="default"/>
                <w:bCs/>
              </w:rPr>
              <w:t>kona prilož</w:t>
            </w:r>
            <w:r w:rsidRPr="00EC320D">
              <w:rPr>
                <w:rFonts w:hint="default"/>
                <w:bCs/>
              </w:rPr>
              <w:t>iť.</w:t>
            </w:r>
          </w:p>
          <w:p w:rsidR="009608F5" w:rsidRPr="00EC320D" w:rsidP="009608F5">
            <w:pPr>
              <w:bidi w:val="0"/>
              <w:ind w:right="-2"/>
              <w:jc w:val="both"/>
              <w:rPr>
                <w:rFonts w:hint="default"/>
                <w:bCs/>
              </w:rPr>
            </w:pPr>
          </w:p>
          <w:p w:rsidR="009608F5" w:rsidRPr="00EC320D" w:rsidP="009608F5">
            <w:pPr>
              <w:bidi w:val="0"/>
              <w:ind w:right="-2"/>
              <w:jc w:val="both"/>
              <w:rPr>
                <w:rFonts w:hint="default"/>
                <w:bCs/>
              </w:rPr>
            </w:pPr>
            <w:r w:rsidRPr="00EC320D">
              <w:rPr>
                <w:rFonts w:hint="default"/>
                <w:bCs/>
              </w:rPr>
              <w:t>K </w:t>
            </w:r>
            <w:r w:rsidRPr="00EC320D">
              <w:rPr>
                <w:rFonts w:hint="default"/>
                <w:bCs/>
              </w:rPr>
              <w:t>analý</w:t>
            </w:r>
            <w:r w:rsidRPr="00EC320D">
              <w:rPr>
                <w:rFonts w:hint="default"/>
                <w:bCs/>
              </w:rPr>
              <w:t>ze vplyvov na ž</w:t>
            </w:r>
            <w:r w:rsidRPr="00EC320D">
              <w:rPr>
                <w:rFonts w:hint="default"/>
                <w:bCs/>
              </w:rPr>
              <w:t>ivotné</w:t>
            </w:r>
            <w:r w:rsidRPr="00EC320D">
              <w:rPr>
                <w:rFonts w:hint="default"/>
                <w:bCs/>
              </w:rPr>
              <w:t xml:space="preserve"> prostredie</w:t>
            </w:r>
          </w:p>
          <w:p w:rsidR="009608F5" w:rsidRPr="00EC320D" w:rsidP="009608F5">
            <w:pPr>
              <w:bidi w:val="0"/>
              <w:ind w:right="-2"/>
              <w:jc w:val="both"/>
              <w:rPr>
                <w:rFonts w:hint="default"/>
                <w:bCs/>
              </w:rPr>
            </w:pPr>
            <w:r w:rsidRPr="00EC320D">
              <w:rPr>
                <w:rFonts w:hint="default"/>
                <w:bCs/>
              </w:rPr>
              <w:t>Komisia odporúč</w:t>
            </w:r>
            <w:r w:rsidRPr="00EC320D">
              <w:rPr>
                <w:rFonts w:hint="default"/>
                <w:bCs/>
              </w:rPr>
              <w:t>a dopracovať</w:t>
            </w:r>
            <w:r w:rsidRPr="00EC320D">
              <w:rPr>
                <w:rFonts w:hint="default"/>
                <w:bCs/>
              </w:rPr>
              <w:t xml:space="preserve"> analý</w:t>
            </w:r>
            <w:r w:rsidRPr="00EC320D">
              <w:rPr>
                <w:rFonts w:hint="default"/>
                <w:bCs/>
              </w:rPr>
              <w:t>zu na ž</w:t>
            </w:r>
            <w:r w:rsidRPr="00EC320D">
              <w:rPr>
                <w:rFonts w:hint="default"/>
                <w:bCs/>
              </w:rPr>
              <w:t>ivotné</w:t>
            </w:r>
            <w:r w:rsidRPr="00EC320D">
              <w:rPr>
                <w:rFonts w:hint="default"/>
                <w:bCs/>
              </w:rPr>
              <w:t xml:space="preserve"> prostredie podľ</w:t>
            </w:r>
            <w:r w:rsidRPr="00EC320D">
              <w:rPr>
                <w:rFonts w:hint="default"/>
                <w:bCs/>
              </w:rPr>
              <w:t>a Jednotnej metodiky, vzhľ</w:t>
            </w:r>
            <w:r w:rsidRPr="00EC320D">
              <w:rPr>
                <w:rFonts w:hint="default"/>
                <w:bCs/>
              </w:rPr>
              <w:t>adom na to, ž</w:t>
            </w:r>
            <w:r w:rsidRPr="00EC320D">
              <w:rPr>
                <w:rFonts w:hint="default"/>
                <w:bCs/>
              </w:rPr>
              <w:t>e predklad</w:t>
            </w:r>
            <w:r w:rsidRPr="00EC320D">
              <w:rPr>
                <w:rFonts w:hint="default"/>
                <w:bCs/>
              </w:rPr>
              <w:t>ateľ</w:t>
            </w:r>
            <w:r w:rsidRPr="00EC320D">
              <w:rPr>
                <w:rFonts w:hint="default"/>
                <w:bCs/>
              </w:rPr>
              <w:t xml:space="preserve"> v </w:t>
            </w:r>
            <w:r w:rsidRPr="00EC320D">
              <w:rPr>
                <w:rFonts w:hint="default"/>
                <w:bCs/>
              </w:rPr>
              <w:t>dolož</w:t>
            </w:r>
            <w:r w:rsidRPr="00EC320D">
              <w:rPr>
                <w:rFonts w:hint="default"/>
                <w:bCs/>
              </w:rPr>
              <w:t>ke vybraný</w:t>
            </w:r>
            <w:r w:rsidRPr="00EC320D">
              <w:rPr>
                <w:rFonts w:hint="default"/>
                <w:bCs/>
              </w:rPr>
              <w:t>ch vplyvov vyznač</w:t>
            </w:r>
            <w:r w:rsidRPr="00EC320D">
              <w:rPr>
                <w:rFonts w:hint="default"/>
                <w:bCs/>
              </w:rPr>
              <w:t>il vplyvy.</w:t>
            </w:r>
          </w:p>
          <w:p w:rsidR="009608F5" w:rsidRPr="00EC320D" w:rsidP="009608F5">
            <w:pPr>
              <w:bidi w:val="0"/>
              <w:ind w:right="-2"/>
              <w:jc w:val="both"/>
              <w:rPr>
                <w:rFonts w:eastAsia="Times New Roman"/>
                <w:bCs/>
                <w:lang w:eastAsia="en-US"/>
              </w:rPr>
            </w:pPr>
          </w:p>
          <w:p w:rsidR="00CF50F4" w:rsidRPr="00EC320D" w:rsidP="00CF50F4">
            <w:pPr>
              <w:tabs>
                <w:tab w:val="center" w:pos="6379"/>
              </w:tabs>
              <w:bidi w:val="0"/>
              <w:ind w:right="-2"/>
              <w:jc w:val="both"/>
              <w:rPr>
                <w:rFonts w:eastAsia="Times New Roman"/>
                <w:bCs/>
                <w:lang w:eastAsia="en-US"/>
              </w:rPr>
            </w:pPr>
            <w:r w:rsidRPr="00EC320D" w:rsidR="009608F5">
              <w:rPr>
                <w:rFonts w:eastAsia="Times New Roman"/>
                <w:bCs/>
                <w:lang w:eastAsia="en-US"/>
              </w:rPr>
              <w:t>V predloženej doložke vplyvov sú zapracované pripomienky  Stálej pracovnej komisie Legislatívnej rady vlády Slovenskej republiky pre posudzovanie vplyvov.</w:t>
            </w:r>
          </w:p>
          <w:p w:rsidR="00737ECC" w:rsidRPr="0023339D" w:rsidP="009608F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" w:hAnsi="Times" w:cs="Times"/>
              </w:rPr>
            </w:pPr>
          </w:p>
        </w:tc>
      </w:tr>
    </w:tbl>
    <w:p w:rsidR="00274748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0A0ACB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C320D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0A0ACB" w:rsidP="00E3363B">
      <w:pPr>
        <w:bidi w:val="0"/>
        <w:jc w:val="center"/>
        <w:outlineLvl w:val="0"/>
        <w:rPr>
          <w:b/>
          <w:bCs/>
          <w:sz w:val="28"/>
          <w:szCs w:val="28"/>
        </w:rPr>
      </w:pPr>
    </w:p>
    <w:p w:rsidR="00E3363B" w:rsidRPr="007D5748" w:rsidP="00E3363B">
      <w:pPr>
        <w:bidi w:val="0"/>
        <w:jc w:val="center"/>
        <w:outlineLvl w:val="0"/>
        <w:rPr>
          <w:rFonts w:hint="default"/>
          <w:b/>
          <w:bCs/>
          <w:sz w:val="28"/>
          <w:szCs w:val="28"/>
        </w:rPr>
      </w:pPr>
      <w:r w:rsidRPr="007D5748">
        <w:rPr>
          <w:rFonts w:hint="default"/>
          <w:b/>
          <w:bCs/>
          <w:sz w:val="28"/>
          <w:szCs w:val="28"/>
        </w:rPr>
        <w:t>Analý</w:t>
      </w:r>
      <w:r w:rsidRPr="007D5748">
        <w:rPr>
          <w:rFonts w:hint="default"/>
          <w:b/>
          <w:bCs/>
          <w:sz w:val="28"/>
          <w:szCs w:val="28"/>
        </w:rPr>
        <w:t>za vplyvov na rozpoč</w:t>
      </w:r>
      <w:r w:rsidRPr="007D5748">
        <w:rPr>
          <w:rFonts w:hint="default"/>
          <w:b/>
          <w:bCs/>
          <w:sz w:val="28"/>
          <w:szCs w:val="28"/>
        </w:rPr>
        <w:t>et verejnej sprá</w:t>
      </w:r>
      <w:r w:rsidRPr="007D5748">
        <w:rPr>
          <w:rFonts w:hint="default"/>
          <w:b/>
          <w:bCs/>
          <w:sz w:val="28"/>
          <w:szCs w:val="28"/>
        </w:rPr>
        <w:t>vy,</w:t>
      </w:r>
    </w:p>
    <w:p w:rsidR="00E3363B" w:rsidRPr="007D5748" w:rsidP="00E3363B">
      <w:pPr>
        <w:bidi w:val="0"/>
        <w:jc w:val="center"/>
        <w:rPr>
          <w:rFonts w:hint="default"/>
          <w:b/>
          <w:bCs/>
          <w:sz w:val="28"/>
          <w:szCs w:val="28"/>
        </w:rPr>
      </w:pPr>
      <w:r w:rsidRPr="007D5748">
        <w:rPr>
          <w:rFonts w:hint="default"/>
          <w:b/>
          <w:bCs/>
          <w:sz w:val="28"/>
          <w:szCs w:val="28"/>
        </w:rPr>
        <w:t>na zamestnanosť</w:t>
      </w:r>
      <w:r w:rsidRPr="007D5748">
        <w:rPr>
          <w:rFonts w:hint="default"/>
          <w:b/>
          <w:bCs/>
          <w:sz w:val="28"/>
          <w:szCs w:val="28"/>
        </w:rPr>
        <w:t xml:space="preserve"> vo verejnej sprá</w:t>
      </w:r>
      <w:r w:rsidRPr="007D5748">
        <w:rPr>
          <w:rFonts w:hint="default"/>
          <w:b/>
          <w:bCs/>
          <w:sz w:val="28"/>
          <w:szCs w:val="28"/>
        </w:rPr>
        <w:t>ve a </w:t>
      </w:r>
      <w:r w:rsidRPr="007D5748">
        <w:rPr>
          <w:rFonts w:hint="default"/>
          <w:b/>
          <w:bCs/>
          <w:sz w:val="28"/>
          <w:szCs w:val="28"/>
        </w:rPr>
        <w:t>financovanie ná</w:t>
      </w:r>
      <w:r w:rsidRPr="007D5748">
        <w:rPr>
          <w:rFonts w:hint="default"/>
          <w:b/>
          <w:bCs/>
          <w:sz w:val="28"/>
          <w:szCs w:val="28"/>
        </w:rPr>
        <w:t>vrhu</w:t>
      </w:r>
    </w:p>
    <w:p w:rsidR="00E3363B" w:rsidRPr="00212894" w:rsidP="00E3363B">
      <w:pPr>
        <w:bidi w:val="0"/>
        <w:jc w:val="right"/>
        <w:rPr>
          <w:b/>
          <w:bCs/>
        </w:rPr>
      </w:pPr>
    </w:p>
    <w:p w:rsidR="00E3363B" w:rsidP="00E3363B">
      <w:pPr>
        <w:bidi w:val="0"/>
        <w:rPr>
          <w:b/>
          <w:bCs/>
        </w:rPr>
      </w:pPr>
    </w:p>
    <w:p w:rsidR="00E3363B" w:rsidRPr="00212894" w:rsidP="00E3363B">
      <w:pPr>
        <w:bidi w:val="0"/>
        <w:outlineLvl w:val="0"/>
        <w:rPr>
          <w:rFonts w:hint="default"/>
          <w:b/>
          <w:bCs/>
        </w:rPr>
      </w:pPr>
      <w:r w:rsidRPr="00212894">
        <w:rPr>
          <w:rFonts w:hint="default"/>
          <w:b/>
          <w:bCs/>
        </w:rPr>
        <w:t>2.1 Zhrnutie vplyvov na rozpoč</w:t>
      </w:r>
      <w:r w:rsidRPr="00212894">
        <w:rPr>
          <w:rFonts w:hint="default"/>
          <w:b/>
          <w:bCs/>
        </w:rPr>
        <w:t>et verejnej sprá</w:t>
      </w:r>
      <w:r w:rsidRPr="00212894">
        <w:rPr>
          <w:rFonts w:hint="default"/>
          <w:b/>
          <w:bCs/>
        </w:rPr>
        <w:t>vy v ná</w:t>
      </w:r>
      <w:r w:rsidRPr="00212894">
        <w:rPr>
          <w:rFonts w:hint="default"/>
          <w:b/>
          <w:bCs/>
        </w:rPr>
        <w:t>vrhu</w:t>
      </w:r>
    </w:p>
    <w:p w:rsidR="00E3363B" w:rsidP="00E3363B">
      <w:pPr>
        <w:bidi w:val="0"/>
        <w:jc w:val="right"/>
        <w:outlineLvl w:val="0"/>
      </w:pPr>
      <w:r w:rsidRPr="00A90694">
        <w:rPr>
          <w:rFonts w:hint="default"/>
        </w:rPr>
        <w:t>Tabuľ</w:t>
      </w:r>
      <w:r w:rsidRPr="00A90694">
        <w:rPr>
          <w:rFonts w:hint="default"/>
        </w:rPr>
        <w:t>ka č</w:t>
      </w:r>
      <w:r w:rsidRPr="00A90694">
        <w:rPr>
          <w:rFonts w:hint="default"/>
        </w:rPr>
        <w:t xml:space="preserve">. 1 </w:t>
      </w:r>
    </w:p>
    <w:tbl>
      <w:tblPr>
        <w:tblStyle w:val="TableNormal"/>
        <w:tblW w:w="8982" w:type="dxa"/>
        <w:jc w:val="center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6947"/>
        <w:gridCol w:w="2035"/>
      </w:tblGrid>
      <w:tr>
        <w:tblPrEx>
          <w:tblW w:w="8982" w:type="dxa"/>
          <w:jc w:val="center"/>
          <w:tblInd w:w="-1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E75AC" w:rsidRPr="00CE4EDD" w:rsidP="00CE4EDD">
            <w:pPr>
              <w:bidi w:val="0"/>
              <w:jc w:val="center"/>
              <w:rPr>
                <w:rFonts w:eastAsia="Times New Roman"/>
                <w:b/>
                <w:bCs/>
              </w:rPr>
            </w:pPr>
            <w:r w:rsidRPr="00CE4EDD">
              <w:rPr>
                <w:rFonts w:eastAsia="Times New Roman"/>
                <w:b/>
                <w:bCs/>
              </w:rPr>
              <w:t>Vplyvy na rozpočet verejnej správy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E75AC" w:rsidRPr="00CE4EDD" w:rsidP="00CE4EDD">
            <w:pPr>
              <w:bidi w:val="0"/>
              <w:jc w:val="center"/>
              <w:rPr>
                <w:rFonts w:eastAsia="Times New Roman"/>
                <w:b/>
                <w:bCs/>
              </w:rPr>
            </w:pPr>
            <w:r w:rsidRPr="00CE4EDD">
              <w:rPr>
                <w:rFonts w:eastAsia="Times New Roman"/>
                <w:b/>
                <w:bCs/>
              </w:rPr>
              <w:t>Vplyv na rozpočet verejnej správy (v eurách)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E75AC" w:rsidRPr="00CE4EDD" w:rsidP="00CE4EDD">
            <w:pPr>
              <w:bidi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E75AC" w:rsidRPr="00CE4EDD" w:rsidP="00CE4EDD">
            <w:pPr>
              <w:bidi w:val="0"/>
              <w:jc w:val="center"/>
              <w:rPr>
                <w:rFonts w:eastAsia="Times New Roman"/>
                <w:b/>
                <w:bCs/>
              </w:rPr>
            </w:pPr>
            <w:r w:rsidR="00DC68C8">
              <w:rPr>
                <w:rFonts w:eastAsia="Times New Roman"/>
                <w:b/>
                <w:bCs/>
              </w:rPr>
              <w:t xml:space="preserve">2018 - </w:t>
            </w:r>
            <w:r>
              <w:rPr>
                <w:rFonts w:eastAsia="Times New Roman"/>
                <w:b/>
                <w:bCs/>
              </w:rPr>
              <w:t>2021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</w:rPr>
            </w:pPr>
            <w:r w:rsidRPr="00CE4EDD">
              <w:rPr>
                <w:rFonts w:eastAsia="Times New Roman"/>
                <w:b/>
                <w:bCs/>
              </w:rPr>
              <w:t>Výdavky verejnej správy celkom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E75AC" w:rsidRPr="007D30D8" w:rsidP="00CE4EDD">
            <w:pPr>
              <w:bidi w:val="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1A3BC5" w:rsidR="001A3BC5">
              <w:rPr>
                <w:rFonts w:eastAsia="Times New Roman"/>
                <w:b/>
                <w:bCs/>
                <w:sz w:val="28"/>
                <w:szCs w:val="28"/>
              </w:rPr>
              <w:t>20 686 496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7D30D8" w:rsidP="007D30D8">
            <w:pPr>
              <w:bidi w:val="0"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7D30D8" w:rsidR="007D30D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20 686 496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EE75AC">
            <w:pPr>
              <w:bidi w:val="0"/>
              <w:ind w:left="259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Rozpočtové prostriedky MZ SR  (0790203)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EE75AC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12 670 172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EE75AC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 prostriedky MŽP SR  (0750201, 0EK0E02)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916 00</w:t>
            </w: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Cs/>
                <w:i/>
                <w:iCs/>
              </w:rPr>
              <w:t xml:space="preserve">  Rozpočtové prostriedky MV SR (</w:t>
            </w:r>
            <w:r w:rsidRPr="00CE4EDD">
              <w:rPr>
                <w:rFonts w:eastAsia="Times New Roman"/>
                <w:bCs/>
                <w:i/>
                <w:iCs/>
              </w:rPr>
              <w:t>0D6)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1 492 60</w:t>
            </w: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EE75AC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 prostriedky  MO SR (096)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268 40</w:t>
            </w: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</w:t>
            </w:r>
            <w:r>
              <w:rPr>
                <w:rFonts w:eastAsia="Times New Roman"/>
                <w:bCs/>
                <w:i/>
                <w:iCs/>
              </w:rPr>
              <w:t xml:space="preserve"> prostriedky MH SR(</w:t>
            </w:r>
            <w:r w:rsidRPr="00CE4EDD">
              <w:rPr>
                <w:rFonts w:eastAsia="Times New Roman"/>
                <w:bCs/>
                <w:i/>
                <w:iCs/>
              </w:rPr>
              <w:t>07L)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1 493 80</w:t>
            </w: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 prostriedky MPRV SR (090)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621 90</w:t>
            </w: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 prostriedky MŠVVŠ SR (02101)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953 80</w:t>
            </w: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 EÚ zdroje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 spolufinancovanie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64 00</w:t>
            </w:r>
            <w:r w:rsidRPr="00CE4EDD">
              <w:rPr>
                <w:rFonts w:eastAsia="Times New Roman"/>
                <w:bCs/>
                <w:iCs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64 00</w:t>
            </w:r>
            <w:r w:rsidRPr="00CE4EDD">
              <w:rPr>
                <w:rFonts w:eastAsia="Times New Roman"/>
                <w:bCs/>
                <w:iCs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ostatné subjekty verejnej správy (zdravotnícke zariadenia)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3E621A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2 141 824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123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E75AC" w:rsidRPr="00CE4EDD" w:rsidP="007D30D8">
            <w:pPr>
              <w:bidi w:val="0"/>
              <w:rPr>
                <w:rFonts w:eastAsia="Times New Roman"/>
                <w:b/>
                <w:bCs/>
              </w:rPr>
            </w:pPr>
            <w:r w:rsidRPr="00CE4EDD">
              <w:rPr>
                <w:rFonts w:eastAsia="Times New Roman"/>
                <w:b/>
                <w:bCs/>
              </w:rPr>
              <w:t>Vplyv na počet zamestnancov 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49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7D30D8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Š</w:t>
            </w:r>
            <w:r w:rsidR="007D30D8">
              <w:rPr>
                <w:rFonts w:eastAsia="Times New Roman"/>
                <w:b/>
                <w:bCs/>
                <w:i/>
                <w:iCs/>
              </w:rPr>
              <w:t>R</w:t>
            </w:r>
            <w:r w:rsidRPr="00CE4EDD">
              <w:rPr>
                <w:rFonts w:eastAsia="Times New Roman"/>
                <w:b/>
                <w:bCs/>
                <w:i/>
                <w:iCs/>
              </w:rPr>
              <w:t xml:space="preserve"> 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29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CE4EDD">
              <w:rPr>
                <w:rFonts w:eastAsia="Times New Roman"/>
                <w:bCs/>
                <w:iCs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CE4EDD">
              <w:rPr>
                <w:rFonts w:eastAsia="Times New Roman"/>
                <w:bCs/>
                <w:iCs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2</w:t>
            </w:r>
            <w:r w:rsidRPr="00CE4EDD">
              <w:rPr>
                <w:rFonts w:eastAsia="Times New Roman"/>
                <w:bCs/>
                <w:iCs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</w:rPr>
            </w:pPr>
            <w:r w:rsidRPr="00CE4EDD">
              <w:rPr>
                <w:rFonts w:eastAsia="Times New Roman"/>
                <w:b/>
              </w:rPr>
              <w:t>Vplyv na mzdové výdavky</w:t>
            </w:r>
            <w:r>
              <w:rPr>
                <w:rFonts w:eastAsia="Times New Roman"/>
                <w:b/>
              </w:rPr>
              <w:t xml:space="preserve"> + odvody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E75AC" w:rsidRPr="00CE4EDD" w:rsidP="003E621A">
            <w:pPr>
              <w:bidi w:val="0"/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CE4EDD">
              <w:rPr>
                <w:rFonts w:eastAsia="Times New Roman"/>
                <w:bCs/>
                <w:iCs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  <w:i/>
                <w:i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CE4EDD">
              <w:rPr>
                <w:rFonts w:eastAsia="Times New Roman"/>
                <w:bCs/>
                <w:iCs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</w:rPr>
            </w:pPr>
            <w:r w:rsidRPr="00CE4EDD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Cs/>
                <w:iCs/>
                <w:sz w:val="22"/>
                <w:szCs w:val="22"/>
              </w:rPr>
            </w:pP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</w:rPr>
            </w:pPr>
            <w:r w:rsidRPr="00CE4EDD">
              <w:rPr>
                <w:rFonts w:eastAsia="Times New Roman"/>
                <w:b/>
                <w:bCs/>
              </w:rPr>
              <w:t>Financovanie zabezpečené v rozpočte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E4EDD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7D30D8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 prostriedky MŽP SR (0750201, 0EK0E02)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</w:t>
            </w:r>
            <w:r w:rsidR="007D30D8">
              <w:rPr>
                <w:rFonts w:eastAsia="Times New Roman"/>
                <w:bCs/>
                <w:i/>
                <w:iCs/>
              </w:rPr>
              <w:t xml:space="preserve">  Rozpočtové prostriedky MV SR (</w:t>
            </w:r>
            <w:r w:rsidRPr="00CE4EDD">
              <w:rPr>
                <w:rFonts w:eastAsia="Times New Roman"/>
                <w:bCs/>
                <w:i/>
                <w:iCs/>
              </w:rPr>
              <w:t>0D6)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7D30D8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 prostriedky  MO SR (096)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</w:t>
            </w:r>
            <w:r w:rsidR="007D30D8">
              <w:rPr>
                <w:rFonts w:eastAsia="Times New Roman"/>
                <w:bCs/>
                <w:i/>
                <w:iCs/>
              </w:rPr>
              <w:t xml:space="preserve">  Rozpočtové prostriedky MH SR (</w:t>
            </w:r>
            <w:r w:rsidRPr="00CE4EDD">
              <w:rPr>
                <w:rFonts w:eastAsia="Times New Roman"/>
                <w:bCs/>
                <w:i/>
                <w:iCs/>
              </w:rPr>
              <w:t>07L)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 prostriedky MPRV SR (090)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Cs/>
                <w:i/>
                <w:iCs/>
              </w:rPr>
            </w:pPr>
            <w:r w:rsidRPr="00CE4EDD">
              <w:rPr>
                <w:rFonts w:eastAsia="Times New Roman"/>
                <w:bCs/>
                <w:i/>
                <w:iCs/>
              </w:rPr>
              <w:t xml:space="preserve">   Rozpočtové prostriedky MŠVVŠ SR (02101)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sz w:val="22"/>
                <w:szCs w:val="22"/>
              </w:rPr>
            </w:pPr>
            <w:r w:rsidRPr="00CE4ED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</w:rPr>
            </w:pPr>
            <w:r w:rsidRPr="00CE4EDD">
              <w:rPr>
                <w:rFonts w:eastAsia="Times New Roman"/>
                <w:b/>
              </w:rPr>
              <w:t>Iné ako rozpočtové zdroje (obce, VUC, ZZ)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EE75AC" w:rsidRPr="00CE4EDD" w:rsidP="00EE75AC">
            <w:pPr>
              <w:bidi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8982" w:type="dxa"/>
          <w:jc w:val="center"/>
          <w:tblInd w:w="-1301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EE75AC" w:rsidRPr="00CE4EDD" w:rsidP="00CE4EDD">
            <w:pPr>
              <w:bidi w:val="0"/>
              <w:rPr>
                <w:rFonts w:eastAsia="Times New Roman"/>
                <w:b/>
                <w:bCs/>
              </w:rPr>
            </w:pPr>
            <w:r w:rsidRPr="00CE4EDD">
              <w:rPr>
                <w:rFonts w:eastAsia="Times New Roman"/>
                <w:b/>
                <w:bCs/>
              </w:rPr>
              <w:t>Rozpočtovo nekrytý vplyv / úspora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EE75AC" w:rsidRPr="00CE4EDD" w:rsidP="00CE4EDD">
            <w:pPr>
              <w:bidi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E4EDD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B15B75" w:rsidP="00E3363B">
      <w:pPr>
        <w:bidi w:val="0"/>
        <w:rPr>
          <w:b/>
          <w:bCs/>
        </w:rPr>
      </w:pPr>
    </w:p>
    <w:p w:rsidR="00EE75AC" w:rsidP="00B15B75">
      <w:pPr>
        <w:bidi w:val="0"/>
        <w:rPr>
          <w:b/>
          <w:bCs/>
        </w:rPr>
      </w:pPr>
    </w:p>
    <w:p w:rsidR="00EE75AC" w:rsidP="00B15B75">
      <w:pPr>
        <w:bidi w:val="0"/>
        <w:rPr>
          <w:b/>
          <w:bCs/>
        </w:rPr>
      </w:pPr>
    </w:p>
    <w:p w:rsidR="00E3363B" w:rsidP="00B15B75">
      <w:pPr>
        <w:bidi w:val="0"/>
        <w:rPr>
          <w:b/>
          <w:bCs/>
        </w:rPr>
      </w:pPr>
      <w:r w:rsidR="00B15B75">
        <w:rPr>
          <w:b/>
          <w:bCs/>
        </w:rPr>
        <w:t>2</w:t>
      </w:r>
      <w:r w:rsidRPr="007D5748">
        <w:rPr>
          <w:rFonts w:hint="default"/>
          <w:b/>
          <w:bCs/>
        </w:rPr>
        <w:t>.1.1. Financovanie ná</w:t>
      </w:r>
      <w:r w:rsidRPr="007D5748">
        <w:rPr>
          <w:rFonts w:hint="default"/>
          <w:b/>
          <w:bCs/>
        </w:rPr>
        <w:t>vrhu - Ná</w:t>
      </w:r>
      <w:r w:rsidRPr="007D5748">
        <w:rPr>
          <w:rFonts w:hint="default"/>
          <w:b/>
          <w:bCs/>
        </w:rPr>
        <w:t>vrh na rieš</w:t>
      </w:r>
      <w:r w:rsidRPr="007D5748">
        <w:rPr>
          <w:rFonts w:hint="default"/>
          <w:b/>
          <w:bCs/>
        </w:rPr>
        <w:t>enie ú</w:t>
      </w:r>
      <w:r w:rsidRPr="007D5748">
        <w:rPr>
          <w:rFonts w:hint="default"/>
          <w:b/>
          <w:bCs/>
        </w:rPr>
        <w:t>bytku prí</w:t>
      </w:r>
      <w:r w:rsidRPr="007D5748">
        <w:rPr>
          <w:rFonts w:hint="default"/>
          <w:b/>
          <w:bCs/>
        </w:rPr>
        <w:t>jmov alebo zvýš</w:t>
      </w:r>
      <w:r w:rsidRPr="007D5748">
        <w:rPr>
          <w:rFonts w:hint="default"/>
          <w:b/>
          <w:bCs/>
        </w:rPr>
        <w:t>ený</w:t>
      </w:r>
      <w:r w:rsidRPr="007D5748">
        <w:rPr>
          <w:rFonts w:hint="default"/>
          <w:b/>
          <w:bCs/>
        </w:rPr>
        <w:t>ch vý</w:t>
      </w:r>
      <w:r w:rsidRPr="007D5748">
        <w:rPr>
          <w:rFonts w:hint="default"/>
          <w:b/>
          <w:bCs/>
        </w:rPr>
        <w:t>davkov podľ</w:t>
      </w:r>
      <w:r w:rsidRPr="007D5748">
        <w:rPr>
          <w:rFonts w:hint="default"/>
          <w:b/>
          <w:bCs/>
        </w:rPr>
        <w:t>a §</w:t>
      </w:r>
      <w:r w:rsidRPr="007D5748">
        <w:rPr>
          <w:rFonts w:hint="default"/>
          <w:b/>
          <w:bCs/>
        </w:rPr>
        <w:t xml:space="preserve"> 33 ods. 1 zá</w:t>
      </w:r>
      <w:r w:rsidRPr="007D5748">
        <w:rPr>
          <w:rFonts w:hint="default"/>
          <w:b/>
          <w:bCs/>
        </w:rPr>
        <w:t>kona č</w:t>
      </w:r>
      <w:r w:rsidRPr="007D5748">
        <w:rPr>
          <w:rFonts w:hint="default"/>
          <w:b/>
          <w:bCs/>
        </w:rPr>
        <w:t>. 523/2004 Z. z. o </w:t>
      </w:r>
      <w:r w:rsidRPr="007D5748">
        <w:rPr>
          <w:rFonts w:hint="default"/>
          <w:b/>
          <w:bCs/>
        </w:rPr>
        <w:t>rozpoč</w:t>
      </w:r>
      <w:r w:rsidRPr="007D5748">
        <w:rPr>
          <w:rFonts w:hint="default"/>
          <w:b/>
          <w:bCs/>
        </w:rPr>
        <w:t>tový</w:t>
      </w:r>
      <w:r w:rsidRPr="007D5748">
        <w:rPr>
          <w:rFonts w:hint="default"/>
          <w:b/>
          <w:bCs/>
        </w:rPr>
        <w:t>ch pravidlá</w:t>
      </w:r>
      <w:r w:rsidRPr="007D5748">
        <w:rPr>
          <w:rFonts w:hint="default"/>
          <w:b/>
          <w:bCs/>
        </w:rPr>
        <w:t>ch verejnej sprá</w:t>
      </w:r>
      <w:r w:rsidRPr="007D5748">
        <w:rPr>
          <w:rFonts w:hint="default"/>
          <w:b/>
          <w:bCs/>
        </w:rPr>
        <w:t>vy:</w:t>
      </w:r>
    </w:p>
    <w:p w:rsidR="00CE4EDD" w:rsidRPr="00CE4EDD" w:rsidP="00CE4EDD">
      <w:pPr>
        <w:bidi w:val="0"/>
        <w:jc w:val="both"/>
        <w:rPr>
          <w:rFonts w:eastAsia="Times New Roman"/>
          <w:b/>
          <w:bCs/>
          <w:sz w:val="12"/>
        </w:rPr>
      </w:pPr>
    </w:p>
    <w:p w:rsidR="00CE4EDD" w:rsidP="00CE4E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jc w:val="both"/>
        <w:rPr>
          <w:rFonts w:eastAsia="Times New Roman"/>
          <w:b/>
          <w:bCs/>
          <w:color w:val="000000"/>
        </w:rPr>
      </w:pPr>
      <w:r w:rsidR="001A3BC5">
        <w:rPr>
          <w:rFonts w:eastAsia="Times New Roman"/>
          <w:b/>
          <w:bCs/>
          <w:color w:val="000000"/>
        </w:rPr>
        <w:t>Finančné prostriedky a f</w:t>
      </w:r>
      <w:r w:rsidRPr="00CE4EDD">
        <w:rPr>
          <w:rFonts w:eastAsia="Times New Roman"/>
          <w:b/>
          <w:bCs/>
          <w:color w:val="000000"/>
        </w:rPr>
        <w:t xml:space="preserve">inančné krytie uvedených finančných zdrojov </w:t>
      </w:r>
      <w:r w:rsidR="001A3BC5">
        <w:rPr>
          <w:rFonts w:eastAsia="Times New Roman"/>
          <w:b/>
          <w:bCs/>
          <w:color w:val="000000"/>
        </w:rPr>
        <w:t xml:space="preserve">bude spresnené podľa </w:t>
      </w:r>
      <w:r w:rsidRPr="001A3BC5" w:rsidR="001A3BC5">
        <w:rPr>
          <w:rFonts w:eastAsia="Times New Roman"/>
          <w:b/>
          <w:bCs/>
          <w:color w:val="000000"/>
        </w:rPr>
        <w:t xml:space="preserve">návrhu finančnej udržateľnosti zabezpečenia radiačnej ochrany, ktoré vypracuje Medzirezortná odborná komisia zložená zo zástupcov Ministerstva   zdravotníctva </w:t>
      </w:r>
      <w:r w:rsidR="001A3BC5">
        <w:rPr>
          <w:rFonts w:eastAsia="Times New Roman"/>
          <w:b/>
          <w:bCs/>
          <w:color w:val="000000"/>
        </w:rPr>
        <w:t>SR</w:t>
      </w:r>
      <w:r w:rsidRPr="001A3BC5" w:rsidR="001A3BC5">
        <w:rPr>
          <w:rFonts w:eastAsia="Times New Roman"/>
          <w:b/>
          <w:bCs/>
          <w:color w:val="000000"/>
        </w:rPr>
        <w:t>, Úr</w:t>
      </w:r>
      <w:r w:rsidR="001A3BC5">
        <w:rPr>
          <w:rFonts w:eastAsia="Times New Roman"/>
          <w:b/>
          <w:bCs/>
          <w:color w:val="000000"/>
        </w:rPr>
        <w:t xml:space="preserve">adu verejného zdravotníctva SR </w:t>
      </w:r>
      <w:r w:rsidRPr="001A3BC5" w:rsidR="001A3BC5">
        <w:rPr>
          <w:rFonts w:eastAsia="Times New Roman"/>
          <w:b/>
          <w:bCs/>
          <w:color w:val="000000"/>
        </w:rPr>
        <w:t>a Úradu jadrového dozoru Slovenskej republiky, na základe odhadovaných potrieb finančných zdrojov relevantných rezortov pre realizáciu činností vyplývajúcich z návrhu zákona pre zabezpečenie radiačnej ochrany.</w:t>
      </w:r>
    </w:p>
    <w:p w:rsidR="00CE4EDD" w:rsidRPr="00CE4EDD" w:rsidP="00CE4E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rPr>
          <w:rFonts w:eastAsia="Times New Roman"/>
          <w:b/>
          <w:bCs/>
          <w:color w:val="000000"/>
        </w:rPr>
      </w:pPr>
    </w:p>
    <w:p w:rsidR="00CE4EDD" w:rsidP="00E3363B">
      <w:pPr>
        <w:bidi w:val="0"/>
        <w:rPr>
          <w:b/>
          <w:bCs/>
        </w:rPr>
      </w:pPr>
    </w:p>
    <w:p w:rsidR="00E3363B" w:rsidRPr="007D5748" w:rsidP="00E3363B">
      <w:pPr>
        <w:bidi w:val="0"/>
        <w:outlineLvl w:val="0"/>
        <w:rPr>
          <w:rFonts w:hint="default"/>
          <w:b/>
          <w:bCs/>
        </w:rPr>
      </w:pPr>
      <w:r w:rsidRPr="007D5748">
        <w:rPr>
          <w:rFonts w:hint="default"/>
          <w:b/>
          <w:bCs/>
        </w:rPr>
        <w:t>2.2. Popis a charakteristika ná</w:t>
      </w:r>
      <w:r w:rsidRPr="007D5748">
        <w:rPr>
          <w:rFonts w:hint="default"/>
          <w:b/>
          <w:bCs/>
        </w:rPr>
        <w:t>vrhu</w:t>
      </w:r>
    </w:p>
    <w:p w:rsidR="00E3363B" w:rsidRPr="007D5748" w:rsidP="00E3363B">
      <w:pPr>
        <w:bidi w:val="0"/>
      </w:pPr>
    </w:p>
    <w:p w:rsidR="00E3363B" w:rsidRPr="007D5748" w:rsidP="00E3363B">
      <w:pPr>
        <w:bidi w:val="0"/>
        <w:jc w:val="both"/>
        <w:outlineLvl w:val="0"/>
        <w:rPr>
          <w:rFonts w:hint="default"/>
          <w:b/>
          <w:bCs/>
        </w:rPr>
      </w:pPr>
      <w:r w:rsidRPr="007D5748">
        <w:rPr>
          <w:rFonts w:hint="default"/>
          <w:b/>
          <w:bCs/>
        </w:rPr>
        <w:t>2.2.1. Popis ná</w:t>
      </w:r>
      <w:r w:rsidRPr="007D5748">
        <w:rPr>
          <w:rFonts w:hint="default"/>
          <w:b/>
          <w:bCs/>
        </w:rPr>
        <w:t>vrhu:</w:t>
      </w:r>
    </w:p>
    <w:p w:rsidR="00E3363B" w:rsidRPr="007D5748" w:rsidP="00E3363B">
      <w:pPr>
        <w:bidi w:val="0"/>
        <w:jc w:val="both"/>
        <w:rPr>
          <w:b/>
          <w:bCs/>
        </w:rPr>
      </w:pPr>
    </w:p>
    <w:p w:rsidR="00342C1B" w:rsidP="007D1264">
      <w:pPr>
        <w:bidi w:val="0"/>
        <w:ind w:firstLine="426"/>
        <w:jc w:val="both"/>
      </w:pPr>
      <w:r w:rsidRPr="007D5748">
        <w:rPr>
          <w:rFonts w:hint="default"/>
        </w:rPr>
        <w:t>Akú</w:t>
      </w:r>
      <w:r w:rsidRPr="007D5748">
        <w:rPr>
          <w:rFonts w:hint="default"/>
        </w:rPr>
        <w:t xml:space="preserve"> problematiku ná</w:t>
      </w:r>
      <w:r w:rsidRPr="007D5748">
        <w:rPr>
          <w:rFonts w:hint="default"/>
        </w:rPr>
        <w:t>vrh rieš</w:t>
      </w:r>
      <w:r w:rsidRPr="007D5748">
        <w:rPr>
          <w:rFonts w:hint="default"/>
        </w:rPr>
        <w:t>i? Kto bude ná</w:t>
      </w:r>
      <w:r w:rsidRPr="007D5748">
        <w:rPr>
          <w:rFonts w:hint="default"/>
        </w:rPr>
        <w:t>vrh implementovať</w:t>
      </w:r>
      <w:r w:rsidRPr="007D5748">
        <w:rPr>
          <w:rFonts w:hint="default"/>
        </w:rPr>
        <w:t>? Kde sa budú</w:t>
      </w:r>
      <w:r w:rsidRPr="007D5748">
        <w:rPr>
          <w:rFonts w:hint="default"/>
        </w:rPr>
        <w:t xml:space="preserve"> služ</w:t>
      </w:r>
      <w:r w:rsidRPr="007D5748">
        <w:rPr>
          <w:rFonts w:hint="default"/>
        </w:rPr>
        <w:t>by poskytovať</w:t>
      </w:r>
      <w:r w:rsidRPr="007D5748">
        <w:rPr>
          <w:rFonts w:hint="default"/>
        </w:rPr>
        <w:t>?</w:t>
      </w:r>
    </w:p>
    <w:p w:rsidR="007D1264" w:rsidRPr="007D5748" w:rsidP="007D1264">
      <w:pPr>
        <w:bidi w:val="0"/>
        <w:ind w:firstLine="426"/>
        <w:jc w:val="both"/>
      </w:pPr>
    </w:p>
    <w:p w:rsidR="00342C1B" w:rsidRPr="007D5748" w:rsidP="007D1264">
      <w:pPr>
        <w:bidi w:val="0"/>
        <w:ind w:firstLine="426"/>
        <w:jc w:val="both"/>
      </w:pPr>
      <w:r w:rsidRPr="005353FD">
        <w:rPr>
          <w:rFonts w:hint="default"/>
        </w:rPr>
        <w:t>Prijatí</w:t>
      </w:r>
      <w:r w:rsidRPr="005353FD">
        <w:rPr>
          <w:rFonts w:hint="default"/>
        </w:rPr>
        <w:t xml:space="preserve">m </w:t>
      </w:r>
      <w:r>
        <w:rPr>
          <w:rFonts w:hint="default"/>
        </w:rPr>
        <w:t>navrhované</w:t>
      </w:r>
      <w:r>
        <w:rPr>
          <w:rFonts w:hint="default"/>
        </w:rPr>
        <w:t xml:space="preserve">ho </w:t>
      </w:r>
      <w:r w:rsidRPr="005353FD">
        <w:rPr>
          <w:rFonts w:hint="default"/>
        </w:rPr>
        <w:t>zá</w:t>
      </w:r>
      <w:r w:rsidRPr="005353FD">
        <w:rPr>
          <w:rFonts w:hint="default"/>
        </w:rPr>
        <w:t>kona</w:t>
      </w:r>
      <w:r>
        <w:t xml:space="preserve"> o </w:t>
      </w:r>
      <w:r>
        <w:rPr>
          <w:rFonts w:hint="default"/>
        </w:rPr>
        <w:t>radiač</w:t>
      </w:r>
      <w:r>
        <w:rPr>
          <w:rFonts w:hint="default"/>
        </w:rPr>
        <w:t>nej ochrane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</w:t>
      </w:r>
      <w:r w:rsidRPr="005353FD">
        <w:t xml:space="preserve"> a </w:t>
      </w:r>
      <w:r w:rsidRPr="005353FD">
        <w:rPr>
          <w:rFonts w:hint="default"/>
        </w:rPr>
        <w:t>jeho vykoná</w:t>
      </w:r>
      <w:r w:rsidRPr="005353FD">
        <w:rPr>
          <w:rFonts w:hint="default"/>
        </w:rPr>
        <w:t>vac</w:t>
      </w:r>
      <w:r w:rsidRPr="005353FD">
        <w:rPr>
          <w:rFonts w:hint="default"/>
        </w:rPr>
        <w:t>í</w:t>
      </w:r>
      <w:r w:rsidRPr="005353FD">
        <w:rPr>
          <w:rFonts w:hint="default"/>
        </w:rPr>
        <w:t>ch predpisov sa vyrieš</w:t>
      </w:r>
      <w:r w:rsidRPr="005353FD">
        <w:rPr>
          <w:rFonts w:hint="default"/>
        </w:rPr>
        <w:t xml:space="preserve">i </w:t>
      </w:r>
      <w:r>
        <w:t>zhoda</w:t>
      </w:r>
      <w:r w:rsidRPr="005353FD">
        <w:t xml:space="preserve"> s </w:t>
      </w:r>
      <w:r w:rsidRPr="005353FD">
        <w:rPr>
          <w:rFonts w:hint="default"/>
        </w:rPr>
        <w:t>prá</w:t>
      </w:r>
      <w:r w:rsidRPr="005353FD">
        <w:rPr>
          <w:rFonts w:hint="default"/>
        </w:rPr>
        <w:t>vom Euró</w:t>
      </w:r>
      <w:r w:rsidRPr="005353FD">
        <w:rPr>
          <w:rFonts w:hint="default"/>
        </w:rPr>
        <w:t>pskej ú</w:t>
      </w:r>
      <w:r w:rsidRPr="005353FD">
        <w:rPr>
          <w:rFonts w:hint="default"/>
        </w:rPr>
        <w:t xml:space="preserve">nie v oblasti </w:t>
      </w:r>
      <w:r>
        <w:rPr>
          <w:rFonts w:hint="default"/>
        </w:rPr>
        <w:t>radiač</w:t>
      </w:r>
      <w:r>
        <w:rPr>
          <w:rFonts w:hint="default"/>
        </w:rPr>
        <w:t>nej ochrany</w:t>
      </w:r>
      <w:r w:rsidRPr="005353FD">
        <w:t>.</w:t>
      </w:r>
    </w:p>
    <w:p w:rsidR="00342C1B" w:rsidP="007D1264">
      <w:pPr>
        <w:bidi w:val="0"/>
        <w:ind w:firstLine="426"/>
        <w:jc w:val="both"/>
      </w:pPr>
      <w:r w:rsidRPr="005B743F">
        <w:rPr>
          <w:rFonts w:hint="default"/>
        </w:rPr>
        <w:t>Ná</w:t>
      </w:r>
      <w:r w:rsidRPr="005B743F">
        <w:rPr>
          <w:rFonts w:hint="default"/>
        </w:rPr>
        <w:t>vrh zá</w:t>
      </w:r>
      <w:r w:rsidRPr="005B743F">
        <w:rPr>
          <w:rFonts w:hint="default"/>
        </w:rPr>
        <w:t>kona preberá</w:t>
      </w:r>
      <w:r w:rsidRPr="005B743F">
        <w:rPr>
          <w:rFonts w:hint="default"/>
        </w:rPr>
        <w:t xml:space="preserve"> do prá</w:t>
      </w:r>
      <w:r w:rsidRPr="005B743F">
        <w:rPr>
          <w:rFonts w:hint="default"/>
        </w:rPr>
        <w:t>vneho</w:t>
      </w:r>
      <w:r>
        <w:t xml:space="preserve"> poriadku Slovenskej republiky</w:t>
      </w:r>
      <w:r w:rsidRPr="005B743F">
        <w:t xml:space="preserve"> smernic</w:t>
      </w:r>
      <w:r>
        <w:t>u</w:t>
      </w:r>
      <w:r w:rsidRPr="005B743F">
        <w:t xml:space="preserve"> Rady 2013/59/Euratom z 5. decembra 2013, ktorou sa </w:t>
      </w:r>
      <w:r>
        <w:t>u</w:t>
      </w:r>
      <w:r w:rsidRPr="005B743F">
        <w:rPr>
          <w:rFonts w:hint="default"/>
        </w:rPr>
        <w:t>stanovujú</w:t>
      </w:r>
      <w:r w:rsidRPr="005B743F">
        <w:rPr>
          <w:rFonts w:hint="default"/>
        </w:rPr>
        <w:t xml:space="preserve"> zá</w:t>
      </w:r>
      <w:r w:rsidRPr="005B743F">
        <w:rPr>
          <w:rFonts w:hint="default"/>
        </w:rPr>
        <w:t>kladné</w:t>
      </w:r>
      <w:r w:rsidRPr="005B743F">
        <w:rPr>
          <w:rFonts w:hint="default"/>
        </w:rPr>
        <w:t xml:space="preserve"> bezpeč</w:t>
      </w:r>
      <w:r w:rsidRPr="005B743F">
        <w:rPr>
          <w:rFonts w:hint="default"/>
        </w:rPr>
        <w:t>nostné</w:t>
      </w:r>
      <w:r w:rsidRPr="005B743F">
        <w:rPr>
          <w:rFonts w:hint="default"/>
        </w:rPr>
        <w:t xml:space="preserve"> normy ochrany pr</w:t>
      </w:r>
      <w:r w:rsidRPr="005B743F">
        <w:rPr>
          <w:rFonts w:hint="default"/>
        </w:rPr>
        <w:t>ed nebezpeč</w:t>
      </w:r>
      <w:r w:rsidRPr="005B743F">
        <w:rPr>
          <w:rFonts w:hint="default"/>
        </w:rPr>
        <w:t>enstvami vznikajú</w:t>
      </w:r>
      <w:r w:rsidRPr="005B743F">
        <w:rPr>
          <w:rFonts w:hint="default"/>
        </w:rPr>
        <w:t>cimi v dô</w:t>
      </w:r>
      <w:r w:rsidRPr="005B743F">
        <w:rPr>
          <w:rFonts w:hint="default"/>
        </w:rPr>
        <w:t>sledku ionizujú</w:t>
      </w:r>
      <w:r w:rsidRPr="005B743F">
        <w:rPr>
          <w:rFonts w:hint="default"/>
        </w:rPr>
        <w:t>ceho ž</w:t>
      </w:r>
      <w:r w:rsidRPr="005B743F">
        <w:rPr>
          <w:rFonts w:hint="default"/>
        </w:rPr>
        <w:t>iarenia, a ktorou sa zruš</w:t>
      </w:r>
      <w:r w:rsidRPr="005B743F">
        <w:rPr>
          <w:rFonts w:hint="default"/>
        </w:rPr>
        <w:t>ujú</w:t>
      </w:r>
      <w:r w:rsidRPr="005B743F">
        <w:rPr>
          <w:rFonts w:hint="default"/>
        </w:rPr>
        <w:t xml:space="preserve"> smernice 89/618/Euratom, 90/641/Euratom, 96/29/Euratom, 97/43/Euratom a 2003/122/Euratom</w:t>
      </w:r>
      <w:r>
        <w:rPr>
          <w:rFonts w:hint="default"/>
        </w:rPr>
        <w:t xml:space="preserve"> (ď</w:t>
      </w:r>
      <w:r>
        <w:rPr>
          <w:rFonts w:hint="default"/>
        </w:rPr>
        <w:t>alej len</w:t>
      </w:r>
      <w:r w:rsidRPr="00AD2788">
        <w:t xml:space="preserve"> </w:t>
      </w:r>
      <w:r>
        <w:rPr>
          <w:rFonts w:hint="default"/>
        </w:rPr>
        <w:t>„</w:t>
      </w:r>
      <w:r w:rsidRPr="005B743F">
        <w:t>smernic</w:t>
      </w:r>
      <w:r>
        <w:t>a</w:t>
      </w:r>
      <w:r w:rsidRPr="005B743F">
        <w:t xml:space="preserve"> Rady 2013/59/Euratom</w:t>
      </w:r>
      <w:r>
        <w:rPr>
          <w:rFonts w:hint="default"/>
        </w:rPr>
        <w:t>“</w:t>
      </w:r>
      <w:r>
        <w:rPr>
          <w:rFonts w:hint="default"/>
        </w:rPr>
        <w:t>) a prebratie do ná</w:t>
      </w:r>
      <w:r>
        <w:rPr>
          <w:rFonts w:hint="default"/>
        </w:rPr>
        <w:t>vrhu zá</w:t>
      </w:r>
      <w:r>
        <w:rPr>
          <w:rFonts w:hint="default"/>
        </w:rPr>
        <w:t>kona už</w:t>
      </w:r>
      <w:r>
        <w:rPr>
          <w:rFonts w:hint="default"/>
        </w:rPr>
        <w:t xml:space="preserve"> tran</w:t>
      </w:r>
      <w:r>
        <w:rPr>
          <w:rFonts w:hint="default"/>
        </w:rPr>
        <w:t>sponovanú</w:t>
      </w:r>
      <w:r>
        <w:rPr>
          <w:rFonts w:hint="default"/>
        </w:rPr>
        <w:t xml:space="preserve"> smernicu Rady 2013/51/Euratom </w:t>
      </w:r>
      <w:r w:rsidRPr="00BA36F6">
        <w:rPr>
          <w:rFonts w:hint="default"/>
        </w:rPr>
        <w:t>z 22. októ</w:t>
      </w:r>
      <w:r w:rsidRPr="00BA36F6">
        <w:rPr>
          <w:rFonts w:hint="default"/>
        </w:rPr>
        <w:t>bra 2013, ktorou sa stanovujú</w:t>
      </w:r>
      <w:r w:rsidRPr="00BA36F6">
        <w:rPr>
          <w:rFonts w:hint="default"/>
        </w:rPr>
        <w:t xml:space="preserve"> pož</w:t>
      </w:r>
      <w:r w:rsidRPr="00BA36F6">
        <w:rPr>
          <w:rFonts w:hint="default"/>
        </w:rPr>
        <w:t>iadavky na ochranu zdravia obyvateľ</w:t>
      </w:r>
      <w:r w:rsidRPr="00BA36F6">
        <w:rPr>
          <w:rFonts w:hint="default"/>
        </w:rPr>
        <w:t>stva vzhľ</w:t>
      </w:r>
      <w:r w:rsidRPr="00BA36F6">
        <w:rPr>
          <w:rFonts w:hint="default"/>
        </w:rPr>
        <w:t>adom na rá</w:t>
      </w:r>
      <w:r w:rsidRPr="00BA36F6">
        <w:rPr>
          <w:rFonts w:hint="default"/>
        </w:rPr>
        <w:t>dioaktí</w:t>
      </w:r>
      <w:r w:rsidRPr="00BA36F6">
        <w:rPr>
          <w:rFonts w:hint="default"/>
        </w:rPr>
        <w:t>vne lá</w:t>
      </w:r>
      <w:r w:rsidRPr="00BA36F6">
        <w:rPr>
          <w:rFonts w:hint="default"/>
        </w:rPr>
        <w:t>tky obsiahnuté</w:t>
      </w:r>
      <w:r w:rsidRPr="00BA36F6">
        <w:rPr>
          <w:rFonts w:hint="default"/>
        </w:rPr>
        <w:t xml:space="preserve"> vo vode urč</w:t>
      </w:r>
      <w:r w:rsidRPr="00BA36F6">
        <w:rPr>
          <w:rFonts w:hint="default"/>
        </w:rPr>
        <w:t>enej na ľ</w:t>
      </w:r>
      <w:r w:rsidRPr="00BA36F6">
        <w:rPr>
          <w:rFonts w:hint="default"/>
        </w:rPr>
        <w:t>udskú</w:t>
      </w:r>
      <w:r w:rsidRPr="00BA36F6">
        <w:rPr>
          <w:rFonts w:hint="default"/>
        </w:rPr>
        <w:t xml:space="preserve"> spotrebu</w:t>
      </w:r>
      <w:r>
        <w:t xml:space="preserve"> z </w:t>
      </w:r>
      <w:r>
        <w:rPr>
          <w:rFonts w:hint="default"/>
        </w:rPr>
        <w:t>dô</w:t>
      </w:r>
      <w:r>
        <w:rPr>
          <w:rFonts w:hint="default"/>
        </w:rPr>
        <w:t>vodu zjednotenia problematiky radiač</w:t>
      </w:r>
      <w:r>
        <w:rPr>
          <w:rFonts w:hint="default"/>
        </w:rPr>
        <w:t>nej ochrany do j</w:t>
      </w:r>
      <w:r>
        <w:rPr>
          <w:rFonts w:hint="default"/>
        </w:rPr>
        <w:t>edné</w:t>
      </w:r>
      <w:r>
        <w:rPr>
          <w:rFonts w:hint="default"/>
        </w:rPr>
        <w:t>ho prá</w:t>
      </w:r>
      <w:r>
        <w:rPr>
          <w:rFonts w:hint="default"/>
        </w:rPr>
        <w:t>vneho predpisu.</w:t>
      </w:r>
      <w:r w:rsidRPr="005B743F">
        <w:t xml:space="preserve"> </w:t>
      </w:r>
    </w:p>
    <w:p w:rsidR="00342C1B" w:rsidRPr="005353FD" w:rsidP="007D1264">
      <w:pPr>
        <w:bidi w:val="0"/>
        <w:ind w:firstLine="426"/>
        <w:jc w:val="both"/>
      </w:pPr>
      <w:r>
        <w:rPr>
          <w:rFonts w:hint="default"/>
        </w:rPr>
        <w:t>Problematika radiač</w:t>
      </w:r>
      <w:r>
        <w:rPr>
          <w:rFonts w:hint="default"/>
        </w:rPr>
        <w:t>nej ochrany, ktorá</w:t>
      </w:r>
      <w:r>
        <w:rPr>
          <w:rFonts w:hint="default"/>
        </w:rPr>
        <w:t xml:space="preserve"> je predmetom predlož</w:t>
      </w:r>
      <w:r>
        <w:rPr>
          <w:rFonts w:hint="default"/>
        </w:rPr>
        <w:t>ené</w:t>
      </w:r>
      <w:r>
        <w:rPr>
          <w:rFonts w:hint="default"/>
        </w:rPr>
        <w:t>ho ná</w:t>
      </w:r>
      <w:r>
        <w:rPr>
          <w:rFonts w:hint="default"/>
        </w:rPr>
        <w:t>vrhu zá</w:t>
      </w:r>
      <w:r>
        <w:rPr>
          <w:rFonts w:hint="default"/>
        </w:rPr>
        <w:t>kona je v </w:t>
      </w:r>
      <w:r>
        <w:rPr>
          <w:rFonts w:hint="default"/>
        </w:rPr>
        <w:t>súč</w:t>
      </w:r>
      <w:r>
        <w:rPr>
          <w:rFonts w:hint="default"/>
        </w:rPr>
        <w:t>asnosti upravená</w:t>
      </w:r>
      <w:r>
        <w:rPr>
          <w:rFonts w:hint="default"/>
        </w:rPr>
        <w:t xml:space="preserve"> v </w:t>
      </w:r>
      <w:r>
        <w:rPr>
          <w:rFonts w:hint="default"/>
        </w:rPr>
        <w:t>zá</w:t>
      </w:r>
      <w:r>
        <w:rPr>
          <w:rFonts w:hint="default"/>
        </w:rPr>
        <w:t>kone č</w:t>
      </w:r>
      <w:r>
        <w:rPr>
          <w:rFonts w:hint="default"/>
        </w:rPr>
        <w:t>. 355/2007 Z. z. o ochrane, podpore a </w:t>
      </w:r>
      <w:r>
        <w:rPr>
          <w:rFonts w:hint="default"/>
        </w:rPr>
        <w:t>rozvoji verejné</w:t>
      </w:r>
      <w:r>
        <w:rPr>
          <w:rFonts w:hint="default"/>
        </w:rPr>
        <w:t>ho zdravia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</w:t>
      </w:r>
      <w:r>
        <w:rPr>
          <w:rFonts w:hint="default"/>
        </w:rPr>
        <w:t>orší</w:t>
      </w:r>
      <w:r>
        <w:rPr>
          <w:rFonts w:hint="default"/>
        </w:rPr>
        <w:t>ch predpisov a </w:t>
      </w:r>
      <w:r>
        <w:rPr>
          <w:rFonts w:hint="default"/>
        </w:rPr>
        <w:t>ď</w:t>
      </w:r>
      <w:r>
        <w:rPr>
          <w:rFonts w:hint="default"/>
        </w:rPr>
        <w:t>alší</w:t>
      </w:r>
      <w:r>
        <w:rPr>
          <w:rFonts w:hint="default"/>
        </w:rPr>
        <w:t>ch prá</w:t>
      </w:r>
      <w:r>
        <w:rPr>
          <w:rFonts w:hint="default"/>
        </w:rPr>
        <w:t>vnych predpisoch.  Zá</w:t>
      </w:r>
      <w:r>
        <w:rPr>
          <w:rFonts w:hint="default"/>
        </w:rPr>
        <w:t>kladom pri tvorbe nové</w:t>
      </w:r>
      <w:r>
        <w:rPr>
          <w:rFonts w:hint="default"/>
        </w:rPr>
        <w:t>ho zá</w:t>
      </w:r>
      <w:r>
        <w:rPr>
          <w:rFonts w:hint="default"/>
        </w:rPr>
        <w:t>kona bola snaha zamerať</w:t>
      </w:r>
      <w:r>
        <w:rPr>
          <w:rFonts w:hint="default"/>
        </w:rPr>
        <w:t xml:space="preserve"> sa na vš</w:t>
      </w:r>
      <w:r>
        <w:rPr>
          <w:rFonts w:hint="default"/>
        </w:rPr>
        <w:t>etky oblasti využí</w:t>
      </w:r>
      <w:r>
        <w:rPr>
          <w:rFonts w:hint="default"/>
        </w:rPr>
        <w:t>vania ionizujú</w:t>
      </w:r>
      <w:r>
        <w:rPr>
          <w:rFonts w:hint="default"/>
        </w:rPr>
        <w:t>ceho ž</w:t>
      </w:r>
      <w:r>
        <w:rPr>
          <w:rFonts w:hint="default"/>
        </w:rPr>
        <w:t>iarenia s cieľ</w:t>
      </w:r>
      <w:r>
        <w:rPr>
          <w:rFonts w:hint="default"/>
        </w:rPr>
        <w:t>om dosiahnuť</w:t>
      </w:r>
      <w:r>
        <w:rPr>
          <w:rFonts w:hint="default"/>
        </w:rPr>
        <w:t xml:space="preserve"> vysokej ú</w:t>
      </w:r>
      <w:r>
        <w:rPr>
          <w:rFonts w:hint="default"/>
        </w:rPr>
        <w:t>rovne radiač</w:t>
      </w:r>
      <w:r>
        <w:rPr>
          <w:rFonts w:hint="default"/>
        </w:rPr>
        <w:t xml:space="preserve">nej ochrany. </w:t>
      </w:r>
      <w:r w:rsidRPr="005353FD">
        <w:t xml:space="preserve"> </w:t>
      </w:r>
    </w:p>
    <w:p w:rsidR="00342C1B" w:rsidRPr="00D46429" w:rsidP="007D1264">
      <w:pPr>
        <w:bidi w:val="0"/>
        <w:ind w:firstLine="426"/>
        <w:jc w:val="both"/>
        <w:rPr>
          <w:rFonts w:hint="default"/>
        </w:rPr>
      </w:pPr>
      <w:r w:rsidRPr="005353FD">
        <w:tab/>
      </w:r>
      <w:r w:rsidRPr="00D46429">
        <w:rPr>
          <w:rFonts w:hint="default"/>
        </w:rPr>
        <w:t>Cieľ</w:t>
      </w:r>
      <w:r w:rsidRPr="00D46429">
        <w:rPr>
          <w:rFonts w:hint="default"/>
        </w:rPr>
        <w:t>om navrhovanej prá</w:t>
      </w:r>
      <w:r w:rsidRPr="00D46429">
        <w:rPr>
          <w:rFonts w:hint="default"/>
        </w:rPr>
        <w:t>vnej ú</w:t>
      </w:r>
      <w:r w:rsidRPr="00D46429">
        <w:rPr>
          <w:rFonts w:hint="default"/>
        </w:rPr>
        <w:t>pravy je efektí</w:t>
      </w:r>
      <w:r w:rsidRPr="00D46429">
        <w:rPr>
          <w:rFonts w:hint="default"/>
        </w:rPr>
        <w:t>v</w:t>
      </w:r>
      <w:r w:rsidRPr="00D46429">
        <w:rPr>
          <w:rFonts w:hint="default"/>
        </w:rPr>
        <w:t>nejš</w:t>
      </w:r>
      <w:r w:rsidRPr="00D46429">
        <w:rPr>
          <w:rFonts w:hint="default"/>
        </w:rPr>
        <w:t>ie ovplyvnenie tvorby a </w:t>
      </w:r>
      <w:r w:rsidRPr="00D46429">
        <w:rPr>
          <w:rFonts w:hint="default"/>
        </w:rPr>
        <w:t>ochrany zdravý</w:t>
      </w:r>
      <w:r w:rsidRPr="00D46429">
        <w:rPr>
          <w:rFonts w:hint="default"/>
        </w:rPr>
        <w:t>ch ž</w:t>
      </w:r>
      <w:r w:rsidRPr="00D46429">
        <w:rPr>
          <w:rFonts w:hint="default"/>
        </w:rPr>
        <w:t>ivotný</w:t>
      </w:r>
      <w:r w:rsidRPr="00D46429">
        <w:rPr>
          <w:rFonts w:hint="default"/>
        </w:rPr>
        <w:t>ch podmienok a </w:t>
      </w:r>
      <w:r w:rsidRPr="00D46429">
        <w:rPr>
          <w:rFonts w:hint="default"/>
        </w:rPr>
        <w:t>zdravý</w:t>
      </w:r>
      <w:r w:rsidRPr="00D46429">
        <w:rPr>
          <w:rFonts w:hint="default"/>
        </w:rPr>
        <w:t>ch pracovný</w:t>
      </w:r>
      <w:r w:rsidRPr="00D46429">
        <w:rPr>
          <w:rFonts w:hint="default"/>
        </w:rPr>
        <w:t>ch podmienok, č</w:t>
      </w:r>
      <w:r w:rsidRPr="00D46429">
        <w:rPr>
          <w:rFonts w:hint="default"/>
        </w:rPr>
        <w:t>oho vý</w:t>
      </w:r>
      <w:r w:rsidRPr="00D46429">
        <w:rPr>
          <w:rFonts w:hint="default"/>
        </w:rPr>
        <w:t>sledkom by mala byť</w:t>
      </w:r>
      <w:r w:rsidRPr="00D46429">
        <w:rPr>
          <w:rFonts w:hint="default"/>
        </w:rPr>
        <w:t xml:space="preserve"> efektí</w:t>
      </w:r>
      <w:r w:rsidRPr="00D46429">
        <w:rPr>
          <w:rFonts w:hint="default"/>
        </w:rPr>
        <w:t>vnejš</w:t>
      </w:r>
      <w:r w:rsidRPr="00D46429">
        <w:rPr>
          <w:rFonts w:hint="default"/>
        </w:rPr>
        <w:t>ia primá</w:t>
      </w:r>
      <w:r w:rsidRPr="00D46429">
        <w:rPr>
          <w:rFonts w:hint="default"/>
        </w:rPr>
        <w:t>rna prevencia  a </w:t>
      </w:r>
      <w:r w:rsidRPr="00D46429">
        <w:rPr>
          <w:rFonts w:hint="default"/>
        </w:rPr>
        <w:t>pozití</w:t>
      </w:r>
      <w:r w:rsidRPr="00D46429">
        <w:rPr>
          <w:rFonts w:hint="default"/>
        </w:rPr>
        <w:t>vny rozvoj verejné</w:t>
      </w:r>
      <w:r w:rsidRPr="00D46429">
        <w:rPr>
          <w:rFonts w:hint="default"/>
        </w:rPr>
        <w:t>ho zdravia.</w:t>
      </w:r>
    </w:p>
    <w:p w:rsidR="00342C1B" w:rsidP="007D1264">
      <w:pPr>
        <w:bidi w:val="0"/>
        <w:ind w:firstLine="426"/>
        <w:jc w:val="both"/>
        <w:rPr>
          <w:rFonts w:hint="default"/>
        </w:rPr>
      </w:pPr>
      <w:r w:rsidRPr="00D46429">
        <w:rPr>
          <w:rFonts w:hint="default"/>
        </w:rPr>
        <w:tab/>
      </w:r>
      <w:r w:rsidRPr="00D46429">
        <w:rPr>
          <w:rFonts w:hint="default"/>
        </w:rPr>
        <w:t>Zmeny obsiahnuté</w:t>
      </w:r>
      <w:r w:rsidRPr="00D46429">
        <w:rPr>
          <w:rFonts w:hint="default"/>
        </w:rPr>
        <w:t xml:space="preserve"> v ná</w:t>
      </w:r>
      <w:r w:rsidRPr="00D46429">
        <w:rPr>
          <w:rFonts w:hint="default"/>
        </w:rPr>
        <w:t>vrhu zá</w:t>
      </w:r>
      <w:r w:rsidRPr="00D46429">
        <w:rPr>
          <w:rFonts w:hint="default"/>
        </w:rPr>
        <w:t>kona sa dotknú</w:t>
      </w:r>
      <w:r w:rsidRPr="00D46429">
        <w:rPr>
          <w:rFonts w:hint="default"/>
        </w:rPr>
        <w:t xml:space="preserve"> š</w:t>
      </w:r>
      <w:r w:rsidRPr="00D46429">
        <w:rPr>
          <w:rFonts w:hint="default"/>
        </w:rPr>
        <w:t>tá</w:t>
      </w:r>
      <w:r w:rsidRPr="00D46429">
        <w:rPr>
          <w:rFonts w:hint="default"/>
        </w:rPr>
        <w:t>tnej sprá</w:t>
      </w:r>
      <w:r w:rsidRPr="00D46429">
        <w:rPr>
          <w:rFonts w:hint="default"/>
        </w:rPr>
        <w:t xml:space="preserve">vy </w:t>
      </w:r>
      <w:r w:rsidRPr="00D46429">
        <w:rPr>
          <w:rFonts w:hint="default"/>
        </w:rPr>
        <w:t>na ú</w:t>
      </w:r>
      <w:r w:rsidRPr="00D46429">
        <w:rPr>
          <w:rFonts w:hint="default"/>
        </w:rPr>
        <w:t>seku ochrany</w:t>
      </w:r>
      <w:r>
        <w:rPr>
          <w:rFonts w:hint="default"/>
        </w:rPr>
        <w:t xml:space="preserve"> zdravia pred ionizujú</w:t>
      </w:r>
      <w:r>
        <w:rPr>
          <w:rFonts w:hint="default"/>
        </w:rPr>
        <w:t>cim ž</w:t>
      </w:r>
      <w:r>
        <w:rPr>
          <w:rFonts w:hint="default"/>
        </w:rPr>
        <w:t>iarení</w:t>
      </w:r>
      <w:r>
        <w:rPr>
          <w:rFonts w:hint="default"/>
        </w:rPr>
        <w:t>m. Tú</w:t>
      </w:r>
      <w:r>
        <w:rPr>
          <w:rFonts w:hint="default"/>
        </w:rPr>
        <w:t>to budú</w:t>
      </w:r>
      <w:r>
        <w:rPr>
          <w:rFonts w:hint="default"/>
        </w:rPr>
        <w:t xml:space="preserve"> plniť</w:t>
      </w:r>
      <w:r>
        <w:rPr>
          <w:rFonts w:hint="default"/>
        </w:rPr>
        <w:t xml:space="preserve"> orgá</w:t>
      </w:r>
      <w:r>
        <w:rPr>
          <w:rFonts w:hint="default"/>
        </w:rPr>
        <w:t>ny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v </w:t>
      </w:r>
      <w:r>
        <w:rPr>
          <w:rFonts w:hint="default"/>
        </w:rPr>
        <w:t>oblasti radiač</w:t>
      </w:r>
      <w:r>
        <w:rPr>
          <w:rFonts w:hint="default"/>
        </w:rPr>
        <w:t>nej ochrany, ktorý</w:t>
      </w:r>
      <w:r>
        <w:rPr>
          <w:rFonts w:hint="default"/>
        </w:rPr>
        <w:t>mi budú</w:t>
      </w:r>
      <w:r>
        <w:rPr>
          <w:rFonts w:hint="default"/>
        </w:rPr>
        <w:t xml:space="preserve"> Ministerstvo zdravotní</w:t>
      </w:r>
      <w:r>
        <w:rPr>
          <w:rFonts w:hint="default"/>
        </w:rPr>
        <w:t>ctva Slovenskej republiky, Ú</w:t>
      </w:r>
      <w:r>
        <w:rPr>
          <w:rFonts w:hint="default"/>
        </w:rPr>
        <w:t>rad verejné</w:t>
      </w:r>
      <w:r>
        <w:rPr>
          <w:rFonts w:hint="default"/>
        </w:rPr>
        <w:t>ho zdravotní</w:t>
      </w:r>
      <w:r>
        <w:rPr>
          <w:rFonts w:hint="default"/>
        </w:rPr>
        <w:t>ctva Slovenskej republiky a </w:t>
      </w:r>
      <w:r>
        <w:rPr>
          <w:rFonts w:hint="default"/>
        </w:rPr>
        <w:t>regioná</w:t>
      </w:r>
      <w:r>
        <w:rPr>
          <w:rFonts w:hint="default"/>
        </w:rPr>
        <w:t>lne ú</w:t>
      </w:r>
      <w:r>
        <w:rPr>
          <w:rFonts w:hint="default"/>
        </w:rPr>
        <w:t>rady verejn</w:t>
      </w:r>
      <w:r>
        <w:rPr>
          <w:rFonts w:hint="default"/>
        </w:rPr>
        <w:t>é</w:t>
      </w:r>
      <w:r>
        <w:rPr>
          <w:rFonts w:hint="default"/>
        </w:rPr>
        <w:t>ho zdravotní</w:t>
      </w:r>
      <w:r>
        <w:rPr>
          <w:rFonts w:hint="default"/>
        </w:rPr>
        <w:t>ctva, Ministerstvo obrany Slovenskej republiky, Ministerstvo vnú</w:t>
      </w:r>
      <w:r>
        <w:rPr>
          <w:rFonts w:hint="default"/>
        </w:rPr>
        <w:t>tra Slovenskej republiky, Ministerstvo dopravy a </w:t>
      </w:r>
      <w:r>
        <w:rPr>
          <w:rFonts w:hint="default"/>
        </w:rPr>
        <w:t>vý</w:t>
      </w:r>
      <w:r>
        <w:rPr>
          <w:rFonts w:hint="default"/>
        </w:rPr>
        <w:t>stavby Slovenskej republiky a </w:t>
      </w:r>
      <w:r>
        <w:rPr>
          <w:rFonts w:hint="default"/>
        </w:rPr>
        <w:t>Slovenská</w:t>
      </w:r>
      <w:r>
        <w:rPr>
          <w:rFonts w:hint="default"/>
        </w:rPr>
        <w:t xml:space="preserve"> informač</w:t>
      </w:r>
      <w:r>
        <w:rPr>
          <w:rFonts w:hint="default"/>
        </w:rPr>
        <w:t>ná</w:t>
      </w:r>
      <w:r>
        <w:rPr>
          <w:rFonts w:hint="default"/>
        </w:rPr>
        <w:t xml:space="preserve"> služ</w:t>
      </w:r>
      <w:r>
        <w:rPr>
          <w:rFonts w:hint="default"/>
        </w:rPr>
        <w:t>ba.</w:t>
      </w:r>
    </w:p>
    <w:p w:rsidR="00342C1B" w:rsidRPr="006E7018" w:rsidP="007D1264">
      <w:pPr>
        <w:bidi w:val="0"/>
        <w:ind w:firstLine="426"/>
        <w:jc w:val="both"/>
        <w:rPr>
          <w:rFonts w:hint="default"/>
          <w:b/>
        </w:rPr>
      </w:pPr>
      <w:r w:rsidRPr="006E7018">
        <w:rPr>
          <w:rFonts w:hint="default"/>
          <w:b/>
        </w:rPr>
        <w:t>Zavá</w:t>
      </w:r>
      <w:r w:rsidRPr="006E7018">
        <w:rPr>
          <w:rFonts w:hint="default"/>
          <w:b/>
        </w:rPr>
        <w:t>dzanie nový</w:t>
      </w:r>
      <w:r w:rsidRPr="006E7018">
        <w:rPr>
          <w:rFonts w:hint="default"/>
          <w:b/>
        </w:rPr>
        <w:t>ch a precizovanie existujú</w:t>
      </w:r>
      <w:r w:rsidRPr="006E7018">
        <w:rPr>
          <w:rFonts w:hint="default"/>
          <w:b/>
        </w:rPr>
        <w:t>cich pož</w:t>
      </w:r>
      <w:r w:rsidRPr="006E7018">
        <w:rPr>
          <w:rFonts w:hint="default"/>
          <w:b/>
        </w:rPr>
        <w:t>iadaviek a povinnost</w:t>
      </w:r>
      <w:r w:rsidRPr="006E7018">
        <w:rPr>
          <w:rFonts w:hint="default"/>
          <w:b/>
        </w:rPr>
        <w:t>í</w:t>
      </w:r>
      <w:r w:rsidRPr="006E7018">
        <w:rPr>
          <w:rFonts w:hint="default"/>
          <w:b/>
        </w:rPr>
        <w:t xml:space="preserve"> v predkladanom ná</w:t>
      </w:r>
      <w:r w:rsidRPr="006E7018">
        <w:rPr>
          <w:rFonts w:hint="default"/>
          <w:b/>
        </w:rPr>
        <w:t>vrhu zá</w:t>
      </w:r>
      <w:r w:rsidRPr="006E7018">
        <w:rPr>
          <w:rFonts w:hint="default"/>
          <w:b/>
        </w:rPr>
        <w:t>kona vý</w:t>
      </w:r>
      <w:r w:rsidRPr="006E7018">
        <w:rPr>
          <w:rFonts w:hint="default"/>
          <w:b/>
        </w:rPr>
        <w:t>luč</w:t>
      </w:r>
      <w:r w:rsidRPr="006E7018">
        <w:rPr>
          <w:rFonts w:hint="default"/>
          <w:b/>
        </w:rPr>
        <w:t>ne vyplý</w:t>
      </w:r>
      <w:r w:rsidRPr="006E7018">
        <w:rPr>
          <w:rFonts w:hint="default"/>
          <w:b/>
        </w:rPr>
        <w:t>va z ustanovení</w:t>
      </w:r>
      <w:r w:rsidRPr="006E7018">
        <w:rPr>
          <w:rFonts w:hint="default"/>
          <w:b/>
        </w:rPr>
        <w:t xml:space="preserve"> transponovanej smernice. </w:t>
      </w:r>
    </w:p>
    <w:p w:rsidR="00342C1B" w:rsidRPr="00765C24" w:rsidP="007D1264">
      <w:pPr>
        <w:autoSpaceDE w:val="0"/>
        <w:autoSpaceDN w:val="0"/>
        <w:bidi w:val="0"/>
        <w:adjustRightInd w:val="0"/>
        <w:ind w:firstLine="426"/>
        <w:jc w:val="both"/>
        <w:rPr>
          <w:rFonts w:hint="default"/>
        </w:rPr>
      </w:pPr>
      <w:r>
        <w:tab/>
      </w:r>
      <w:r w:rsidRPr="00765C24">
        <w:t>V </w:t>
      </w:r>
      <w:r w:rsidRPr="00765C24">
        <w:rPr>
          <w:rFonts w:hint="default"/>
        </w:rPr>
        <w:t>roku 2014 sa uskutoč</w:t>
      </w:r>
      <w:r w:rsidRPr="00765C24">
        <w:rPr>
          <w:rFonts w:hint="default"/>
        </w:rPr>
        <w:t>nila verifikač</w:t>
      </w:r>
      <w:r w:rsidRPr="00765C24">
        <w:rPr>
          <w:rFonts w:hint="default"/>
        </w:rPr>
        <w:t>ná</w:t>
      </w:r>
      <w:r w:rsidRPr="00765C24">
        <w:rPr>
          <w:rFonts w:hint="default"/>
        </w:rPr>
        <w:t xml:space="preserve"> misia Euró</w:t>
      </w:r>
      <w:r w:rsidRPr="00765C24">
        <w:rPr>
          <w:rFonts w:hint="default"/>
        </w:rPr>
        <w:t>pskej komisie zastú</w:t>
      </w:r>
      <w:r w:rsidRPr="00765C24">
        <w:rPr>
          <w:rFonts w:hint="default"/>
        </w:rPr>
        <w:t>pená</w:t>
      </w:r>
      <w:r w:rsidRPr="00765C24">
        <w:rPr>
          <w:rFonts w:hint="default"/>
        </w:rPr>
        <w:t xml:space="preserve"> expertný</w:t>
      </w:r>
      <w:r w:rsidRPr="00765C24">
        <w:rPr>
          <w:rFonts w:hint="default"/>
        </w:rPr>
        <w:t>m tí</w:t>
      </w:r>
      <w:r w:rsidRPr="00765C24">
        <w:rPr>
          <w:rFonts w:hint="default"/>
        </w:rPr>
        <w:t>mom z </w:t>
      </w:r>
      <w:r w:rsidRPr="00765C24">
        <w:rPr>
          <w:rFonts w:hint="default"/>
        </w:rPr>
        <w:t>DG ENER (Generá</w:t>
      </w:r>
      <w:r w:rsidRPr="00765C24">
        <w:rPr>
          <w:rFonts w:hint="default"/>
        </w:rPr>
        <w:t>lne riaditeľ</w:t>
      </w:r>
      <w:r w:rsidRPr="00765C24">
        <w:rPr>
          <w:rFonts w:hint="default"/>
        </w:rPr>
        <w:t>stvo pre energetiku). Predmetom misie bolo posú</w:t>
      </w:r>
      <w:r w:rsidRPr="00765C24">
        <w:rPr>
          <w:rFonts w:hint="default"/>
        </w:rPr>
        <w:t>denie programu environmentá</w:t>
      </w:r>
      <w:r w:rsidRPr="00765C24">
        <w:rPr>
          <w:rFonts w:hint="default"/>
        </w:rPr>
        <w:t>lneho monitorovania rá</w:t>
      </w:r>
      <w:r w:rsidRPr="00765C24">
        <w:rPr>
          <w:rFonts w:hint="default"/>
        </w:rPr>
        <w:t>dioaktí</w:t>
      </w:r>
      <w:r w:rsidRPr="00765C24">
        <w:rPr>
          <w:rFonts w:hint="default"/>
        </w:rPr>
        <w:t>vnych kvapalný</w:t>
      </w:r>
      <w:r w:rsidRPr="00765C24">
        <w:rPr>
          <w:rFonts w:hint="default"/>
        </w:rPr>
        <w:t>ch vý</w:t>
      </w:r>
      <w:r w:rsidRPr="00765C24">
        <w:rPr>
          <w:rFonts w:hint="default"/>
        </w:rPr>
        <w:t>pustí</w:t>
      </w:r>
      <w:r w:rsidRPr="00765C24">
        <w:rPr>
          <w:rFonts w:hint="default"/>
        </w:rPr>
        <w:t xml:space="preserve"> a </w:t>
      </w:r>
      <w:r w:rsidRPr="00765C24">
        <w:rPr>
          <w:rFonts w:hint="default"/>
        </w:rPr>
        <w:t>plynný</w:t>
      </w:r>
      <w:r w:rsidRPr="00765C24">
        <w:rPr>
          <w:rFonts w:hint="default"/>
        </w:rPr>
        <w:t xml:space="preserve">ch </w:t>
      </w:r>
      <w:r w:rsidRPr="00765C24" w:rsidR="001A3BC5">
        <w:rPr>
          <w:rFonts w:hint="default"/>
        </w:rPr>
        <w:t>vypustí</w:t>
      </w:r>
      <w:r w:rsidRPr="00765C24">
        <w:rPr>
          <w:rFonts w:hint="default"/>
        </w:rPr>
        <w:t xml:space="preserve"> z jadrovej elektrá</w:t>
      </w:r>
      <w:r w:rsidRPr="00765C24">
        <w:rPr>
          <w:rFonts w:hint="default"/>
        </w:rPr>
        <w:t>rne Mochovce do ž</w:t>
      </w:r>
      <w:r w:rsidRPr="00765C24">
        <w:rPr>
          <w:rFonts w:hint="default"/>
        </w:rPr>
        <w:t>ivotné</w:t>
      </w:r>
      <w:r w:rsidRPr="00765C24">
        <w:rPr>
          <w:rFonts w:hint="default"/>
        </w:rPr>
        <w:t>ho prostredia a </w:t>
      </w:r>
      <w:r w:rsidRPr="00765C24">
        <w:rPr>
          <w:rFonts w:hint="default"/>
        </w:rPr>
        <w:t>ich kontrolu vrá</w:t>
      </w:r>
      <w:r w:rsidRPr="00765C24">
        <w:rPr>
          <w:rFonts w:hint="default"/>
        </w:rPr>
        <w:t>tane systé</w:t>
      </w:r>
      <w:r w:rsidRPr="00765C24">
        <w:rPr>
          <w:rFonts w:hint="default"/>
        </w:rPr>
        <w:t>mov odberu vzoriek a monitorovania, použ</w:t>
      </w:r>
      <w:r w:rsidRPr="00765C24">
        <w:rPr>
          <w:rFonts w:hint="default"/>
        </w:rPr>
        <w:t>itý</w:t>
      </w:r>
      <w:r w:rsidRPr="00765C24">
        <w:rPr>
          <w:rFonts w:hint="default"/>
        </w:rPr>
        <w:t>ch analytický</w:t>
      </w:r>
      <w:r w:rsidRPr="00765C24">
        <w:rPr>
          <w:rFonts w:hint="default"/>
        </w:rPr>
        <w:t>ch metó</w:t>
      </w:r>
      <w:r w:rsidRPr="00765C24">
        <w:rPr>
          <w:rFonts w:hint="default"/>
        </w:rPr>
        <w:t>d, zabezpe</w:t>
      </w:r>
      <w:r w:rsidRPr="00765C24">
        <w:rPr>
          <w:rFonts w:hint="default"/>
        </w:rPr>
        <w:t>č</w:t>
      </w:r>
      <w:r w:rsidRPr="00765C24">
        <w:rPr>
          <w:rFonts w:hint="default"/>
        </w:rPr>
        <w:t>enia systé</w:t>
      </w:r>
      <w:r w:rsidRPr="00765C24">
        <w:rPr>
          <w:rFonts w:hint="default"/>
        </w:rPr>
        <w:t>mu kvality a spô</w:t>
      </w:r>
      <w:r w:rsidRPr="00765C24">
        <w:rPr>
          <w:rFonts w:hint="default"/>
        </w:rPr>
        <w:t>sob podá</w:t>
      </w:r>
      <w:r w:rsidRPr="00765C24">
        <w:rPr>
          <w:rFonts w:hint="default"/>
        </w:rPr>
        <w:t>vania sprá</w:t>
      </w:r>
      <w:r w:rsidRPr="00765C24">
        <w:rPr>
          <w:rFonts w:hint="default"/>
        </w:rPr>
        <w:t>v. Expertný</w:t>
      </w:r>
      <w:r w:rsidRPr="00765C24">
        <w:rPr>
          <w:rFonts w:hint="default"/>
        </w:rPr>
        <w:t xml:space="preserve"> tí</w:t>
      </w:r>
      <w:r w:rsidRPr="00765C24">
        <w:rPr>
          <w:rFonts w:hint="default"/>
        </w:rPr>
        <w:t>m DG ENER (Generá</w:t>
      </w:r>
      <w:r w:rsidRPr="00765C24">
        <w:rPr>
          <w:rFonts w:hint="default"/>
        </w:rPr>
        <w:t>lne riaditeľ</w:t>
      </w:r>
      <w:r w:rsidRPr="00765C24">
        <w:rPr>
          <w:rFonts w:hint="default"/>
        </w:rPr>
        <w:t>stvo pre energetiku) preveroval aj č</w:t>
      </w:r>
      <w:r w:rsidRPr="00765C24">
        <w:rPr>
          <w:rFonts w:hint="default"/>
        </w:rPr>
        <w:t>innosť </w:t>
      </w:r>
      <w:r w:rsidRPr="00765C24">
        <w:rPr>
          <w:rFonts w:hint="default"/>
        </w:rPr>
        <w:t>laborató</w:t>
      </w:r>
      <w:r w:rsidRPr="00765C24">
        <w:rPr>
          <w:rFonts w:hint="default"/>
        </w:rPr>
        <w:t>rií</w:t>
      </w:r>
      <w:r w:rsidRPr="00765C24">
        <w:rPr>
          <w:rFonts w:hint="default"/>
        </w:rPr>
        <w:t>, ktoré</w:t>
      </w:r>
      <w:r w:rsidRPr="00765C24">
        <w:rPr>
          <w:rFonts w:hint="default"/>
        </w:rPr>
        <w:t xml:space="preserve"> analyzujú</w:t>
      </w:r>
      <w:r w:rsidRPr="00765C24">
        <w:rPr>
          <w:rFonts w:hint="default"/>
        </w:rPr>
        <w:t xml:space="preserve"> odobrané</w:t>
      </w:r>
      <w:r w:rsidRPr="00765C24">
        <w:rPr>
          <w:rFonts w:hint="default"/>
        </w:rPr>
        <w:t xml:space="preserve"> vzorky, infraš</w:t>
      </w:r>
      <w:r w:rsidRPr="00765C24">
        <w:rPr>
          <w:rFonts w:hint="default"/>
        </w:rPr>
        <w:t>truktú</w:t>
      </w:r>
      <w:r w:rsidRPr="00765C24">
        <w:rPr>
          <w:rFonts w:hint="default"/>
        </w:rPr>
        <w:t>ru, použí</w:t>
      </w:r>
      <w:r w:rsidRPr="00765C24">
        <w:rPr>
          <w:rFonts w:hint="default"/>
        </w:rPr>
        <w:t>vané</w:t>
      </w:r>
      <w:r w:rsidRPr="00765C24">
        <w:rPr>
          <w:rFonts w:hint="default"/>
        </w:rPr>
        <w:t xml:space="preserve"> analytické</w:t>
      </w:r>
      <w:r w:rsidRPr="00765C24">
        <w:rPr>
          <w:rFonts w:hint="default"/>
        </w:rPr>
        <w:t xml:space="preserve"> metó</w:t>
      </w:r>
      <w:r w:rsidRPr="00765C24">
        <w:rPr>
          <w:rFonts w:hint="default"/>
        </w:rPr>
        <w:t>dy a zabezpeč</w:t>
      </w:r>
      <w:r w:rsidRPr="00765C24">
        <w:rPr>
          <w:rFonts w:hint="default"/>
        </w:rPr>
        <w:t>enie systé</w:t>
      </w:r>
      <w:r w:rsidRPr="00765C24">
        <w:rPr>
          <w:rFonts w:hint="default"/>
        </w:rPr>
        <w:t>mu kvality. Je</w:t>
      </w:r>
      <w:r w:rsidRPr="00765C24">
        <w:rPr>
          <w:rFonts w:hint="default"/>
        </w:rPr>
        <w:t>d</w:t>
      </w:r>
      <w:r w:rsidRPr="00765C24">
        <w:rPr>
          <w:rFonts w:hint="default"/>
        </w:rPr>
        <w:t>nou z </w:t>
      </w:r>
      <w:r w:rsidRPr="00765C24">
        <w:rPr>
          <w:rFonts w:hint="default"/>
        </w:rPr>
        <w:t>posudzovaný</w:t>
      </w:r>
      <w:r w:rsidRPr="00765C24">
        <w:rPr>
          <w:rFonts w:hint="default"/>
        </w:rPr>
        <w:t>ch oblastí</w:t>
      </w:r>
      <w:r w:rsidRPr="00765C24">
        <w:rPr>
          <w:rFonts w:hint="default"/>
        </w:rPr>
        <w:t xml:space="preserve"> bola inš</w:t>
      </w:r>
      <w:r w:rsidRPr="00765C24">
        <w:rPr>
          <w:rFonts w:hint="default"/>
        </w:rPr>
        <w:t>talá</w:t>
      </w:r>
      <w:r w:rsidRPr="00765C24">
        <w:rPr>
          <w:rFonts w:hint="default"/>
        </w:rPr>
        <w:t>cia sond zabezpeč</w:t>
      </w:r>
      <w:r w:rsidRPr="00765C24">
        <w:rPr>
          <w:rFonts w:hint="default"/>
        </w:rPr>
        <w:t>ujú</w:t>
      </w:r>
      <w:r w:rsidRPr="00765C24">
        <w:rPr>
          <w:rFonts w:hint="default"/>
        </w:rPr>
        <w:t>cich meranie prí</w:t>
      </w:r>
      <w:r w:rsidRPr="00765C24">
        <w:rPr>
          <w:rFonts w:hint="default"/>
        </w:rPr>
        <w:t>konu dá</w:t>
      </w:r>
      <w:r w:rsidRPr="00765C24">
        <w:rPr>
          <w:rFonts w:hint="default"/>
        </w:rPr>
        <w:t>vkové</w:t>
      </w:r>
      <w:r w:rsidRPr="00765C24">
        <w:rPr>
          <w:rFonts w:hint="default"/>
        </w:rPr>
        <w:t>ho ekvivalentu na ú</w:t>
      </w:r>
      <w:r w:rsidRPr="00765C24">
        <w:rPr>
          <w:rFonts w:hint="default"/>
        </w:rPr>
        <w:t>zemí</w:t>
      </w:r>
      <w:r w:rsidRPr="00765C24">
        <w:rPr>
          <w:rFonts w:hint="default"/>
        </w:rPr>
        <w:t xml:space="preserve"> Slovenskej republiky.</w:t>
      </w:r>
    </w:p>
    <w:p w:rsidR="00342C1B" w:rsidP="007D1264">
      <w:pPr>
        <w:bidi w:val="0"/>
        <w:ind w:firstLine="426"/>
        <w:jc w:val="both"/>
        <w:rPr>
          <w:rFonts w:hint="default"/>
        </w:rPr>
      </w:pPr>
      <w:r>
        <w:rPr>
          <w:rFonts w:hint="default"/>
        </w:rPr>
        <w:t>Expertný</w:t>
      </w:r>
      <w:r>
        <w:rPr>
          <w:rFonts w:hint="default"/>
        </w:rPr>
        <w:t xml:space="preserve"> tí</w:t>
      </w:r>
      <w:r>
        <w:rPr>
          <w:rFonts w:hint="default"/>
        </w:rPr>
        <w:t>m DG ENER (Generá</w:t>
      </w:r>
      <w:r>
        <w:rPr>
          <w:rFonts w:hint="default"/>
        </w:rPr>
        <w:t>lne riaditeľ</w:t>
      </w:r>
      <w:r>
        <w:rPr>
          <w:rFonts w:hint="default"/>
        </w:rPr>
        <w:t>stvo pre energetiku) konš</w:t>
      </w:r>
      <w:r>
        <w:rPr>
          <w:rFonts w:hint="default"/>
        </w:rPr>
        <w:t>tatoval niekoľ</w:t>
      </w:r>
      <w:r>
        <w:rPr>
          <w:rFonts w:hint="default"/>
        </w:rPr>
        <w:t xml:space="preserve">ko </w:t>
      </w:r>
      <w:r w:rsidRPr="00765C24">
        <w:rPr>
          <w:rFonts w:hint="default"/>
        </w:rPr>
        <w:t>zá</w:t>
      </w:r>
      <w:r w:rsidRPr="00765C24">
        <w:rPr>
          <w:rFonts w:hint="default"/>
        </w:rPr>
        <w:t>verov, v ktorý</w:t>
      </w:r>
      <w:r w:rsidRPr="00765C24">
        <w:rPr>
          <w:rFonts w:hint="default"/>
        </w:rPr>
        <w:t>ch odporúč</w:t>
      </w:r>
      <w:r w:rsidRPr="00765C24">
        <w:rPr>
          <w:rFonts w:hint="default"/>
        </w:rPr>
        <w:t>al Ú</w:t>
      </w:r>
      <w:r w:rsidRPr="00765C24">
        <w:rPr>
          <w:rFonts w:hint="default"/>
        </w:rPr>
        <w:t>radu verej</w:t>
      </w:r>
      <w:r w:rsidRPr="00765C24">
        <w:rPr>
          <w:rFonts w:hint="default"/>
        </w:rPr>
        <w:t>né</w:t>
      </w:r>
      <w:r w:rsidRPr="00765C24">
        <w:rPr>
          <w:rFonts w:hint="default"/>
        </w:rPr>
        <w:t>ho zdravotní</w:t>
      </w:r>
      <w:r w:rsidRPr="00765C24">
        <w:rPr>
          <w:rFonts w:hint="default"/>
        </w:rPr>
        <w:t>ctva Slovenskej republiky, aby obnov</w:t>
      </w:r>
      <w:r>
        <w:t>il a </w:t>
      </w:r>
      <w:r>
        <w:rPr>
          <w:rFonts w:hint="default"/>
        </w:rPr>
        <w:t>doplnil laborató</w:t>
      </w:r>
      <w:r>
        <w:rPr>
          <w:rFonts w:hint="default"/>
        </w:rPr>
        <w:t>rne vybavenie, </w:t>
      </w:r>
      <w:r>
        <w:rPr>
          <w:rFonts w:hint="default"/>
        </w:rPr>
        <w:t>aby zabezpeč</w:t>
      </w:r>
      <w:r>
        <w:rPr>
          <w:rFonts w:hint="default"/>
        </w:rPr>
        <w:t>il zá</w:t>
      </w:r>
      <w:r>
        <w:rPr>
          <w:rFonts w:hint="default"/>
        </w:rPr>
        <w:t>lohu pre tieto zariadenia. Zá</w:t>
      </w:r>
      <w:r>
        <w:rPr>
          <w:rFonts w:hint="default"/>
        </w:rPr>
        <w:t>roveň</w:t>
      </w:r>
      <w:r>
        <w:rPr>
          <w:rFonts w:hint="default"/>
        </w:rPr>
        <w:t xml:space="preserve"> vo svojej sprá</w:t>
      </w:r>
      <w:r>
        <w:rPr>
          <w:rFonts w:hint="default"/>
        </w:rPr>
        <w:t>ve uvá</w:t>
      </w:r>
      <w:r>
        <w:rPr>
          <w:rFonts w:hint="default"/>
        </w:rPr>
        <w:t>dza, ž</w:t>
      </w:r>
      <w:r>
        <w:rPr>
          <w:rFonts w:hint="default"/>
        </w:rPr>
        <w:t>e z </w:t>
      </w:r>
      <w:r>
        <w:rPr>
          <w:rFonts w:hint="default"/>
        </w:rPr>
        <w:t>dô</w:t>
      </w:r>
      <w:r>
        <w:rPr>
          <w:rFonts w:hint="default"/>
        </w:rPr>
        <w:t>vodu havarijnej pripravenosti je potrebné</w:t>
      </w:r>
      <w:r>
        <w:rPr>
          <w:rFonts w:hint="default"/>
        </w:rPr>
        <w:t>, aby sa v laborató</w:t>
      </w:r>
      <w:r>
        <w:rPr>
          <w:rFonts w:hint="default"/>
        </w:rPr>
        <w:t>riá</w:t>
      </w:r>
      <w:r>
        <w:rPr>
          <w:rFonts w:hint="default"/>
        </w:rPr>
        <w:t>ch Ú</w:t>
      </w:r>
      <w:r>
        <w:rPr>
          <w:rFonts w:hint="default"/>
        </w:rPr>
        <w:t>radu verejné</w:t>
      </w:r>
      <w:r>
        <w:rPr>
          <w:rFonts w:hint="default"/>
        </w:rPr>
        <w:t>ho zdra</w:t>
      </w:r>
      <w:r>
        <w:rPr>
          <w:rFonts w:hint="default"/>
        </w:rPr>
        <w:t>votní</w:t>
      </w:r>
      <w:r>
        <w:rPr>
          <w:rFonts w:hint="default"/>
        </w:rPr>
        <w:t>ctva Slovenskej republiky zavá</w:t>
      </w:r>
      <w:r>
        <w:rPr>
          <w:rFonts w:hint="default"/>
        </w:rPr>
        <w:t>dzali postupy a </w:t>
      </w:r>
      <w:r>
        <w:rPr>
          <w:rFonts w:hint="default"/>
        </w:rPr>
        <w:t>technické</w:t>
      </w:r>
      <w:r>
        <w:rPr>
          <w:rFonts w:hint="default"/>
        </w:rPr>
        <w:t xml:space="preserve"> opatrenia na mobilné</w:t>
      </w:r>
      <w:r>
        <w:rPr>
          <w:rFonts w:hint="default"/>
        </w:rPr>
        <w:t xml:space="preserve"> monitorovanie radiač</w:t>
      </w:r>
      <w:r>
        <w:rPr>
          <w:rFonts w:hint="default"/>
        </w:rPr>
        <w:t>nej situá</w:t>
      </w:r>
      <w:r>
        <w:rPr>
          <w:rFonts w:hint="default"/>
        </w:rPr>
        <w:t>cie v </w:t>
      </w:r>
      <w:r>
        <w:rPr>
          <w:rFonts w:hint="default"/>
        </w:rPr>
        <w:t>ž</w:t>
      </w:r>
      <w:r>
        <w:rPr>
          <w:rFonts w:hint="default"/>
        </w:rPr>
        <w:t>ivotnom prostredí</w:t>
      </w:r>
      <w:r>
        <w:rPr>
          <w:rFonts w:hint="default"/>
        </w:rPr>
        <w:t xml:space="preserve"> pre prí</w:t>
      </w:r>
      <w:r>
        <w:rPr>
          <w:rFonts w:hint="default"/>
        </w:rPr>
        <w:t>pad radiač</w:t>
      </w:r>
      <w:r>
        <w:rPr>
          <w:rFonts w:hint="default"/>
        </w:rPr>
        <w:t>né</w:t>
      </w:r>
      <w:r>
        <w:rPr>
          <w:rFonts w:hint="default"/>
        </w:rPr>
        <w:t xml:space="preserve">ho ohrozenia. </w:t>
      </w:r>
    </w:p>
    <w:p w:rsidR="00342C1B" w:rsidP="007D1264">
      <w:pPr>
        <w:bidi w:val="0"/>
        <w:ind w:firstLine="426"/>
        <w:jc w:val="both"/>
        <w:rPr>
          <w:rFonts w:hint="default"/>
        </w:rPr>
      </w:pPr>
      <w:r>
        <w:rPr>
          <w:shd w:val="clear" w:color="auto" w:fill="FFFFFF"/>
        </w:rPr>
        <w:t>V roku 2012 sa v </w:t>
      </w:r>
      <w:r>
        <w:rPr>
          <w:rFonts w:hint="default"/>
          <w:shd w:val="clear" w:color="auto" w:fill="FFFFFF"/>
        </w:rPr>
        <w:t>Slovenskej republike uskutoč</w:t>
      </w:r>
      <w:r>
        <w:rPr>
          <w:rFonts w:hint="default"/>
          <w:shd w:val="clear" w:color="auto" w:fill="FFFFFF"/>
        </w:rPr>
        <w:t xml:space="preserve">nila Misia </w:t>
      </w:r>
      <w:r w:rsidRPr="00AD1A65">
        <w:rPr>
          <w:shd w:val="clear" w:color="auto" w:fill="FFFFFF"/>
        </w:rPr>
        <w:t>Integrated Regulatory Review S</w:t>
      </w:r>
      <w:r w:rsidRPr="00AD1A65">
        <w:rPr>
          <w:shd w:val="clear" w:color="auto" w:fill="FFFFFF"/>
        </w:rPr>
        <w:t>ervice</w:t>
      </w:r>
      <w:r>
        <w:rPr>
          <w:rFonts w:hint="default"/>
          <w:shd w:val="clear" w:color="auto" w:fill="FFFFFF"/>
        </w:rPr>
        <w:t>. Jej ú</w:t>
      </w:r>
      <w:r>
        <w:rPr>
          <w:rFonts w:hint="default"/>
          <w:shd w:val="clear" w:color="auto" w:fill="FFFFFF"/>
        </w:rPr>
        <w:t>lohou bolo vzá</w:t>
      </w:r>
      <w:r>
        <w:rPr>
          <w:rFonts w:hint="default"/>
          <w:shd w:val="clear" w:color="auto" w:fill="FFFFFF"/>
        </w:rPr>
        <w:t>jomné</w:t>
      </w:r>
      <w:r>
        <w:rPr>
          <w:rFonts w:hint="default"/>
          <w:shd w:val="clear" w:color="auto" w:fill="FFFFFF"/>
        </w:rPr>
        <w:t xml:space="preserve"> partnerské</w:t>
      </w:r>
      <w:r>
        <w:rPr>
          <w:rFonts w:hint="default"/>
          <w:shd w:val="clear" w:color="auto" w:fill="FFFFFF"/>
        </w:rPr>
        <w:t xml:space="preserve"> hodnotenie, ktoré</w:t>
      </w:r>
      <w:r>
        <w:rPr>
          <w:rFonts w:hint="default"/>
          <w:shd w:val="clear" w:color="auto" w:fill="FFFFFF"/>
        </w:rPr>
        <w:t xml:space="preserve"> vychá</w:t>
      </w:r>
      <w:r>
        <w:rPr>
          <w:rFonts w:hint="default"/>
          <w:shd w:val="clear" w:color="auto" w:fill="FFFFFF"/>
        </w:rPr>
        <w:t>dza z bezpeč</w:t>
      </w:r>
      <w:r>
        <w:rPr>
          <w:rFonts w:hint="default"/>
          <w:shd w:val="clear" w:color="auto" w:fill="FFFFFF"/>
        </w:rPr>
        <w:t>nostný</w:t>
      </w:r>
      <w:r>
        <w:rPr>
          <w:rFonts w:hint="default"/>
          <w:shd w:val="clear" w:color="auto" w:fill="FFFFFF"/>
        </w:rPr>
        <w:t xml:space="preserve">ch </w:t>
      </w:r>
      <w:r w:rsidRPr="00D46429">
        <w:rPr>
          <w:rFonts w:hint="default"/>
          <w:shd w:val="clear" w:color="auto" w:fill="FFFFFF"/>
        </w:rPr>
        <w:t>š</w:t>
      </w:r>
      <w:r w:rsidRPr="00D46429">
        <w:rPr>
          <w:rFonts w:hint="default"/>
          <w:shd w:val="clear" w:color="auto" w:fill="FFFFFF"/>
        </w:rPr>
        <w:t>tandardov M</w:t>
      </w:r>
      <w:r>
        <w:rPr>
          <w:rFonts w:hint="default"/>
          <w:shd w:val="clear" w:color="auto" w:fill="FFFFFF"/>
        </w:rPr>
        <w:t>edziná</w:t>
      </w:r>
      <w:r>
        <w:rPr>
          <w:rFonts w:hint="default"/>
          <w:shd w:val="clear" w:color="auto" w:fill="FFFFFF"/>
        </w:rPr>
        <w:t xml:space="preserve">rodnej </w:t>
      </w:r>
      <w:r w:rsidRPr="00AD1A65">
        <w:rPr>
          <w:rFonts w:hint="default"/>
        </w:rPr>
        <w:t>agentú</w:t>
      </w:r>
      <w:r w:rsidRPr="00AD1A65">
        <w:rPr>
          <w:rFonts w:hint="default"/>
        </w:rPr>
        <w:t>r</w:t>
      </w:r>
      <w:r>
        <w:t>y</w:t>
      </w:r>
      <w:r w:rsidRPr="00AD1A65">
        <w:rPr>
          <w:rFonts w:hint="default"/>
        </w:rPr>
        <w:t xml:space="preserve"> pre ató</w:t>
      </w:r>
      <w:r w:rsidRPr="00AD1A65">
        <w:rPr>
          <w:rFonts w:hint="default"/>
        </w:rPr>
        <w:t>movú</w:t>
      </w:r>
      <w:r w:rsidRPr="00AD1A65">
        <w:rPr>
          <w:rFonts w:hint="default"/>
        </w:rPr>
        <w:t xml:space="preserve"> energiu</w:t>
      </w:r>
      <w:r w:rsidRPr="00D4642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rFonts w:hint="default"/>
        </w:rPr>
        <w:t>Expertný</w:t>
      </w:r>
      <w:r>
        <w:rPr>
          <w:rFonts w:hint="default"/>
        </w:rPr>
        <w:t xml:space="preserve"> tí</w:t>
      </w:r>
      <w:r>
        <w:rPr>
          <w:rFonts w:hint="default"/>
        </w:rPr>
        <w:t>m konš</w:t>
      </w:r>
      <w:r>
        <w:rPr>
          <w:rFonts w:hint="default"/>
        </w:rPr>
        <w:t>tatoval, ž</w:t>
      </w:r>
      <w:r>
        <w:rPr>
          <w:rFonts w:hint="default"/>
        </w:rPr>
        <w:t>e Ú</w:t>
      </w:r>
      <w:r>
        <w:rPr>
          <w:rFonts w:hint="default"/>
        </w:rPr>
        <w:t>rad verejné</w:t>
      </w:r>
      <w:r>
        <w:rPr>
          <w:rFonts w:hint="default"/>
        </w:rPr>
        <w:t>ho zdravotní</w:t>
      </w:r>
      <w:r>
        <w:rPr>
          <w:rFonts w:hint="default"/>
        </w:rPr>
        <w:t>ctva Slovenskej republiky by mal zaviesť</w:t>
      </w:r>
      <w:r>
        <w:rPr>
          <w:rFonts w:hint="default"/>
        </w:rPr>
        <w:t xml:space="preserve"> program riadenia ľ</w:t>
      </w:r>
      <w:r>
        <w:rPr>
          <w:rFonts w:hint="default"/>
        </w:rPr>
        <w:t>u</w:t>
      </w:r>
      <w:r>
        <w:rPr>
          <w:rFonts w:hint="default"/>
        </w:rPr>
        <w:t>dský</w:t>
      </w:r>
      <w:r>
        <w:rPr>
          <w:rFonts w:hint="default"/>
        </w:rPr>
        <w:t>ch zdrojov, ktorý</w:t>
      </w:r>
      <w:r>
        <w:rPr>
          <w:rFonts w:hint="default"/>
        </w:rPr>
        <w:t xml:space="preserve"> zabezpečí</w:t>
      </w:r>
      <w:r>
        <w:rPr>
          <w:rFonts w:hint="default"/>
        </w:rPr>
        <w:t>, aby pracovní</w:t>
      </w:r>
      <w:r>
        <w:rPr>
          <w:rFonts w:hint="default"/>
        </w:rPr>
        <w:t>ci mohli vykoná</w:t>
      </w:r>
      <w:r>
        <w:rPr>
          <w:rFonts w:hint="default"/>
        </w:rPr>
        <w:t>vať</w:t>
      </w:r>
      <w:r>
        <w:rPr>
          <w:rFonts w:hint="default"/>
        </w:rPr>
        <w:t xml:space="preserve"> predpokladané</w:t>
      </w:r>
      <w:r>
        <w:rPr>
          <w:rFonts w:hint="default"/>
        </w:rPr>
        <w:t xml:space="preserve"> č</w:t>
      </w:r>
      <w:r>
        <w:rPr>
          <w:rFonts w:hint="default"/>
        </w:rPr>
        <w:t>innosti, ktoré</w:t>
      </w:r>
      <w:r>
        <w:rPr>
          <w:rFonts w:hint="default"/>
        </w:rPr>
        <w:t xml:space="preserve"> sa venujú</w:t>
      </w:r>
      <w:r>
        <w:rPr>
          <w:rFonts w:hint="default"/>
        </w:rPr>
        <w:t xml:space="preserve"> súč</w:t>
      </w:r>
      <w:r>
        <w:rPr>
          <w:rFonts w:hint="default"/>
        </w:rPr>
        <w:t>asné</w:t>
      </w:r>
      <w:r>
        <w:rPr>
          <w:rFonts w:hint="default"/>
        </w:rPr>
        <w:t>mu a budú</w:t>
      </w:r>
      <w:r>
        <w:rPr>
          <w:rFonts w:hint="default"/>
        </w:rPr>
        <w:t>cemu rozší</w:t>
      </w:r>
      <w:r>
        <w:rPr>
          <w:rFonts w:hint="default"/>
        </w:rPr>
        <w:t>rené</w:t>
      </w:r>
      <w:r>
        <w:rPr>
          <w:rFonts w:hint="default"/>
        </w:rPr>
        <w:t>mu využ</w:t>
      </w:r>
      <w:r>
        <w:rPr>
          <w:rFonts w:hint="default"/>
        </w:rPr>
        <w:t>itiu jadrovej energie na Slovensku, aby boli zachované</w:t>
      </w:r>
      <w:r>
        <w:rPr>
          <w:rFonts w:hint="default"/>
        </w:rPr>
        <w:t xml:space="preserve"> š</w:t>
      </w:r>
      <w:r>
        <w:rPr>
          <w:rFonts w:hint="default"/>
        </w:rPr>
        <w:t>pecifické</w:t>
      </w:r>
      <w:r>
        <w:rPr>
          <w:rFonts w:hint="default"/>
        </w:rPr>
        <w:t xml:space="preserve"> znalosti a skú</w:t>
      </w:r>
      <w:r>
        <w:rPr>
          <w:rFonts w:hint="default"/>
        </w:rPr>
        <w:t>senosti v oblasti radiač</w:t>
      </w:r>
      <w:r>
        <w:rPr>
          <w:rFonts w:hint="default"/>
        </w:rPr>
        <w:t>nej ochran</w:t>
      </w:r>
      <w:r>
        <w:rPr>
          <w:rFonts w:hint="default"/>
        </w:rPr>
        <w:t>y</w:t>
      </w:r>
      <w:r>
        <w:rPr>
          <w:rFonts w:hint="default"/>
        </w:rPr>
        <w:t xml:space="preserve"> pracovní</w:t>
      </w:r>
      <w:r>
        <w:rPr>
          <w:rFonts w:hint="default"/>
        </w:rPr>
        <w:t>kov. Pre vý</w:t>
      </w:r>
      <w:r>
        <w:rPr>
          <w:rFonts w:hint="default"/>
        </w:rPr>
        <w:t>kon svojich inš</w:t>
      </w:r>
      <w:r>
        <w:rPr>
          <w:rFonts w:hint="default"/>
        </w:rPr>
        <w:t>pekcií</w:t>
      </w:r>
      <w:r>
        <w:rPr>
          <w:rFonts w:hint="default"/>
        </w:rPr>
        <w:t xml:space="preserve"> v </w:t>
      </w:r>
      <w:r>
        <w:rPr>
          <w:rFonts w:hint="default"/>
        </w:rPr>
        <w:t>oblasti radiač</w:t>
      </w:r>
      <w:r>
        <w:rPr>
          <w:rFonts w:hint="default"/>
        </w:rPr>
        <w:t>nej ochrany potrebuje Ú</w:t>
      </w:r>
      <w:r>
        <w:rPr>
          <w:rFonts w:hint="default"/>
        </w:rPr>
        <w:t>rad verejné</w:t>
      </w:r>
      <w:r>
        <w:rPr>
          <w:rFonts w:hint="default"/>
        </w:rPr>
        <w:t>ho zdravotní</w:t>
      </w:r>
      <w:r>
        <w:rPr>
          <w:rFonts w:hint="default"/>
        </w:rPr>
        <w:t>ctva Slovenskej republiky doplniť</w:t>
      </w:r>
      <w:r>
        <w:rPr>
          <w:rFonts w:hint="default"/>
        </w:rPr>
        <w:t xml:space="preserve"> </w:t>
      </w:r>
      <w:r w:rsidR="00290D46">
        <w:rPr>
          <w:rFonts w:hint="default"/>
        </w:rPr>
        <w:t>kvalifikovaní</w:t>
      </w:r>
      <w:r>
        <w:rPr>
          <w:rFonts w:hint="default"/>
        </w:rPr>
        <w:t xml:space="preserve"> personá</w:t>
      </w:r>
      <w:r>
        <w:rPr>
          <w:rFonts w:hint="default"/>
        </w:rPr>
        <w:t>l a </w:t>
      </w:r>
      <w:r>
        <w:rPr>
          <w:rFonts w:hint="default"/>
        </w:rPr>
        <w:t>obnoviť</w:t>
      </w:r>
      <w:r>
        <w:rPr>
          <w:rFonts w:hint="default"/>
        </w:rPr>
        <w:t xml:space="preserve"> </w:t>
      </w:r>
      <w:r w:rsidR="00290D46">
        <w:t>meraciu techniku</w:t>
      </w:r>
      <w:r w:rsidR="00845454">
        <w:rPr>
          <w:rFonts w:hint="default"/>
        </w:rPr>
        <w:t>, prí</w:t>
      </w:r>
      <w:r w:rsidR="00845454">
        <w:rPr>
          <w:rFonts w:hint="default"/>
        </w:rPr>
        <w:t>stroje</w:t>
      </w:r>
      <w:r>
        <w:t xml:space="preserve"> a </w:t>
      </w:r>
      <w:r>
        <w:rPr>
          <w:rFonts w:hint="default"/>
        </w:rPr>
        <w:t>materiá</w:t>
      </w:r>
      <w:r>
        <w:rPr>
          <w:rFonts w:hint="default"/>
        </w:rPr>
        <w:t>lno-technické</w:t>
      </w:r>
      <w:r>
        <w:rPr>
          <w:rFonts w:hint="default"/>
        </w:rPr>
        <w:t xml:space="preserve"> vybavenie.</w:t>
      </w:r>
    </w:p>
    <w:p w:rsidR="00342C1B" w:rsidP="007D1264">
      <w:pPr>
        <w:bidi w:val="0"/>
        <w:ind w:firstLine="426"/>
        <w:jc w:val="both"/>
        <w:rPr>
          <w:rFonts w:hint="default"/>
        </w:rPr>
      </w:pPr>
      <w:r w:rsidRPr="00D46429">
        <w:rPr>
          <w:rStyle w:val="apple-converted-space"/>
          <w:rFonts w:hint="default"/>
          <w:shd w:val="clear" w:color="auto" w:fill="FFFFFF"/>
        </w:rPr>
        <w:t>Zá</w:t>
      </w:r>
      <w:r w:rsidRPr="00D46429">
        <w:rPr>
          <w:rStyle w:val="apple-converted-space"/>
          <w:rFonts w:hint="default"/>
          <w:shd w:val="clear" w:color="auto" w:fill="FFFFFF"/>
        </w:rPr>
        <w:t xml:space="preserve">verom Misie </w:t>
      </w:r>
      <w:r w:rsidRPr="00AD1A65">
        <w:rPr>
          <w:shd w:val="clear" w:color="auto" w:fill="FFFFFF"/>
        </w:rPr>
        <w:t>Integrate</w:t>
      </w:r>
      <w:r w:rsidRPr="00AD1A65">
        <w:rPr>
          <w:shd w:val="clear" w:color="auto" w:fill="FFFFFF"/>
        </w:rPr>
        <w:t>d Regulatory Review Service</w:t>
      </w:r>
      <w:r>
        <w:rPr>
          <w:rStyle w:val="apple-converted-space"/>
          <w:rFonts w:hint="default"/>
          <w:shd w:val="clear" w:color="auto" w:fill="FFFFFF"/>
        </w:rPr>
        <w:t xml:space="preserve"> 2012 bolo, ž</w:t>
      </w:r>
      <w:r>
        <w:rPr>
          <w:rStyle w:val="apple-converted-space"/>
          <w:rFonts w:hint="default"/>
          <w:shd w:val="clear" w:color="auto" w:fill="FFFFFF"/>
        </w:rPr>
        <w:t xml:space="preserve">e </w:t>
      </w:r>
      <w:r>
        <w:rPr>
          <w:rFonts w:hint="default"/>
        </w:rPr>
        <w:t>Ú</w:t>
      </w:r>
      <w:r>
        <w:rPr>
          <w:rFonts w:hint="default"/>
        </w:rPr>
        <w:t>rad verejné</w:t>
      </w:r>
      <w:r>
        <w:rPr>
          <w:rFonts w:hint="default"/>
        </w:rPr>
        <w:t>ho zdravotní</w:t>
      </w:r>
      <w:r>
        <w:rPr>
          <w:rFonts w:hint="default"/>
        </w:rPr>
        <w:t>ctva Slovenskej republiky, aj napriek tomu, ž</w:t>
      </w:r>
      <w:r>
        <w:rPr>
          <w:rFonts w:hint="default"/>
        </w:rPr>
        <w:t>e koná</w:t>
      </w:r>
      <w:r>
        <w:rPr>
          <w:rFonts w:hint="default"/>
        </w:rPr>
        <w:t xml:space="preserve"> ako dozorný</w:t>
      </w:r>
      <w:r>
        <w:rPr>
          <w:rFonts w:hint="default"/>
        </w:rPr>
        <w:t xml:space="preserve"> orgá</w:t>
      </w:r>
      <w:r>
        <w:rPr>
          <w:rFonts w:hint="default"/>
        </w:rPr>
        <w:t>n pre radiač</w:t>
      </w:r>
      <w:r>
        <w:rPr>
          <w:rFonts w:hint="default"/>
        </w:rPr>
        <w:t>nú</w:t>
      </w:r>
      <w:r>
        <w:rPr>
          <w:rFonts w:hint="default"/>
        </w:rPr>
        <w:t xml:space="preserve"> ochranu v Slovenskej republike a má</w:t>
      </w:r>
      <w:r>
        <w:rPr>
          <w:rFonts w:hint="default"/>
        </w:rPr>
        <w:t xml:space="preserve"> pridelené</w:t>
      </w:r>
      <w:r>
        <w:rPr>
          <w:rFonts w:hint="default"/>
        </w:rPr>
        <w:t xml:space="preserve"> ú</w:t>
      </w:r>
      <w:r>
        <w:rPr>
          <w:rFonts w:hint="default"/>
        </w:rPr>
        <w:t>lohy a zodpovednosti pre havarijnú</w:t>
      </w:r>
      <w:r>
        <w:rPr>
          <w:rFonts w:hint="default"/>
        </w:rPr>
        <w:t xml:space="preserve"> pripravenosť</w:t>
      </w:r>
      <w:r>
        <w:rPr>
          <w:rFonts w:hint="default"/>
        </w:rPr>
        <w:t xml:space="preserve"> a odozvu na </w:t>
      </w:r>
      <w:r>
        <w:rPr>
          <w:rFonts w:hint="default"/>
        </w:rPr>
        <w:t>radiač</w:t>
      </w:r>
      <w:r>
        <w:rPr>
          <w:rFonts w:hint="default"/>
        </w:rPr>
        <w:t>né</w:t>
      </w:r>
      <w:r>
        <w:rPr>
          <w:rFonts w:hint="default"/>
        </w:rPr>
        <w:t xml:space="preserve"> ohrozenie, nedisponuje operač</w:t>
      </w:r>
      <w:r>
        <w:rPr>
          <w:rFonts w:hint="default"/>
        </w:rPr>
        <w:t>ný</w:t>
      </w:r>
      <w:r>
        <w:rPr>
          <w:rFonts w:hint="default"/>
        </w:rPr>
        <w:t>m havarijný</w:t>
      </w:r>
      <w:r>
        <w:rPr>
          <w:rFonts w:hint="default"/>
        </w:rPr>
        <w:t>m strediskom a logistikou pre ná</w:t>
      </w:r>
      <w:r>
        <w:rPr>
          <w:rFonts w:hint="default"/>
        </w:rPr>
        <w:t>lež</w:t>
      </w:r>
      <w:r>
        <w:rPr>
          <w:rFonts w:hint="default"/>
        </w:rPr>
        <w:t>ité</w:t>
      </w:r>
      <w:r>
        <w:rPr>
          <w:rFonts w:hint="default"/>
        </w:rPr>
        <w:t xml:space="preserve"> vyhodnocovanie a posudzovanie jadrový</w:t>
      </w:r>
      <w:r>
        <w:rPr>
          <w:rFonts w:hint="default"/>
        </w:rPr>
        <w:t>ch havarijný</w:t>
      </w:r>
      <w:r>
        <w:rPr>
          <w:rFonts w:hint="default"/>
        </w:rPr>
        <w:t>ch situá</w:t>
      </w:r>
      <w:r>
        <w:rPr>
          <w:rFonts w:hint="default"/>
        </w:rPr>
        <w:t>cií</w:t>
      </w:r>
      <w:r>
        <w:rPr>
          <w:rFonts w:hint="default"/>
        </w:rPr>
        <w:t>. Upozornili na potrebu budovania ná</w:t>
      </w:r>
      <w:r>
        <w:rPr>
          <w:rFonts w:hint="default"/>
        </w:rPr>
        <w:t>rodné</w:t>
      </w:r>
      <w:r>
        <w:rPr>
          <w:rFonts w:hint="default"/>
        </w:rPr>
        <w:t>ho centra pre monitorovanie radiač</w:t>
      </w:r>
      <w:r>
        <w:rPr>
          <w:rFonts w:hint="default"/>
        </w:rPr>
        <w:t xml:space="preserve">nej </w:t>
      </w:r>
      <w:r w:rsidRPr="00EC368F">
        <w:rPr>
          <w:rFonts w:hint="default"/>
        </w:rPr>
        <w:t>situá</w:t>
      </w:r>
      <w:r w:rsidRPr="00EC368F">
        <w:rPr>
          <w:rFonts w:hint="default"/>
        </w:rPr>
        <w:t>cie (Ú</w:t>
      </w:r>
      <w:r w:rsidRPr="00EC368F">
        <w:rPr>
          <w:rFonts w:hint="default"/>
        </w:rPr>
        <w:t>stredie radiač</w:t>
      </w:r>
      <w:r w:rsidRPr="00EC368F">
        <w:rPr>
          <w:rFonts w:hint="default"/>
        </w:rPr>
        <w:t>ne</w:t>
      </w:r>
      <w:r w:rsidRPr="00EC368F">
        <w:rPr>
          <w:rFonts w:hint="default"/>
        </w:rPr>
        <w:t>j monitorovacej siete), ktoré</w:t>
      </w:r>
      <w:r w:rsidRPr="00EC368F">
        <w:rPr>
          <w:rFonts w:hint="default"/>
        </w:rPr>
        <w:t xml:space="preserve"> b</w:t>
      </w:r>
      <w:r>
        <w:rPr>
          <w:rFonts w:hint="default"/>
        </w:rPr>
        <w:t>y slúž</w:t>
      </w:r>
      <w:r>
        <w:rPr>
          <w:rFonts w:hint="default"/>
        </w:rPr>
        <w:t>ilo pre zber, overovanie a vyhodnocovanie ú</w:t>
      </w:r>
      <w:r>
        <w:rPr>
          <w:rFonts w:hint="default"/>
        </w:rPr>
        <w:t>dajov z radiač</w:t>
      </w:r>
      <w:r>
        <w:rPr>
          <w:rFonts w:hint="default"/>
        </w:rPr>
        <w:t>né</w:t>
      </w:r>
      <w:r>
        <w:rPr>
          <w:rFonts w:hint="default"/>
        </w:rPr>
        <w:t>ho monitorovania a na vypracovanie odporúč</w:t>
      </w:r>
      <w:r>
        <w:rPr>
          <w:rFonts w:hint="default"/>
        </w:rPr>
        <w:t>aní</w:t>
      </w:r>
      <w:r>
        <w:rPr>
          <w:rFonts w:hint="default"/>
        </w:rPr>
        <w:t xml:space="preserve"> pre ochranu obyvateľ</w:t>
      </w:r>
      <w:r>
        <w:rPr>
          <w:rFonts w:hint="default"/>
        </w:rPr>
        <w:t>ov v prí</w:t>
      </w:r>
      <w:r>
        <w:rPr>
          <w:rFonts w:hint="default"/>
        </w:rPr>
        <w:t>pade mimoriadnej radiač</w:t>
      </w:r>
      <w:r>
        <w:rPr>
          <w:rFonts w:hint="default"/>
        </w:rPr>
        <w:t>nej situá</w:t>
      </w:r>
      <w:r>
        <w:rPr>
          <w:rFonts w:hint="default"/>
        </w:rPr>
        <w:t>cie.</w:t>
      </w:r>
    </w:p>
    <w:p w:rsidR="00342C1B" w:rsidP="007D1264">
      <w:pPr>
        <w:bidi w:val="0"/>
        <w:ind w:firstLine="426"/>
        <w:jc w:val="both"/>
        <w:rPr>
          <w:rFonts w:hint="default"/>
        </w:rPr>
      </w:pPr>
      <w:r>
        <w:rPr>
          <w:rFonts w:hint="default"/>
        </w:rPr>
        <w:t>Expertný</w:t>
      </w:r>
      <w:r>
        <w:rPr>
          <w:rFonts w:hint="default"/>
        </w:rPr>
        <w:t xml:space="preserve"> tí</w:t>
      </w:r>
      <w:r>
        <w:rPr>
          <w:rFonts w:hint="default"/>
        </w:rPr>
        <w:t>m Misie Integrated Regulatory Review F</w:t>
      </w:r>
      <w:r>
        <w:rPr>
          <w:rFonts w:hint="default"/>
        </w:rPr>
        <w:t>ollow-up, ktorá</w:t>
      </w:r>
      <w:r>
        <w:rPr>
          <w:rFonts w:hint="default"/>
        </w:rPr>
        <w:t xml:space="preserve"> sa konala v </w:t>
      </w:r>
      <w:r>
        <w:rPr>
          <w:rFonts w:hint="default"/>
        </w:rPr>
        <w:t>roku 2015 konš</w:t>
      </w:r>
      <w:r>
        <w:rPr>
          <w:rFonts w:hint="default"/>
        </w:rPr>
        <w:t>tatoval opäť</w:t>
      </w:r>
      <w:r w:rsidR="0015154A">
        <w:t>,</w:t>
      </w:r>
      <w:r>
        <w:rPr>
          <w:rFonts w:hint="default"/>
        </w:rPr>
        <w:t xml:space="preserve"> už</w:t>
      </w:r>
      <w:r>
        <w:rPr>
          <w:rFonts w:hint="default"/>
        </w:rPr>
        <w:t xml:space="preserve"> </w:t>
      </w:r>
      <w:r w:rsidR="0015154A">
        <w:rPr>
          <w:rFonts w:hint="default"/>
        </w:rPr>
        <w:t>tie isté</w:t>
      </w:r>
      <w:r w:rsidR="0015154A">
        <w:rPr>
          <w:rFonts w:hint="default"/>
        </w:rPr>
        <w:t xml:space="preserve"> </w:t>
      </w:r>
      <w:r>
        <w:rPr>
          <w:rFonts w:hint="default"/>
        </w:rPr>
        <w:t>definované</w:t>
      </w:r>
      <w:r>
        <w:rPr>
          <w:rFonts w:hint="default"/>
        </w:rPr>
        <w:t xml:space="preserve"> zá</w:t>
      </w:r>
      <w:r>
        <w:rPr>
          <w:rFonts w:hint="default"/>
        </w:rPr>
        <w:t>very.</w:t>
      </w:r>
    </w:p>
    <w:p w:rsidR="004E1D1D" w:rsidP="004E1D1D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roveň</w:t>
      </w:r>
      <w:r>
        <w:rPr>
          <w:rFonts w:hint="default"/>
        </w:rPr>
        <w:t xml:space="preserve"> vý</w:t>
      </w:r>
      <w:r>
        <w:rPr>
          <w:rFonts w:hint="default"/>
        </w:rPr>
        <w:t>sledkom cvič</w:t>
      </w:r>
      <w:r>
        <w:rPr>
          <w:rFonts w:hint="default"/>
        </w:rPr>
        <w:t>enia INEX 5, ktoré</w:t>
      </w:r>
      <w:r>
        <w:rPr>
          <w:rFonts w:hint="default"/>
        </w:rPr>
        <w:t>ho vykonanie nariadilo OECD/NEA, boli vyšš</w:t>
      </w:r>
      <w:r>
        <w:rPr>
          <w:rFonts w:hint="default"/>
        </w:rPr>
        <w:t>ie uvedené</w:t>
      </w:r>
      <w:r>
        <w:rPr>
          <w:rFonts w:hint="default"/>
        </w:rPr>
        <w:t xml:space="preserve"> nedostatky a </w:t>
      </w:r>
      <w:r>
        <w:rPr>
          <w:rFonts w:hint="default"/>
        </w:rPr>
        <w:t>uznesenie vlá</w:t>
      </w:r>
      <w:r>
        <w:rPr>
          <w:rFonts w:hint="default"/>
        </w:rPr>
        <w:t>dy č</w:t>
      </w:r>
      <w:r>
        <w:rPr>
          <w:rFonts w:hint="default"/>
        </w:rPr>
        <w:t>. 536/2016.</w:t>
      </w:r>
    </w:p>
    <w:p w:rsidR="00342C1B" w:rsidP="007D1264">
      <w:pPr>
        <w:bidi w:val="0"/>
        <w:ind w:firstLine="426"/>
        <w:jc w:val="both"/>
        <w:rPr>
          <w:rFonts w:hint="default"/>
        </w:rPr>
      </w:pPr>
      <w:r>
        <w:rPr>
          <w:rFonts w:hint="default"/>
        </w:rPr>
        <w:t>Dobudované</w:t>
      </w:r>
      <w:r>
        <w:rPr>
          <w:rFonts w:hint="default"/>
        </w:rPr>
        <w:t xml:space="preserve"> ú</w:t>
      </w:r>
      <w:r>
        <w:rPr>
          <w:rFonts w:hint="default"/>
        </w:rPr>
        <w:t>stredie radiač</w:t>
      </w:r>
      <w:r>
        <w:rPr>
          <w:rFonts w:hint="default"/>
        </w:rPr>
        <w:t>nej monitorovacej siete na Ú</w:t>
      </w:r>
      <w:r>
        <w:rPr>
          <w:rFonts w:hint="default"/>
        </w:rPr>
        <w:t>rade verejné</w:t>
      </w:r>
      <w:r>
        <w:rPr>
          <w:rFonts w:hint="default"/>
        </w:rPr>
        <w:t>ho zdravotní</w:t>
      </w:r>
      <w:r>
        <w:rPr>
          <w:rFonts w:hint="default"/>
        </w:rPr>
        <w:t>ctva Slovenskej republiky spolupracuje s </w:t>
      </w:r>
      <w:r>
        <w:rPr>
          <w:rFonts w:hint="default"/>
        </w:rPr>
        <w:t>centrom havarijnej odozvy na Ú</w:t>
      </w:r>
      <w:r>
        <w:rPr>
          <w:rFonts w:hint="default"/>
        </w:rPr>
        <w:t>rade jadrové</w:t>
      </w:r>
      <w:r>
        <w:rPr>
          <w:rFonts w:hint="default"/>
        </w:rPr>
        <w:t>ho dozoru Slovenskej republiky, ich ú</w:t>
      </w:r>
      <w:r>
        <w:rPr>
          <w:rFonts w:hint="default"/>
        </w:rPr>
        <w:t>lohy sa neprekrý</w:t>
      </w:r>
      <w:r>
        <w:rPr>
          <w:rFonts w:hint="default"/>
        </w:rPr>
        <w:t>vajú</w:t>
      </w:r>
      <w:r>
        <w:rPr>
          <w:rFonts w:hint="default"/>
        </w:rPr>
        <w:t>, ale dopĺň</w:t>
      </w:r>
      <w:r>
        <w:rPr>
          <w:rFonts w:hint="default"/>
        </w:rPr>
        <w:t>ajú</w:t>
      </w:r>
      <w:r>
        <w:rPr>
          <w:rFonts w:hint="default"/>
        </w:rPr>
        <w:t>. K </w:t>
      </w:r>
      <w:r>
        <w:rPr>
          <w:rFonts w:hint="default"/>
        </w:rPr>
        <w:t>duplicite kompetencií</w:t>
      </w:r>
      <w:r>
        <w:rPr>
          <w:rFonts w:hint="default"/>
        </w:rPr>
        <w:t xml:space="preserve"> a </w:t>
      </w:r>
      <w:r>
        <w:rPr>
          <w:rFonts w:hint="default"/>
        </w:rPr>
        <w:t>č</w:t>
      </w:r>
      <w:r>
        <w:rPr>
          <w:rFonts w:hint="default"/>
        </w:rPr>
        <w:t>inností</w:t>
      </w:r>
      <w:r>
        <w:rPr>
          <w:rFonts w:hint="default"/>
        </w:rPr>
        <w:t xml:space="preserve"> nedochá</w:t>
      </w:r>
      <w:r>
        <w:rPr>
          <w:rFonts w:hint="default"/>
        </w:rPr>
        <w:t>dza.</w:t>
      </w:r>
    </w:p>
    <w:p w:rsidR="00342C1B" w:rsidP="007D1264">
      <w:pPr>
        <w:autoSpaceDE w:val="0"/>
        <w:autoSpaceDN w:val="0"/>
        <w:bidi w:val="0"/>
        <w:adjustRightInd w:val="0"/>
        <w:ind w:firstLine="426"/>
        <w:jc w:val="both"/>
      </w:pPr>
      <w:r w:rsidRPr="00EC368F">
        <w:t>F</w:t>
      </w:r>
      <w:r w:rsidRPr="00EC368F">
        <w:rPr>
          <w:rFonts w:hint="default"/>
        </w:rPr>
        <w:t>inancovanie ú</w:t>
      </w:r>
      <w:r w:rsidRPr="00EC368F">
        <w:rPr>
          <w:rFonts w:hint="default"/>
        </w:rPr>
        <w:t>stredia radiač</w:t>
      </w:r>
      <w:r w:rsidRPr="00EC368F">
        <w:rPr>
          <w:rFonts w:hint="default"/>
        </w:rPr>
        <w:t>nej monitorovacej siete a zlož</w:t>
      </w:r>
      <w:r w:rsidRPr="00EC368F">
        <w:rPr>
          <w:rFonts w:hint="default"/>
        </w:rPr>
        <w:t>iek radiač</w:t>
      </w:r>
      <w:r w:rsidRPr="00EC368F">
        <w:rPr>
          <w:rFonts w:hint="default"/>
        </w:rPr>
        <w:t>nej monitorovacej siete v súč</w:t>
      </w:r>
      <w:r w:rsidRPr="00EC368F">
        <w:rPr>
          <w:rFonts w:hint="default"/>
        </w:rPr>
        <w:t>asnosti nie je vyrieš</w:t>
      </w:r>
      <w:r w:rsidRPr="00EC368F">
        <w:rPr>
          <w:rFonts w:hint="default"/>
        </w:rPr>
        <w:t>ené</w:t>
      </w:r>
      <w:r w:rsidRPr="00EC368F">
        <w:rPr>
          <w:rFonts w:hint="default"/>
        </w:rPr>
        <w:t xml:space="preserve"> a podlieha rozpoč</w:t>
      </w:r>
      <w:r w:rsidRPr="00EC368F">
        <w:rPr>
          <w:rFonts w:hint="default"/>
        </w:rPr>
        <w:t>t</w:t>
      </w:r>
      <w:r w:rsidR="00845454">
        <w:t>u</w:t>
      </w:r>
      <w:r w:rsidRPr="00EC368F">
        <w:rPr>
          <w:rFonts w:hint="default"/>
        </w:rPr>
        <w:t xml:space="preserve"> Ú</w:t>
      </w:r>
      <w:r w:rsidRPr="00EC368F">
        <w:rPr>
          <w:rFonts w:hint="default"/>
        </w:rPr>
        <w:t>rad verejné</w:t>
      </w:r>
      <w:r w:rsidRPr="00EC368F">
        <w:rPr>
          <w:rFonts w:hint="default"/>
        </w:rPr>
        <w:t>ho zdravotní</w:t>
      </w:r>
      <w:r w:rsidRPr="00EC368F">
        <w:rPr>
          <w:rFonts w:hint="default"/>
        </w:rPr>
        <w:t xml:space="preserve">ctva Slovenskej republiky, </w:t>
      </w:r>
      <w:r w:rsidR="00845454">
        <w:t>R</w:t>
      </w:r>
      <w:r w:rsidRPr="00EC368F">
        <w:rPr>
          <w:rFonts w:hint="default"/>
        </w:rPr>
        <w:t>egioná</w:t>
      </w:r>
      <w:r w:rsidRPr="00EC368F">
        <w:rPr>
          <w:rFonts w:hint="default"/>
        </w:rPr>
        <w:t>lny ú</w:t>
      </w:r>
      <w:r w:rsidRPr="00EC368F">
        <w:rPr>
          <w:rFonts w:hint="default"/>
        </w:rPr>
        <w:t>rad verejné</w:t>
      </w:r>
      <w:r w:rsidRPr="00EC368F">
        <w:rPr>
          <w:rFonts w:hint="default"/>
        </w:rPr>
        <w:t>ho zdravotní</w:t>
      </w:r>
      <w:r w:rsidRPr="00EC368F">
        <w:rPr>
          <w:rFonts w:hint="default"/>
        </w:rPr>
        <w:t xml:space="preserve">ctva hl. m. Bratislava, </w:t>
      </w:r>
      <w:r w:rsidR="00845454">
        <w:t>R</w:t>
      </w:r>
      <w:r w:rsidRPr="00EC368F">
        <w:t>egio</w:t>
      </w:r>
      <w:r w:rsidRPr="00EC368F">
        <w:rPr>
          <w:rFonts w:hint="default"/>
        </w:rPr>
        <w:t>ná</w:t>
      </w:r>
      <w:r w:rsidRPr="00EC368F">
        <w:rPr>
          <w:rFonts w:hint="default"/>
        </w:rPr>
        <w:t>lny ú</w:t>
      </w:r>
      <w:r w:rsidRPr="00EC368F">
        <w:rPr>
          <w:rFonts w:hint="default"/>
        </w:rPr>
        <w:t>rad verejné</w:t>
      </w:r>
      <w:r w:rsidRPr="00EC368F">
        <w:rPr>
          <w:rFonts w:hint="default"/>
        </w:rPr>
        <w:t>ho zdravotní</w:t>
      </w:r>
      <w:r w:rsidRPr="00EC368F">
        <w:rPr>
          <w:rFonts w:hint="default"/>
        </w:rPr>
        <w:t>ctva so sí</w:t>
      </w:r>
      <w:r w:rsidRPr="00EC368F">
        <w:rPr>
          <w:rFonts w:hint="default"/>
        </w:rPr>
        <w:t xml:space="preserve">dlom v Nitre, </w:t>
      </w:r>
      <w:r w:rsidR="00845454">
        <w:t>R</w:t>
      </w:r>
      <w:r w:rsidRPr="00EC368F">
        <w:rPr>
          <w:rFonts w:hint="default"/>
        </w:rPr>
        <w:t>egioná</w:t>
      </w:r>
      <w:r w:rsidRPr="00EC368F">
        <w:rPr>
          <w:rFonts w:hint="default"/>
        </w:rPr>
        <w:t>lny ú</w:t>
      </w:r>
      <w:r w:rsidRPr="00EC368F">
        <w:rPr>
          <w:rFonts w:hint="default"/>
        </w:rPr>
        <w:t>rad verejné</w:t>
      </w:r>
      <w:r w:rsidRPr="00EC368F">
        <w:rPr>
          <w:rFonts w:hint="default"/>
        </w:rPr>
        <w:t>ho zdravotní</w:t>
      </w:r>
      <w:r w:rsidRPr="00EC368F">
        <w:rPr>
          <w:rFonts w:hint="default"/>
        </w:rPr>
        <w:t>ctva so sí</w:t>
      </w:r>
      <w:r w:rsidRPr="00EC368F">
        <w:rPr>
          <w:rFonts w:hint="default"/>
        </w:rPr>
        <w:t xml:space="preserve">dlom v Banskej Bystrici, </w:t>
      </w:r>
      <w:r w:rsidR="00845454">
        <w:t>R</w:t>
      </w:r>
      <w:r w:rsidRPr="00EC368F">
        <w:rPr>
          <w:rFonts w:hint="default"/>
        </w:rPr>
        <w:t>egioná</w:t>
      </w:r>
      <w:r w:rsidRPr="00EC368F">
        <w:rPr>
          <w:rFonts w:hint="default"/>
        </w:rPr>
        <w:t>lny ú</w:t>
      </w:r>
      <w:r w:rsidRPr="00EC368F">
        <w:rPr>
          <w:rFonts w:hint="default"/>
        </w:rPr>
        <w:t>rad verejné</w:t>
      </w:r>
      <w:r w:rsidRPr="00EC368F">
        <w:rPr>
          <w:rFonts w:hint="default"/>
        </w:rPr>
        <w:t>ho zdravotní</w:t>
      </w:r>
      <w:r w:rsidRPr="00EC368F">
        <w:rPr>
          <w:rFonts w:hint="default"/>
        </w:rPr>
        <w:t>ctva so sí</w:t>
      </w:r>
      <w:r w:rsidRPr="00EC368F">
        <w:rPr>
          <w:rFonts w:hint="default"/>
        </w:rPr>
        <w:t>dlom v Koš</w:t>
      </w:r>
      <w:r w:rsidRPr="00EC368F">
        <w:rPr>
          <w:rFonts w:hint="default"/>
        </w:rPr>
        <w:t xml:space="preserve">iciach a </w:t>
      </w:r>
      <w:r w:rsidR="00845454">
        <w:rPr>
          <w:rFonts w:hint="default"/>
        </w:rPr>
        <w:t>rozpoč</w:t>
      </w:r>
      <w:r w:rsidR="00845454">
        <w:rPr>
          <w:rFonts w:hint="default"/>
        </w:rPr>
        <w:t>tom</w:t>
      </w:r>
      <w:r w:rsidRPr="00EC368F">
        <w:rPr>
          <w:rFonts w:hint="default"/>
        </w:rPr>
        <w:t>, ktorý</w:t>
      </w:r>
      <w:r w:rsidRPr="00EC368F">
        <w:rPr>
          <w:rFonts w:hint="default"/>
        </w:rPr>
        <w:t>mi sa riadia zlož</w:t>
      </w:r>
      <w:r w:rsidRPr="00EC368F">
        <w:rPr>
          <w:rFonts w:hint="default"/>
        </w:rPr>
        <w:t>ky radiač</w:t>
      </w:r>
      <w:r w:rsidRPr="00EC368F">
        <w:rPr>
          <w:rFonts w:hint="default"/>
        </w:rPr>
        <w:t xml:space="preserve">nej monitorovacej siete v </w:t>
      </w:r>
      <w:r w:rsidRPr="00EC368F">
        <w:rPr>
          <w:rFonts w:hint="default"/>
        </w:rPr>
        <w:t>iný</w:t>
      </w:r>
      <w:r w:rsidRPr="00EC368F">
        <w:rPr>
          <w:rFonts w:hint="default"/>
        </w:rPr>
        <w:t>ch rezortoch</w:t>
      </w:r>
      <w:r w:rsidRPr="00560844">
        <w:t xml:space="preserve">. </w:t>
      </w:r>
      <w:r w:rsidRPr="00560844" w:rsidR="00560844">
        <w:rPr>
          <w:rFonts w:hint="default"/>
        </w:rPr>
        <w:t>Schvá</w:t>
      </w:r>
      <w:r w:rsidRPr="00560844" w:rsidR="00560844">
        <w:rPr>
          <w:rFonts w:hint="default"/>
        </w:rPr>
        <w:t>lené</w:t>
      </w:r>
      <w:r w:rsidRPr="00560844" w:rsidR="00560844">
        <w:rPr>
          <w:rFonts w:hint="default"/>
        </w:rPr>
        <w:t xml:space="preserve"> rozpoč</w:t>
      </w:r>
      <w:r w:rsidRPr="00560844" w:rsidR="00560844">
        <w:rPr>
          <w:rFonts w:hint="default"/>
        </w:rPr>
        <w:t>ty vyšš</w:t>
      </w:r>
      <w:r w:rsidRPr="00560844" w:rsidR="00560844">
        <w:rPr>
          <w:rFonts w:hint="default"/>
        </w:rPr>
        <w:t>ie uvedený</w:t>
      </w:r>
      <w:r w:rsidRPr="00560844" w:rsidR="00560844">
        <w:rPr>
          <w:rFonts w:hint="default"/>
        </w:rPr>
        <w:t>ch subjektov nie sú</w:t>
      </w:r>
      <w:r w:rsidRPr="00560844" w:rsidR="00560844">
        <w:rPr>
          <w:rFonts w:hint="default"/>
        </w:rPr>
        <w:t xml:space="preserve"> dostatoč</w:t>
      </w:r>
      <w:r w:rsidRPr="00560844" w:rsidR="00560844">
        <w:rPr>
          <w:rFonts w:hint="default"/>
        </w:rPr>
        <w:t>né</w:t>
      </w:r>
      <w:r w:rsidRPr="00560844" w:rsidR="00560844">
        <w:rPr>
          <w:rFonts w:hint="default"/>
        </w:rPr>
        <w:t xml:space="preserve"> na plnohodnotné</w:t>
      </w:r>
      <w:r w:rsidRPr="00560844" w:rsidR="00560844">
        <w:rPr>
          <w:rFonts w:hint="default"/>
        </w:rPr>
        <w:t xml:space="preserve"> financovanie ú</w:t>
      </w:r>
      <w:r w:rsidRPr="00560844" w:rsidR="00560844">
        <w:rPr>
          <w:rFonts w:hint="default"/>
        </w:rPr>
        <w:t>stredia radiač</w:t>
      </w:r>
      <w:r w:rsidRPr="00560844" w:rsidR="00560844">
        <w:rPr>
          <w:rFonts w:hint="default"/>
        </w:rPr>
        <w:t>nej monitorovacej siete a </w:t>
      </w:r>
      <w:r w:rsidRPr="00560844" w:rsidR="00560844">
        <w:rPr>
          <w:rFonts w:hint="default"/>
        </w:rPr>
        <w:t>zlož</w:t>
      </w:r>
      <w:r w:rsidRPr="00560844" w:rsidR="00560844">
        <w:rPr>
          <w:rFonts w:hint="default"/>
        </w:rPr>
        <w:t>iek radiač</w:t>
      </w:r>
      <w:r w:rsidRPr="00560844" w:rsidR="00560844">
        <w:rPr>
          <w:rFonts w:hint="default"/>
        </w:rPr>
        <w:t>nej monitorovacej siete a </w:t>
      </w:r>
      <w:r w:rsidRPr="00560844" w:rsidR="00560844">
        <w:rPr>
          <w:rFonts w:hint="default"/>
        </w:rPr>
        <w:t>súč</w:t>
      </w:r>
      <w:r w:rsidRPr="00560844" w:rsidR="00560844">
        <w:rPr>
          <w:rFonts w:hint="default"/>
        </w:rPr>
        <w:t>asne objem disponibilný</w:t>
      </w:r>
      <w:r w:rsidRPr="00560844" w:rsidR="00560844">
        <w:rPr>
          <w:rFonts w:hint="default"/>
        </w:rPr>
        <w:t>ch zdrojov rozpoč</w:t>
      </w:r>
      <w:r w:rsidRPr="00560844" w:rsidR="00560844">
        <w:rPr>
          <w:rFonts w:hint="default"/>
        </w:rPr>
        <w:t xml:space="preserve">tu kapitoly </w:t>
      </w:r>
      <w:r w:rsidR="00560844">
        <w:rPr>
          <w:rFonts w:hint="default"/>
        </w:rPr>
        <w:t>Ministerstva zdravotní</w:t>
      </w:r>
      <w:r w:rsidR="00560844">
        <w:rPr>
          <w:rFonts w:hint="default"/>
        </w:rPr>
        <w:t>ctva Slovenskej republiky</w:t>
      </w:r>
      <w:r w:rsidRPr="00560844" w:rsidR="00560844">
        <w:rPr>
          <w:rFonts w:hint="default"/>
        </w:rPr>
        <w:t xml:space="preserve"> neumožň</w:t>
      </w:r>
      <w:r w:rsidRPr="00560844" w:rsidR="00560844">
        <w:rPr>
          <w:rFonts w:hint="default"/>
        </w:rPr>
        <w:t>uje navyš</w:t>
      </w:r>
      <w:r w:rsidRPr="00560844" w:rsidR="00560844">
        <w:rPr>
          <w:rFonts w:hint="default"/>
        </w:rPr>
        <w:t>ovanie ich finanč</w:t>
      </w:r>
      <w:r w:rsidRPr="00560844" w:rsidR="00560844">
        <w:rPr>
          <w:rFonts w:hint="default"/>
        </w:rPr>
        <w:t>ný</w:t>
      </w:r>
      <w:r w:rsidRPr="00560844" w:rsidR="00560844">
        <w:rPr>
          <w:rFonts w:hint="default"/>
        </w:rPr>
        <w:t>ch prostriedkov.</w:t>
      </w:r>
    </w:p>
    <w:p w:rsidR="004E1D1D" w:rsidP="004E1D1D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206A8">
        <w:rPr>
          <w:rFonts w:ascii="Times New Roman" w:hAnsi="Times New Roman" w:hint="default"/>
          <w:sz w:val="24"/>
          <w:szCs w:val="24"/>
        </w:rPr>
        <w:t>Ná</w:t>
      </w:r>
      <w:r w:rsidRPr="002206A8">
        <w:rPr>
          <w:rFonts w:ascii="Times New Roman" w:hAnsi="Times New Roman" w:hint="default"/>
          <w:sz w:val="24"/>
          <w:szCs w:val="24"/>
        </w:rPr>
        <w:t>vrh predkladané</w:t>
      </w:r>
      <w:r w:rsidRPr="002206A8">
        <w:rPr>
          <w:rFonts w:ascii="Times New Roman" w:hAnsi="Times New Roman" w:hint="default"/>
          <w:sz w:val="24"/>
          <w:szCs w:val="24"/>
        </w:rPr>
        <w:t>ho rieš</w:t>
      </w:r>
      <w:r w:rsidRPr="002206A8">
        <w:rPr>
          <w:rFonts w:ascii="Times New Roman" w:hAnsi="Times New Roman" w:hint="default"/>
          <w:sz w:val="24"/>
          <w:szCs w:val="24"/>
        </w:rPr>
        <w:t>enia spočí</w:t>
      </w:r>
      <w:r w:rsidRPr="002206A8">
        <w:rPr>
          <w:rFonts w:ascii="Times New Roman" w:hAnsi="Times New Roman" w:hint="default"/>
          <w:sz w:val="24"/>
          <w:szCs w:val="24"/>
        </w:rPr>
        <w:t>va vo financovaní</w:t>
      </w:r>
      <w:r w:rsidRPr="002206A8">
        <w:rPr>
          <w:rFonts w:ascii="Times New Roman" w:hAnsi="Times New Roman" w:hint="default"/>
          <w:sz w:val="24"/>
          <w:szCs w:val="24"/>
        </w:rPr>
        <w:t xml:space="preserve"> č</w:t>
      </w:r>
      <w:r w:rsidRPr="002206A8">
        <w:rPr>
          <w:rFonts w:ascii="Times New Roman" w:hAnsi="Times New Roman" w:hint="default"/>
          <w:sz w:val="24"/>
          <w:szCs w:val="24"/>
        </w:rPr>
        <w:t>inností</w:t>
      </w:r>
      <w:r w:rsidRPr="002206A8">
        <w:rPr>
          <w:rFonts w:ascii="Times New Roman" w:hAnsi="Times New Roman" w:hint="default"/>
          <w:sz w:val="24"/>
          <w:szCs w:val="24"/>
        </w:rPr>
        <w:t xml:space="preserve"> zabezpeč</w:t>
      </w:r>
      <w:r w:rsidRPr="002206A8">
        <w:rPr>
          <w:rFonts w:ascii="Times New Roman" w:hAnsi="Times New Roman" w:hint="default"/>
          <w:sz w:val="24"/>
          <w:szCs w:val="24"/>
        </w:rPr>
        <w:t>ovaný</w:t>
      </w:r>
      <w:r w:rsidRPr="002206A8">
        <w:rPr>
          <w:rFonts w:ascii="Times New Roman" w:hAnsi="Times New Roman" w:hint="default"/>
          <w:sz w:val="24"/>
          <w:szCs w:val="24"/>
        </w:rPr>
        <w:t>ch Ú</w:t>
      </w:r>
      <w:r w:rsidRPr="002206A8">
        <w:rPr>
          <w:rFonts w:ascii="Times New Roman" w:hAnsi="Times New Roman" w:hint="default"/>
          <w:sz w:val="24"/>
          <w:szCs w:val="24"/>
        </w:rPr>
        <w:t>VZ SR v </w:t>
      </w:r>
      <w:r w:rsidRPr="002206A8">
        <w:rPr>
          <w:rFonts w:ascii="Times New Roman" w:hAnsi="Times New Roman" w:hint="default"/>
          <w:sz w:val="24"/>
          <w:szCs w:val="24"/>
        </w:rPr>
        <w:t>oblasti radiač</w:t>
      </w:r>
      <w:r w:rsidRPr="002206A8">
        <w:rPr>
          <w:rFonts w:ascii="Times New Roman" w:hAnsi="Times New Roman" w:hint="default"/>
          <w:sz w:val="24"/>
          <w:szCs w:val="24"/>
        </w:rPr>
        <w:t>nej ochrany v </w:t>
      </w:r>
      <w:r w:rsidRPr="002206A8">
        <w:rPr>
          <w:rFonts w:ascii="Times New Roman" w:hAnsi="Times New Roman" w:hint="default"/>
          <w:sz w:val="24"/>
          <w:szCs w:val="24"/>
        </w:rPr>
        <w:t>jadrovo-energetický</w:t>
      </w:r>
      <w:r w:rsidRPr="002206A8">
        <w:rPr>
          <w:rFonts w:ascii="Times New Roman" w:hAnsi="Times New Roman" w:hint="default"/>
          <w:sz w:val="24"/>
          <w:szCs w:val="24"/>
        </w:rPr>
        <w:t>ch zariadeniach z mimor</w:t>
      </w:r>
      <w:r w:rsidRPr="002206A8">
        <w:rPr>
          <w:rFonts w:ascii="Times New Roman" w:hAnsi="Times New Roman" w:hint="default"/>
          <w:sz w:val="24"/>
          <w:szCs w:val="24"/>
        </w:rPr>
        <w:t>ozpoč</w:t>
      </w:r>
      <w:r w:rsidRPr="002206A8">
        <w:rPr>
          <w:rFonts w:ascii="Times New Roman" w:hAnsi="Times New Roman" w:hint="default"/>
          <w:sz w:val="24"/>
          <w:szCs w:val="24"/>
        </w:rPr>
        <w:t>tový</w:t>
      </w:r>
      <w:r w:rsidRPr="002206A8">
        <w:rPr>
          <w:rFonts w:ascii="Times New Roman" w:hAnsi="Times New Roman" w:hint="default"/>
          <w:sz w:val="24"/>
          <w:szCs w:val="24"/>
        </w:rPr>
        <w:t>ch zdrojov. Vychá</w:t>
      </w:r>
      <w:r w:rsidRPr="002206A8">
        <w:rPr>
          <w:rFonts w:ascii="Times New Roman" w:hAnsi="Times New Roman" w:hint="default"/>
          <w:sz w:val="24"/>
          <w:szCs w:val="24"/>
        </w:rPr>
        <w:t>dza už</w:t>
      </w:r>
      <w:r w:rsidRPr="002206A8">
        <w:rPr>
          <w:rFonts w:ascii="Times New Roman" w:hAnsi="Times New Roman" w:hint="default"/>
          <w:sz w:val="24"/>
          <w:szCs w:val="24"/>
        </w:rPr>
        <w:t xml:space="preserve"> u ná</w:t>
      </w:r>
      <w:r w:rsidRPr="002206A8">
        <w:rPr>
          <w:rFonts w:ascii="Times New Roman" w:hAnsi="Times New Roman" w:hint="default"/>
          <w:sz w:val="24"/>
          <w:szCs w:val="24"/>
        </w:rPr>
        <w:t>s zavedenej legislatí</w:t>
      </w:r>
      <w:r w:rsidRPr="002206A8">
        <w:rPr>
          <w:rFonts w:ascii="Times New Roman" w:hAnsi="Times New Roman" w:hint="default"/>
          <w:sz w:val="24"/>
          <w:szCs w:val="24"/>
        </w:rPr>
        <w:t>vnej praxe (zá</w:t>
      </w:r>
      <w:r w:rsidRPr="002206A8">
        <w:rPr>
          <w:rFonts w:ascii="Times New Roman" w:hAnsi="Times New Roman" w:hint="default"/>
          <w:sz w:val="24"/>
          <w:szCs w:val="24"/>
        </w:rPr>
        <w:t>kon č</w:t>
      </w:r>
      <w:r w:rsidRPr="002206A8">
        <w:rPr>
          <w:rFonts w:ascii="Times New Roman" w:hAnsi="Times New Roman" w:hint="default"/>
          <w:sz w:val="24"/>
          <w:szCs w:val="24"/>
        </w:rPr>
        <w:t>. 94/2007, ktorý</w:t>
      </w:r>
      <w:r w:rsidRPr="002206A8">
        <w:rPr>
          <w:rFonts w:ascii="Times New Roman" w:hAnsi="Times New Roman" w:hint="default"/>
          <w:sz w:val="24"/>
          <w:szCs w:val="24"/>
        </w:rPr>
        <w:t>m sa dopĺň</w:t>
      </w:r>
      <w:r w:rsidRPr="002206A8">
        <w:rPr>
          <w:rFonts w:ascii="Times New Roman" w:hAnsi="Times New Roman" w:hint="default"/>
          <w:sz w:val="24"/>
          <w:szCs w:val="24"/>
        </w:rPr>
        <w:t>a zá</w:t>
      </w:r>
      <w:r w:rsidRPr="002206A8">
        <w:rPr>
          <w:rFonts w:ascii="Times New Roman" w:hAnsi="Times New Roman" w:hint="default"/>
          <w:sz w:val="24"/>
          <w:szCs w:val="24"/>
        </w:rPr>
        <w:t>kon č</w:t>
      </w:r>
      <w:r w:rsidRPr="002206A8">
        <w:rPr>
          <w:rFonts w:ascii="Times New Roman" w:hAnsi="Times New Roman" w:hint="default"/>
          <w:sz w:val="24"/>
          <w:szCs w:val="24"/>
        </w:rPr>
        <w:t>. 541/2004 Z. z. o mierovom využí</w:t>
      </w:r>
      <w:r w:rsidRPr="002206A8">
        <w:rPr>
          <w:rFonts w:ascii="Times New Roman" w:hAnsi="Times New Roman" w:hint="default"/>
          <w:sz w:val="24"/>
          <w:szCs w:val="24"/>
        </w:rPr>
        <w:t>vaní</w:t>
      </w:r>
      <w:r w:rsidRPr="002206A8">
        <w:rPr>
          <w:rFonts w:ascii="Times New Roman" w:hAnsi="Times New Roman" w:hint="default"/>
          <w:sz w:val="24"/>
          <w:szCs w:val="24"/>
        </w:rPr>
        <w:t xml:space="preserve"> jadrovej energie) zať</w:t>
      </w:r>
      <w:r w:rsidRPr="002206A8">
        <w:rPr>
          <w:rFonts w:ascii="Times New Roman" w:hAnsi="Times New Roman" w:hint="default"/>
          <w:sz w:val="24"/>
          <w:szCs w:val="24"/>
        </w:rPr>
        <w:t>až</w:t>
      </w:r>
      <w:r w:rsidRPr="002206A8">
        <w:rPr>
          <w:rFonts w:ascii="Times New Roman" w:hAnsi="Times New Roman" w:hint="default"/>
          <w:sz w:val="24"/>
          <w:szCs w:val="24"/>
        </w:rPr>
        <w:t>enia prevá</w:t>
      </w:r>
      <w:r w:rsidRPr="002206A8">
        <w:rPr>
          <w:rFonts w:ascii="Times New Roman" w:hAnsi="Times New Roman" w:hint="default"/>
          <w:sz w:val="24"/>
          <w:szCs w:val="24"/>
        </w:rPr>
        <w:t>dzkovateľ</w:t>
      </w:r>
      <w:r w:rsidRPr="002206A8">
        <w:rPr>
          <w:rFonts w:ascii="Times New Roman" w:hAnsi="Times New Roman" w:hint="default"/>
          <w:sz w:val="24"/>
          <w:szCs w:val="24"/>
        </w:rPr>
        <w:t>a jadrovo-energetické</w:t>
      </w:r>
      <w:r w:rsidRPr="002206A8">
        <w:rPr>
          <w:rFonts w:ascii="Times New Roman" w:hAnsi="Times New Roman" w:hint="default"/>
          <w:sz w:val="24"/>
          <w:szCs w:val="24"/>
        </w:rPr>
        <w:t>ho zariadenia poplatkami zohľ</w:t>
      </w:r>
      <w:r w:rsidRPr="002206A8">
        <w:rPr>
          <w:rFonts w:ascii="Times New Roman" w:hAnsi="Times New Roman" w:hint="default"/>
          <w:sz w:val="24"/>
          <w:szCs w:val="24"/>
        </w:rPr>
        <w:t>adň</w:t>
      </w:r>
      <w:r w:rsidRPr="002206A8">
        <w:rPr>
          <w:rFonts w:ascii="Times New Roman" w:hAnsi="Times New Roman" w:hint="default"/>
          <w:sz w:val="24"/>
          <w:szCs w:val="24"/>
        </w:rPr>
        <w:t>ujú</w:t>
      </w:r>
      <w:r w:rsidRPr="002206A8">
        <w:rPr>
          <w:rFonts w:ascii="Times New Roman" w:hAnsi="Times New Roman" w:hint="default"/>
          <w:sz w:val="24"/>
          <w:szCs w:val="24"/>
        </w:rPr>
        <w:t>cimi ná</w:t>
      </w:r>
      <w:r w:rsidRPr="002206A8">
        <w:rPr>
          <w:rFonts w:ascii="Times New Roman" w:hAnsi="Times New Roman" w:hint="default"/>
          <w:sz w:val="24"/>
          <w:szCs w:val="24"/>
        </w:rPr>
        <w:t>r</w:t>
      </w:r>
      <w:r w:rsidRPr="002206A8">
        <w:rPr>
          <w:rFonts w:ascii="Times New Roman" w:hAnsi="Times New Roman" w:hint="default"/>
          <w:sz w:val="24"/>
          <w:szCs w:val="24"/>
        </w:rPr>
        <w:t>oky na vý</w:t>
      </w:r>
      <w:r w:rsidRPr="002206A8">
        <w:rPr>
          <w:rFonts w:ascii="Times New Roman" w:hAnsi="Times New Roman" w:hint="default"/>
          <w:sz w:val="24"/>
          <w:szCs w:val="24"/>
        </w:rPr>
        <w:t>kon š</w:t>
      </w:r>
      <w:r w:rsidRPr="002206A8">
        <w:rPr>
          <w:rFonts w:ascii="Times New Roman" w:hAnsi="Times New Roman" w:hint="default"/>
          <w:sz w:val="24"/>
          <w:szCs w:val="24"/>
        </w:rPr>
        <w:t>tá</w:t>
      </w:r>
      <w:r w:rsidRPr="002206A8">
        <w:rPr>
          <w:rFonts w:ascii="Times New Roman" w:hAnsi="Times New Roman" w:hint="default"/>
          <w:sz w:val="24"/>
          <w:szCs w:val="24"/>
        </w:rPr>
        <w:t>tneho dozoru. Uvedené</w:t>
      </w:r>
      <w:r w:rsidRPr="002206A8">
        <w:rPr>
          <w:rFonts w:ascii="Times New Roman" w:hAnsi="Times New Roman" w:hint="default"/>
          <w:sz w:val="24"/>
          <w:szCs w:val="24"/>
        </w:rPr>
        <w:t xml:space="preserve"> rieš</w:t>
      </w:r>
      <w:r w:rsidRPr="002206A8">
        <w:rPr>
          <w:rFonts w:ascii="Times New Roman" w:hAnsi="Times New Roman" w:hint="default"/>
          <w:sz w:val="24"/>
          <w:szCs w:val="24"/>
        </w:rPr>
        <w:t>enie vychá</w:t>
      </w:r>
      <w:r w:rsidRPr="002206A8">
        <w:rPr>
          <w:rFonts w:ascii="Times New Roman" w:hAnsi="Times New Roman" w:hint="default"/>
          <w:sz w:val="24"/>
          <w:szCs w:val="24"/>
        </w:rPr>
        <w:t>dza z </w:t>
      </w:r>
      <w:r w:rsidRPr="002206A8">
        <w:rPr>
          <w:rFonts w:ascii="Times New Roman" w:hAnsi="Times New Roman" w:hint="default"/>
          <w:sz w:val="24"/>
          <w:szCs w:val="24"/>
        </w:rPr>
        <w:t>premisy, ž</w:t>
      </w:r>
      <w:r w:rsidRPr="002206A8">
        <w:rPr>
          <w:rFonts w:ascii="Times New Roman" w:hAnsi="Times New Roman" w:hint="default"/>
          <w:sz w:val="24"/>
          <w:szCs w:val="24"/>
        </w:rPr>
        <w:t>e š</w:t>
      </w:r>
      <w:r w:rsidRPr="002206A8">
        <w:rPr>
          <w:rFonts w:ascii="Times New Roman" w:hAnsi="Times New Roman" w:hint="default"/>
          <w:sz w:val="24"/>
          <w:szCs w:val="24"/>
        </w:rPr>
        <w:t>tá</w:t>
      </w:r>
      <w:r w:rsidRPr="002206A8">
        <w:rPr>
          <w:rFonts w:ascii="Times New Roman" w:hAnsi="Times New Roman" w:hint="default"/>
          <w:sz w:val="24"/>
          <w:szCs w:val="24"/>
        </w:rPr>
        <w:t>t by nemal byť</w:t>
      </w:r>
      <w:r w:rsidRPr="002206A8">
        <w:rPr>
          <w:rFonts w:ascii="Times New Roman" w:hAnsi="Times New Roman" w:hint="default"/>
          <w:sz w:val="24"/>
          <w:szCs w:val="24"/>
        </w:rPr>
        <w:t xml:space="preserve"> vý</w:t>
      </w:r>
      <w:r w:rsidRPr="002206A8">
        <w:rPr>
          <w:rFonts w:ascii="Times New Roman" w:hAnsi="Times New Roman" w:hint="default"/>
          <w:sz w:val="24"/>
          <w:szCs w:val="24"/>
        </w:rPr>
        <w:t>luč</w:t>
      </w:r>
      <w:r w:rsidRPr="002206A8">
        <w:rPr>
          <w:rFonts w:ascii="Times New Roman" w:hAnsi="Times New Roman" w:hint="default"/>
          <w:sz w:val="24"/>
          <w:szCs w:val="24"/>
        </w:rPr>
        <w:t>ný</w:t>
      </w:r>
      <w:r w:rsidRPr="002206A8">
        <w:rPr>
          <w:rFonts w:ascii="Times New Roman" w:hAnsi="Times New Roman" w:hint="default"/>
          <w:sz w:val="24"/>
          <w:szCs w:val="24"/>
        </w:rPr>
        <w:t>m poskytovateľ</w:t>
      </w:r>
      <w:r w:rsidRPr="002206A8">
        <w:rPr>
          <w:rFonts w:ascii="Times New Roman" w:hAnsi="Times New Roman" w:hint="default"/>
          <w:sz w:val="24"/>
          <w:szCs w:val="24"/>
        </w:rPr>
        <w:t>om financií</w:t>
      </w:r>
      <w:r w:rsidRPr="002206A8">
        <w:rPr>
          <w:rFonts w:ascii="Times New Roman" w:hAnsi="Times New Roman" w:hint="default"/>
          <w:sz w:val="24"/>
          <w:szCs w:val="24"/>
        </w:rPr>
        <w:t xml:space="preserve"> na vý</w:t>
      </w:r>
      <w:r w:rsidRPr="002206A8">
        <w:rPr>
          <w:rFonts w:ascii="Times New Roman" w:hAnsi="Times New Roman" w:hint="default"/>
          <w:sz w:val="24"/>
          <w:szCs w:val="24"/>
        </w:rPr>
        <w:t>kon š</w:t>
      </w:r>
      <w:r w:rsidRPr="002206A8">
        <w:rPr>
          <w:rFonts w:ascii="Times New Roman" w:hAnsi="Times New Roman" w:hint="default"/>
          <w:sz w:val="24"/>
          <w:szCs w:val="24"/>
        </w:rPr>
        <w:t>tá</w:t>
      </w:r>
      <w:r w:rsidRPr="002206A8">
        <w:rPr>
          <w:rFonts w:ascii="Times New Roman" w:hAnsi="Times New Roman" w:hint="default"/>
          <w:sz w:val="24"/>
          <w:szCs w:val="24"/>
        </w:rPr>
        <w:t>tneho dozoru a </w:t>
      </w:r>
      <w:r w:rsidRPr="002206A8">
        <w:rPr>
          <w:rFonts w:ascii="Times New Roman" w:hAnsi="Times New Roman" w:hint="default"/>
          <w:sz w:val="24"/>
          <w:szCs w:val="24"/>
        </w:rPr>
        <w:t>sú</w:t>
      </w:r>
      <w:r w:rsidRPr="002206A8">
        <w:rPr>
          <w:rFonts w:ascii="Times New Roman" w:hAnsi="Times New Roman" w:hint="default"/>
          <w:sz w:val="24"/>
          <w:szCs w:val="24"/>
        </w:rPr>
        <w:t>visiacich č</w:t>
      </w:r>
      <w:r w:rsidRPr="002206A8">
        <w:rPr>
          <w:rFonts w:ascii="Times New Roman" w:hAnsi="Times New Roman" w:hint="default"/>
          <w:sz w:val="24"/>
          <w:szCs w:val="24"/>
        </w:rPr>
        <w:t>inností</w:t>
      </w:r>
      <w:r w:rsidRPr="002206A8">
        <w:rPr>
          <w:rFonts w:ascii="Times New Roman" w:hAnsi="Times New Roman" w:hint="default"/>
          <w:sz w:val="24"/>
          <w:szCs w:val="24"/>
        </w:rPr>
        <w:t>, ktoré</w:t>
      </w:r>
      <w:r w:rsidRPr="002206A8">
        <w:rPr>
          <w:rFonts w:ascii="Times New Roman" w:hAnsi="Times New Roman" w:hint="default"/>
          <w:sz w:val="24"/>
          <w:szCs w:val="24"/>
        </w:rPr>
        <w:t xml:space="preserve"> sú</w:t>
      </w:r>
      <w:r w:rsidRPr="002206A8">
        <w:rPr>
          <w:rFonts w:ascii="Times New Roman" w:hAnsi="Times New Roman" w:hint="default"/>
          <w:sz w:val="24"/>
          <w:szCs w:val="24"/>
        </w:rPr>
        <w:t xml:space="preserve"> vyvolané</w:t>
      </w:r>
      <w:r w:rsidRPr="002206A8">
        <w:rPr>
          <w:rFonts w:ascii="Times New Roman" w:hAnsi="Times New Roman" w:hint="default"/>
          <w:sz w:val="24"/>
          <w:szCs w:val="24"/>
        </w:rPr>
        <w:t xml:space="preserve"> aktivitami vyplý</w:t>
      </w:r>
      <w:r w:rsidRPr="002206A8">
        <w:rPr>
          <w:rFonts w:ascii="Times New Roman" w:hAnsi="Times New Roman" w:hint="default"/>
          <w:sz w:val="24"/>
          <w:szCs w:val="24"/>
        </w:rPr>
        <w:t>vajú</w:t>
      </w:r>
      <w:r w:rsidRPr="002206A8">
        <w:rPr>
          <w:rFonts w:ascii="Times New Roman" w:hAnsi="Times New Roman" w:hint="default"/>
          <w:sz w:val="24"/>
          <w:szCs w:val="24"/>
        </w:rPr>
        <w:t>cimi z </w:t>
      </w:r>
      <w:r w:rsidRPr="002206A8">
        <w:rPr>
          <w:rFonts w:ascii="Times New Roman" w:hAnsi="Times New Roman" w:hint="default"/>
          <w:sz w:val="24"/>
          <w:szCs w:val="24"/>
        </w:rPr>
        <w:t>podnikateľ</w:t>
      </w:r>
      <w:r w:rsidRPr="002206A8">
        <w:rPr>
          <w:rFonts w:ascii="Times New Roman" w:hAnsi="Times New Roman" w:hint="default"/>
          <w:sz w:val="24"/>
          <w:szCs w:val="24"/>
        </w:rPr>
        <w:t>skej č</w:t>
      </w:r>
      <w:r w:rsidRPr="002206A8">
        <w:rPr>
          <w:rFonts w:ascii="Times New Roman" w:hAnsi="Times New Roman" w:hint="default"/>
          <w:sz w:val="24"/>
          <w:szCs w:val="24"/>
        </w:rPr>
        <w:t>innosti prá</w:t>
      </w:r>
      <w:r w:rsidRPr="002206A8">
        <w:rPr>
          <w:rFonts w:ascii="Times New Roman" w:hAnsi="Times New Roman" w:hint="default"/>
          <w:sz w:val="24"/>
          <w:szCs w:val="24"/>
        </w:rPr>
        <w:t>vnický</w:t>
      </w:r>
      <w:r w:rsidRPr="002206A8">
        <w:rPr>
          <w:rFonts w:ascii="Times New Roman" w:hAnsi="Times New Roman" w:hint="default"/>
          <w:sz w:val="24"/>
          <w:szCs w:val="24"/>
        </w:rPr>
        <w:t>ch osô</w:t>
      </w:r>
      <w:r w:rsidRPr="002206A8">
        <w:rPr>
          <w:rFonts w:ascii="Times New Roman" w:hAnsi="Times New Roman" w:hint="default"/>
          <w:sz w:val="24"/>
          <w:szCs w:val="24"/>
        </w:rPr>
        <w:t>b.</w:t>
      </w:r>
    </w:p>
    <w:p w:rsidR="004E1D1D" w:rsidRPr="00DC4DC2" w:rsidP="004E1D1D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C4DC2">
        <w:rPr>
          <w:rFonts w:ascii="Times New Roman" w:hAnsi="Times New Roman" w:hint="default"/>
          <w:sz w:val="24"/>
          <w:szCs w:val="24"/>
        </w:rPr>
        <w:t>Ná</w:t>
      </w:r>
      <w:r w:rsidRPr="00DC4DC2">
        <w:rPr>
          <w:rFonts w:ascii="Times New Roman" w:hAnsi="Times New Roman" w:hint="default"/>
          <w:sz w:val="24"/>
          <w:szCs w:val="24"/>
        </w:rPr>
        <w:t>vrh okrem prí</w:t>
      </w:r>
      <w:r w:rsidRPr="00DC4DC2">
        <w:rPr>
          <w:rFonts w:ascii="Times New Roman" w:hAnsi="Times New Roman" w:hint="default"/>
          <w:sz w:val="24"/>
          <w:szCs w:val="24"/>
        </w:rPr>
        <w:t>spevkov od prevá</w:t>
      </w:r>
      <w:r w:rsidRPr="00DC4DC2">
        <w:rPr>
          <w:rFonts w:ascii="Times New Roman" w:hAnsi="Times New Roman" w:hint="default"/>
          <w:sz w:val="24"/>
          <w:szCs w:val="24"/>
        </w:rPr>
        <w:t>dzkovateľ</w:t>
      </w:r>
      <w:r w:rsidRPr="00DC4DC2">
        <w:rPr>
          <w:rFonts w:ascii="Times New Roman" w:hAnsi="Times New Roman" w:hint="default"/>
          <w:sz w:val="24"/>
          <w:szCs w:val="24"/>
        </w:rPr>
        <w:t>ov jadrový</w:t>
      </w:r>
      <w:r w:rsidRPr="00DC4DC2">
        <w:rPr>
          <w:rFonts w:ascii="Times New Roman" w:hAnsi="Times New Roman" w:hint="default"/>
          <w:sz w:val="24"/>
          <w:szCs w:val="24"/>
        </w:rPr>
        <w:t>ch elektrá</w:t>
      </w:r>
      <w:r w:rsidRPr="00DC4DC2">
        <w:rPr>
          <w:rFonts w:ascii="Times New Roman" w:hAnsi="Times New Roman" w:hint="default"/>
          <w:sz w:val="24"/>
          <w:szCs w:val="24"/>
        </w:rPr>
        <w:t>rní</w:t>
      </w:r>
      <w:r w:rsidRPr="00DC4DC2">
        <w:rPr>
          <w:rFonts w:ascii="Times New Roman" w:hAnsi="Times New Roman" w:hint="default"/>
          <w:sz w:val="24"/>
          <w:szCs w:val="24"/>
        </w:rPr>
        <w:t xml:space="preserve"> vrá</w:t>
      </w:r>
      <w:r w:rsidRPr="00DC4DC2">
        <w:rPr>
          <w:rFonts w:ascii="Times New Roman" w:hAnsi="Times New Roman" w:hint="default"/>
          <w:sz w:val="24"/>
          <w:szCs w:val="24"/>
        </w:rPr>
        <w:t>tane vyraď</w:t>
      </w:r>
      <w:r w:rsidRPr="00DC4DC2">
        <w:rPr>
          <w:rFonts w:ascii="Times New Roman" w:hAnsi="Times New Roman" w:hint="default"/>
          <w:sz w:val="24"/>
          <w:szCs w:val="24"/>
        </w:rPr>
        <w:t>ovaný</w:t>
      </w:r>
      <w:r w:rsidRPr="00DC4DC2">
        <w:rPr>
          <w:rFonts w:ascii="Times New Roman" w:hAnsi="Times New Roman" w:hint="default"/>
          <w:sz w:val="24"/>
          <w:szCs w:val="24"/>
        </w:rPr>
        <w:t>ch jadrový</w:t>
      </w:r>
      <w:r w:rsidRPr="00DC4DC2">
        <w:rPr>
          <w:rFonts w:ascii="Times New Roman" w:hAnsi="Times New Roman" w:hint="default"/>
          <w:sz w:val="24"/>
          <w:szCs w:val="24"/>
        </w:rPr>
        <w:t>ch zariadení</w:t>
      </w:r>
      <w:r w:rsidRPr="00DC4DC2">
        <w:rPr>
          <w:rFonts w:ascii="Times New Roman" w:hAnsi="Times New Roman" w:hint="default"/>
          <w:sz w:val="24"/>
          <w:szCs w:val="24"/>
        </w:rPr>
        <w:t>, zahrň</w:t>
      </w:r>
      <w:r w:rsidRPr="00DC4DC2">
        <w:rPr>
          <w:rFonts w:ascii="Times New Roman" w:hAnsi="Times New Roman" w:hint="default"/>
          <w:sz w:val="24"/>
          <w:szCs w:val="24"/>
        </w:rPr>
        <w:t>uje aj prí</w:t>
      </w:r>
      <w:r w:rsidRPr="00DC4DC2">
        <w:rPr>
          <w:rFonts w:ascii="Times New Roman" w:hAnsi="Times New Roman" w:hint="default"/>
          <w:sz w:val="24"/>
          <w:szCs w:val="24"/>
        </w:rPr>
        <w:t>spevok od prevá</w:t>
      </w:r>
      <w:r w:rsidRPr="00DC4DC2">
        <w:rPr>
          <w:rFonts w:ascii="Times New Roman" w:hAnsi="Times New Roman" w:hint="default"/>
          <w:sz w:val="24"/>
          <w:szCs w:val="24"/>
        </w:rPr>
        <w:t>dzkovateľ</w:t>
      </w:r>
      <w:r w:rsidRPr="00DC4DC2">
        <w:rPr>
          <w:rFonts w:ascii="Times New Roman" w:hAnsi="Times New Roman" w:hint="default"/>
          <w:sz w:val="24"/>
          <w:szCs w:val="24"/>
        </w:rPr>
        <w:t>a zariadenia na ť</w:t>
      </w:r>
      <w:r w:rsidRPr="00DC4DC2">
        <w:rPr>
          <w:rFonts w:ascii="Times New Roman" w:hAnsi="Times New Roman" w:hint="default"/>
          <w:sz w:val="24"/>
          <w:szCs w:val="24"/>
        </w:rPr>
        <w:t>až</w:t>
      </w:r>
      <w:r w:rsidRPr="00DC4DC2">
        <w:rPr>
          <w:rFonts w:ascii="Times New Roman" w:hAnsi="Times New Roman" w:hint="default"/>
          <w:sz w:val="24"/>
          <w:szCs w:val="24"/>
        </w:rPr>
        <w:t>bu a </w:t>
      </w:r>
      <w:r w:rsidRPr="00DC4DC2">
        <w:rPr>
          <w:rFonts w:ascii="Times New Roman" w:hAnsi="Times New Roman" w:hint="default"/>
          <w:sz w:val="24"/>
          <w:szCs w:val="24"/>
        </w:rPr>
        <w:t>spracovanie urá</w:t>
      </w:r>
      <w:r w:rsidRPr="00DC4DC2">
        <w:rPr>
          <w:rFonts w:ascii="Times New Roman" w:hAnsi="Times New Roman" w:hint="default"/>
          <w:sz w:val="24"/>
          <w:szCs w:val="24"/>
        </w:rPr>
        <w:t>novej rudy, ktorá</w:t>
      </w:r>
      <w:r w:rsidRPr="00DC4DC2">
        <w:rPr>
          <w:rFonts w:ascii="Times New Roman" w:hAnsi="Times New Roman" w:hint="default"/>
          <w:sz w:val="24"/>
          <w:szCs w:val="24"/>
        </w:rPr>
        <w:t xml:space="preserve"> je v </w:t>
      </w:r>
      <w:r w:rsidRPr="00DC4DC2">
        <w:rPr>
          <w:rFonts w:ascii="Times New Roman" w:hAnsi="Times New Roman" w:hint="default"/>
          <w:sz w:val="24"/>
          <w:szCs w:val="24"/>
        </w:rPr>
        <w:t>súč</w:t>
      </w:r>
      <w:r w:rsidRPr="00DC4DC2">
        <w:rPr>
          <w:rFonts w:ascii="Times New Roman" w:hAnsi="Times New Roman" w:hint="default"/>
          <w:sz w:val="24"/>
          <w:szCs w:val="24"/>
        </w:rPr>
        <w:t>asnosti vo fá</w:t>
      </w:r>
      <w:r w:rsidRPr="00DC4DC2">
        <w:rPr>
          <w:rFonts w:ascii="Times New Roman" w:hAnsi="Times New Roman" w:hint="default"/>
          <w:sz w:val="24"/>
          <w:szCs w:val="24"/>
        </w:rPr>
        <w:t>ze geologické</w:t>
      </w:r>
      <w:r w:rsidRPr="00DC4DC2">
        <w:rPr>
          <w:rFonts w:ascii="Times New Roman" w:hAnsi="Times New Roman" w:hint="default"/>
          <w:sz w:val="24"/>
          <w:szCs w:val="24"/>
        </w:rPr>
        <w:t>ho prieskumu a v pr</w:t>
      </w:r>
      <w:r w:rsidRPr="00DC4DC2">
        <w:rPr>
          <w:rFonts w:ascii="Times New Roman" w:hAnsi="Times New Roman" w:hint="default"/>
          <w:sz w:val="24"/>
          <w:szCs w:val="24"/>
        </w:rPr>
        <w:t>í</w:t>
      </w:r>
      <w:r w:rsidRPr="00DC4DC2">
        <w:rPr>
          <w:rFonts w:ascii="Times New Roman" w:hAnsi="Times New Roman" w:hint="default"/>
          <w:sz w:val="24"/>
          <w:szCs w:val="24"/>
        </w:rPr>
        <w:t>pade jej povolenia sa stane predmetom š</w:t>
      </w:r>
      <w:r w:rsidRPr="00DC4DC2">
        <w:rPr>
          <w:rFonts w:ascii="Times New Roman" w:hAnsi="Times New Roman" w:hint="default"/>
          <w:sz w:val="24"/>
          <w:szCs w:val="24"/>
        </w:rPr>
        <w:t>tá</w:t>
      </w:r>
      <w:r w:rsidRPr="00DC4DC2">
        <w:rPr>
          <w:rFonts w:ascii="Times New Roman" w:hAnsi="Times New Roman" w:hint="default"/>
          <w:sz w:val="24"/>
          <w:szCs w:val="24"/>
        </w:rPr>
        <w:t>tneho dozoru nad radiač</w:t>
      </w:r>
      <w:r w:rsidRPr="00DC4DC2">
        <w:rPr>
          <w:rFonts w:ascii="Times New Roman" w:hAnsi="Times New Roman" w:hint="default"/>
          <w:sz w:val="24"/>
          <w:szCs w:val="24"/>
        </w:rPr>
        <w:t>nou ochranou v </w:t>
      </w:r>
      <w:r w:rsidRPr="00DC4DC2">
        <w:rPr>
          <w:rFonts w:ascii="Times New Roman" w:hAnsi="Times New Roman" w:hint="default"/>
          <w:sz w:val="24"/>
          <w:szCs w:val="24"/>
        </w:rPr>
        <w:t>zmysle §</w:t>
      </w:r>
      <w:r w:rsidRPr="00DC4DC2">
        <w:rPr>
          <w:rFonts w:ascii="Times New Roman" w:hAnsi="Times New Roman" w:hint="default"/>
          <w:sz w:val="24"/>
          <w:szCs w:val="24"/>
        </w:rPr>
        <w:t xml:space="preserve"> 45 ods. 2 zá</w:t>
      </w:r>
      <w:r w:rsidRPr="00DC4DC2">
        <w:rPr>
          <w:rFonts w:ascii="Times New Roman" w:hAnsi="Times New Roman" w:hint="default"/>
          <w:sz w:val="24"/>
          <w:szCs w:val="24"/>
        </w:rPr>
        <w:t>kona č</w:t>
      </w:r>
      <w:r w:rsidRPr="00DC4DC2">
        <w:rPr>
          <w:rFonts w:ascii="Times New Roman" w:hAnsi="Times New Roman" w:hint="default"/>
          <w:sz w:val="24"/>
          <w:szCs w:val="24"/>
        </w:rPr>
        <w:t>. 355/2007 Z. z.</w:t>
      </w:r>
      <w:r w:rsidR="004D5DB7">
        <w:rPr>
          <w:rFonts w:ascii="Times New Roman" w:hAnsi="Times New Roman" w:hint="default"/>
          <w:sz w:val="24"/>
          <w:szCs w:val="24"/>
        </w:rPr>
        <w:t xml:space="preserve"> (§</w:t>
      </w:r>
      <w:r w:rsidR="004D5DB7">
        <w:rPr>
          <w:rFonts w:ascii="Times New Roman" w:hAnsi="Times New Roman" w:hint="default"/>
          <w:sz w:val="24"/>
          <w:szCs w:val="24"/>
        </w:rPr>
        <w:t>28 ná</w:t>
      </w:r>
      <w:r w:rsidR="004D5DB7">
        <w:rPr>
          <w:rFonts w:ascii="Times New Roman" w:hAnsi="Times New Roman" w:hint="default"/>
          <w:sz w:val="24"/>
          <w:szCs w:val="24"/>
        </w:rPr>
        <w:t>vrhu zá</w:t>
      </w:r>
      <w:r w:rsidR="004D5DB7">
        <w:rPr>
          <w:rFonts w:ascii="Times New Roman" w:hAnsi="Times New Roman" w:hint="default"/>
          <w:sz w:val="24"/>
          <w:szCs w:val="24"/>
        </w:rPr>
        <w:t>kona o </w:t>
      </w:r>
      <w:r w:rsidR="004D5DB7">
        <w:rPr>
          <w:rFonts w:ascii="Times New Roman" w:hAnsi="Times New Roman" w:hint="default"/>
          <w:sz w:val="24"/>
          <w:szCs w:val="24"/>
        </w:rPr>
        <w:t>radiač</w:t>
      </w:r>
      <w:r w:rsidR="004D5DB7">
        <w:rPr>
          <w:rFonts w:ascii="Times New Roman" w:hAnsi="Times New Roman" w:hint="default"/>
          <w:sz w:val="24"/>
          <w:szCs w:val="24"/>
        </w:rPr>
        <w:t>nej ochrane)</w:t>
      </w:r>
      <w:r w:rsidRPr="00DC4D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zdravotní</w:t>
      </w:r>
      <w:r>
        <w:rPr>
          <w:rFonts w:ascii="Times New Roman" w:hAnsi="Times New Roman" w:hint="default"/>
          <w:sz w:val="24"/>
          <w:szCs w:val="24"/>
        </w:rPr>
        <w:t>ckych zariadení</w:t>
      </w:r>
      <w:r>
        <w:rPr>
          <w:rFonts w:ascii="Times New Roman" w:hAnsi="Times New Roman" w:hint="default"/>
          <w:sz w:val="24"/>
          <w:szCs w:val="24"/>
        </w:rPr>
        <w:t>, na ktorý</w:t>
      </w:r>
      <w:r>
        <w:rPr>
          <w:rFonts w:ascii="Times New Roman" w:hAnsi="Times New Roman" w:hint="default"/>
          <w:sz w:val="24"/>
          <w:szCs w:val="24"/>
        </w:rPr>
        <w:t>ch sa pri č</w:t>
      </w:r>
      <w:r>
        <w:rPr>
          <w:rFonts w:ascii="Times New Roman" w:hAnsi="Times New Roman" w:hint="default"/>
          <w:sz w:val="24"/>
          <w:szCs w:val="24"/>
        </w:rPr>
        <w:t>innosti využí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zdroje ionizujú</w:t>
      </w:r>
      <w:r>
        <w:rPr>
          <w:rFonts w:ascii="Times New Roman" w:hAnsi="Times New Roman" w:hint="default"/>
          <w:sz w:val="24"/>
          <w:szCs w:val="24"/>
        </w:rPr>
        <w:t>ceho ž</w:t>
      </w:r>
      <w:r>
        <w:rPr>
          <w:rFonts w:ascii="Times New Roman" w:hAnsi="Times New Roman" w:hint="default"/>
          <w:sz w:val="24"/>
          <w:szCs w:val="24"/>
        </w:rPr>
        <w:t>iareni</w:t>
      </w:r>
      <w:r>
        <w:rPr>
          <w:rFonts w:ascii="Times New Roman" w:hAnsi="Times New Roman" w:hint="default"/>
          <w:sz w:val="24"/>
          <w:szCs w:val="24"/>
        </w:rPr>
        <w:t>a.</w:t>
      </w:r>
    </w:p>
    <w:p w:rsidR="004E1D1D" w:rsidRPr="00DC4DC2" w:rsidP="004E1D1D">
      <w:pPr>
        <w:pStyle w:val="NoSpacing"/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4DC2">
        <w:rPr>
          <w:rFonts w:ascii="Times New Roman" w:hAnsi="Times New Roman"/>
          <w:sz w:val="24"/>
          <w:szCs w:val="24"/>
        </w:rPr>
        <w:t>V </w:t>
      </w:r>
      <w:r w:rsidRPr="00DC4DC2">
        <w:rPr>
          <w:rFonts w:ascii="Times New Roman" w:hAnsi="Times New Roman" w:hint="default"/>
          <w:sz w:val="24"/>
          <w:szCs w:val="24"/>
        </w:rPr>
        <w:t>prí</w:t>
      </w:r>
      <w:r w:rsidRPr="00DC4DC2">
        <w:rPr>
          <w:rFonts w:ascii="Times New Roman" w:hAnsi="Times New Roman" w:hint="default"/>
          <w:sz w:val="24"/>
          <w:szCs w:val="24"/>
        </w:rPr>
        <w:t>pade uvedený</w:t>
      </w:r>
      <w:r w:rsidRPr="00DC4DC2">
        <w:rPr>
          <w:rFonts w:ascii="Times New Roman" w:hAnsi="Times New Roman" w:hint="default"/>
          <w:sz w:val="24"/>
          <w:szCs w:val="24"/>
        </w:rPr>
        <w:t>ch jadrovo-energetický</w:t>
      </w:r>
      <w:r w:rsidRPr="00DC4DC2">
        <w:rPr>
          <w:rFonts w:ascii="Times New Roman" w:hAnsi="Times New Roman" w:hint="default"/>
          <w:sz w:val="24"/>
          <w:szCs w:val="24"/>
        </w:rPr>
        <w:t>ch zariadení</w:t>
      </w:r>
      <w:r w:rsidRPr="00DC4DC2">
        <w:rPr>
          <w:rFonts w:ascii="Times New Roman" w:hAnsi="Times New Roman" w:hint="default"/>
          <w:sz w:val="24"/>
          <w:szCs w:val="24"/>
        </w:rPr>
        <w:t xml:space="preserve"> sa jedná</w:t>
      </w:r>
      <w:r w:rsidRPr="00DC4DC2">
        <w:rPr>
          <w:rFonts w:ascii="Times New Roman" w:hAnsi="Times New Roman" w:hint="default"/>
          <w:sz w:val="24"/>
          <w:szCs w:val="24"/>
        </w:rPr>
        <w:t xml:space="preserve"> o </w:t>
      </w:r>
      <w:r w:rsidRPr="00DC4DC2">
        <w:rPr>
          <w:rFonts w:ascii="Times New Roman" w:hAnsi="Times New Roman" w:hint="default"/>
          <w:sz w:val="24"/>
          <w:szCs w:val="24"/>
        </w:rPr>
        <w:t>mimoriadne vysoké</w:t>
      </w:r>
      <w:r w:rsidRPr="00DC4DC2">
        <w:rPr>
          <w:rFonts w:ascii="Times New Roman" w:hAnsi="Times New Roman" w:hint="default"/>
          <w:sz w:val="24"/>
          <w:szCs w:val="24"/>
        </w:rPr>
        <w:t xml:space="preserve"> ná</w:t>
      </w:r>
      <w:r w:rsidRPr="00DC4DC2">
        <w:rPr>
          <w:rFonts w:ascii="Times New Roman" w:hAnsi="Times New Roman" w:hint="default"/>
          <w:sz w:val="24"/>
          <w:szCs w:val="24"/>
        </w:rPr>
        <w:t>roky nielen na odborné</w:t>
      </w:r>
      <w:r w:rsidRPr="00DC4DC2">
        <w:rPr>
          <w:rFonts w:ascii="Times New Roman" w:hAnsi="Times New Roman" w:hint="default"/>
          <w:sz w:val="24"/>
          <w:szCs w:val="24"/>
        </w:rPr>
        <w:t xml:space="preserve"> schopnosti pracovní</w:t>
      </w:r>
      <w:r w:rsidRPr="00DC4DC2">
        <w:rPr>
          <w:rFonts w:ascii="Times New Roman" w:hAnsi="Times New Roman" w:hint="default"/>
          <w:sz w:val="24"/>
          <w:szCs w:val="24"/>
        </w:rPr>
        <w:t>kov, ale aj na prí</w:t>
      </w:r>
      <w:r w:rsidRPr="00DC4DC2">
        <w:rPr>
          <w:rFonts w:ascii="Times New Roman" w:hAnsi="Times New Roman" w:hint="default"/>
          <w:sz w:val="24"/>
          <w:szCs w:val="24"/>
        </w:rPr>
        <w:t>strojové</w:t>
      </w:r>
      <w:r w:rsidRPr="00DC4DC2">
        <w:rPr>
          <w:rFonts w:ascii="Times New Roman" w:hAnsi="Times New Roman" w:hint="default"/>
          <w:sz w:val="24"/>
          <w:szCs w:val="24"/>
        </w:rPr>
        <w:t xml:space="preserve"> vybavenie Ú</w:t>
      </w:r>
      <w:r w:rsidRPr="00DC4DC2">
        <w:rPr>
          <w:rFonts w:ascii="Times New Roman" w:hAnsi="Times New Roman" w:hint="default"/>
          <w:sz w:val="24"/>
          <w:szCs w:val="24"/>
        </w:rPr>
        <w:t>VZ SR, ktoré</w:t>
      </w:r>
      <w:r w:rsidRPr="00DC4DC2">
        <w:rPr>
          <w:rFonts w:ascii="Times New Roman" w:hAnsi="Times New Roman" w:hint="default"/>
          <w:sz w:val="24"/>
          <w:szCs w:val="24"/>
        </w:rPr>
        <w:t xml:space="preserve"> by malo umož</w:t>
      </w:r>
      <w:r w:rsidRPr="00DC4DC2">
        <w:rPr>
          <w:rFonts w:ascii="Times New Roman" w:hAnsi="Times New Roman" w:hint="default"/>
          <w:sz w:val="24"/>
          <w:szCs w:val="24"/>
        </w:rPr>
        <w:t>niť</w:t>
      </w:r>
      <w:r w:rsidRPr="00DC4DC2">
        <w:rPr>
          <w:rFonts w:ascii="Times New Roman" w:hAnsi="Times New Roman" w:hint="default"/>
          <w:sz w:val="24"/>
          <w:szCs w:val="24"/>
        </w:rPr>
        <w:t xml:space="preserve"> efektí</w:t>
      </w:r>
      <w:r w:rsidRPr="00DC4DC2">
        <w:rPr>
          <w:rFonts w:ascii="Times New Roman" w:hAnsi="Times New Roman" w:hint="default"/>
          <w:sz w:val="24"/>
          <w:szCs w:val="24"/>
        </w:rPr>
        <w:t>vny vý</w:t>
      </w:r>
      <w:r w:rsidRPr="00DC4DC2">
        <w:rPr>
          <w:rFonts w:ascii="Times New Roman" w:hAnsi="Times New Roman" w:hint="default"/>
          <w:sz w:val="24"/>
          <w:szCs w:val="24"/>
        </w:rPr>
        <w:t>kon kontroly napr. rá</w:t>
      </w:r>
      <w:r w:rsidRPr="00DC4DC2">
        <w:rPr>
          <w:rFonts w:ascii="Times New Roman" w:hAnsi="Times New Roman" w:hint="default"/>
          <w:sz w:val="24"/>
          <w:szCs w:val="24"/>
        </w:rPr>
        <w:t>dioaktí</w:t>
      </w:r>
      <w:r w:rsidRPr="00DC4DC2">
        <w:rPr>
          <w:rFonts w:ascii="Times New Roman" w:hAnsi="Times New Roman" w:hint="default"/>
          <w:sz w:val="24"/>
          <w:szCs w:val="24"/>
        </w:rPr>
        <w:t>vnych vý</w:t>
      </w:r>
      <w:r w:rsidRPr="00DC4DC2">
        <w:rPr>
          <w:rFonts w:ascii="Times New Roman" w:hAnsi="Times New Roman" w:hint="default"/>
          <w:sz w:val="24"/>
          <w:szCs w:val="24"/>
        </w:rPr>
        <w:t>pustí</w:t>
      </w:r>
      <w:r w:rsidRPr="00DC4DC2">
        <w:rPr>
          <w:rFonts w:ascii="Times New Roman" w:hAnsi="Times New Roman" w:hint="default"/>
          <w:sz w:val="24"/>
          <w:szCs w:val="24"/>
        </w:rPr>
        <w:t xml:space="preserve"> do ž</w:t>
      </w:r>
      <w:r w:rsidRPr="00DC4DC2">
        <w:rPr>
          <w:rFonts w:ascii="Times New Roman" w:hAnsi="Times New Roman" w:hint="default"/>
          <w:sz w:val="24"/>
          <w:szCs w:val="24"/>
        </w:rPr>
        <w:t>ivo</w:t>
      </w:r>
      <w:r w:rsidRPr="00DC4DC2">
        <w:rPr>
          <w:rFonts w:ascii="Times New Roman" w:hAnsi="Times New Roman" w:hint="default"/>
          <w:sz w:val="24"/>
          <w:szCs w:val="24"/>
        </w:rPr>
        <w:t>tné</w:t>
      </w:r>
      <w:r w:rsidRPr="00DC4DC2">
        <w:rPr>
          <w:rFonts w:ascii="Times New Roman" w:hAnsi="Times New Roman" w:hint="default"/>
          <w:sz w:val="24"/>
          <w:szCs w:val="24"/>
        </w:rPr>
        <w:t>ho prostredia resp. hodnotenie dá</w:t>
      </w:r>
      <w:r w:rsidRPr="00DC4DC2">
        <w:rPr>
          <w:rFonts w:ascii="Times New Roman" w:hAnsi="Times New Roman" w:hint="default"/>
          <w:sz w:val="24"/>
          <w:szCs w:val="24"/>
        </w:rPr>
        <w:t>vkovej záť</w:t>
      </w:r>
      <w:r w:rsidRPr="00DC4DC2">
        <w:rPr>
          <w:rFonts w:ascii="Times New Roman" w:hAnsi="Times New Roman" w:hint="default"/>
          <w:sz w:val="24"/>
          <w:szCs w:val="24"/>
        </w:rPr>
        <w:t>až</w:t>
      </w:r>
      <w:r w:rsidRPr="00DC4DC2">
        <w:rPr>
          <w:rFonts w:ascii="Times New Roman" w:hAnsi="Times New Roman" w:hint="default"/>
          <w:sz w:val="24"/>
          <w:szCs w:val="24"/>
        </w:rPr>
        <w:t>e obyvateľ</w:t>
      </w:r>
      <w:r w:rsidRPr="00DC4DC2">
        <w:rPr>
          <w:rFonts w:ascii="Times New Roman" w:hAnsi="Times New Roman" w:hint="default"/>
          <w:sz w:val="24"/>
          <w:szCs w:val="24"/>
        </w:rPr>
        <w:t>stva o </w:t>
      </w:r>
      <w:r w:rsidRPr="00DC4DC2">
        <w:rPr>
          <w:rFonts w:ascii="Times New Roman" w:hAnsi="Times New Roman" w:hint="default"/>
          <w:sz w:val="24"/>
          <w:szCs w:val="24"/>
        </w:rPr>
        <w:t>dopad tý</w:t>
      </w:r>
      <w:r w:rsidRPr="00DC4DC2">
        <w:rPr>
          <w:rFonts w:ascii="Times New Roman" w:hAnsi="Times New Roman" w:hint="default"/>
          <w:sz w:val="24"/>
          <w:szCs w:val="24"/>
        </w:rPr>
        <w:t>chto vý</w:t>
      </w:r>
      <w:r w:rsidRPr="00DC4DC2">
        <w:rPr>
          <w:rFonts w:ascii="Times New Roman" w:hAnsi="Times New Roman" w:hint="default"/>
          <w:sz w:val="24"/>
          <w:szCs w:val="24"/>
        </w:rPr>
        <w:t>pustí</w:t>
      </w:r>
      <w:r w:rsidRPr="00DC4DC2">
        <w:rPr>
          <w:rFonts w:ascii="Times New Roman" w:hAnsi="Times New Roman" w:hint="default"/>
          <w:sz w:val="24"/>
          <w:szCs w:val="24"/>
        </w:rPr>
        <w:t xml:space="preserve"> na zdravie. Nedostatok zdrojov a </w:t>
      </w:r>
      <w:r w:rsidRPr="00DC4DC2">
        <w:rPr>
          <w:rFonts w:ascii="Times New Roman" w:hAnsi="Times New Roman" w:hint="default"/>
          <w:sz w:val="24"/>
          <w:szCs w:val="24"/>
        </w:rPr>
        <w:t>primeranej prí</w:t>
      </w:r>
      <w:r w:rsidRPr="00DC4DC2">
        <w:rPr>
          <w:rFonts w:ascii="Times New Roman" w:hAnsi="Times New Roman" w:hint="default"/>
          <w:sz w:val="24"/>
          <w:szCs w:val="24"/>
        </w:rPr>
        <w:t>strojovej techniky je vý</w:t>
      </w:r>
      <w:r w:rsidRPr="00DC4DC2">
        <w:rPr>
          <w:rFonts w:ascii="Times New Roman" w:hAnsi="Times New Roman" w:hint="default"/>
          <w:sz w:val="24"/>
          <w:szCs w:val="24"/>
        </w:rPr>
        <w:t>hodný</w:t>
      </w:r>
      <w:r w:rsidRPr="00DC4DC2">
        <w:rPr>
          <w:rFonts w:ascii="Times New Roman" w:hAnsi="Times New Roman" w:hint="default"/>
          <w:sz w:val="24"/>
          <w:szCs w:val="24"/>
        </w:rPr>
        <w:t xml:space="preserve"> z </w:t>
      </w:r>
      <w:r w:rsidRPr="00DC4DC2">
        <w:rPr>
          <w:rFonts w:ascii="Times New Roman" w:hAnsi="Times New Roman" w:hint="default"/>
          <w:sz w:val="24"/>
          <w:szCs w:val="24"/>
        </w:rPr>
        <w:t>pohľ</w:t>
      </w:r>
      <w:r w:rsidRPr="00DC4DC2">
        <w:rPr>
          <w:rFonts w:ascii="Times New Roman" w:hAnsi="Times New Roman" w:hint="default"/>
          <w:sz w:val="24"/>
          <w:szCs w:val="24"/>
        </w:rPr>
        <w:t>adu prevá</w:t>
      </w:r>
      <w:r w:rsidRPr="00DC4DC2">
        <w:rPr>
          <w:rFonts w:ascii="Times New Roman" w:hAnsi="Times New Roman" w:hint="default"/>
          <w:sz w:val="24"/>
          <w:szCs w:val="24"/>
        </w:rPr>
        <w:t>dzkovateľ</w:t>
      </w:r>
      <w:r w:rsidRPr="00DC4DC2">
        <w:rPr>
          <w:rFonts w:ascii="Times New Roman" w:hAnsi="Times New Roman" w:hint="default"/>
          <w:sz w:val="24"/>
          <w:szCs w:val="24"/>
        </w:rPr>
        <w:t>a jadrový</w:t>
      </w:r>
      <w:r w:rsidRPr="00DC4DC2">
        <w:rPr>
          <w:rFonts w:ascii="Times New Roman" w:hAnsi="Times New Roman" w:hint="default"/>
          <w:sz w:val="24"/>
          <w:szCs w:val="24"/>
        </w:rPr>
        <w:t>ch zariadení</w:t>
      </w:r>
      <w:r w:rsidRPr="00DC4DC2">
        <w:rPr>
          <w:rFonts w:ascii="Times New Roman" w:hAnsi="Times New Roman" w:hint="default"/>
          <w:sz w:val="24"/>
          <w:szCs w:val="24"/>
        </w:rPr>
        <w:t>, pretož</w:t>
      </w:r>
      <w:r w:rsidRPr="00DC4DC2">
        <w:rPr>
          <w:rFonts w:ascii="Times New Roman" w:hAnsi="Times New Roman" w:hint="default"/>
          <w:sz w:val="24"/>
          <w:szCs w:val="24"/>
        </w:rPr>
        <w:t>e systé</w:t>
      </w:r>
      <w:r w:rsidRPr="00DC4DC2">
        <w:rPr>
          <w:rFonts w:ascii="Times New Roman" w:hAnsi="Times New Roman" w:hint="default"/>
          <w:sz w:val="24"/>
          <w:szCs w:val="24"/>
        </w:rPr>
        <w:t>m vý</w:t>
      </w:r>
      <w:r w:rsidRPr="00DC4DC2">
        <w:rPr>
          <w:rFonts w:ascii="Times New Roman" w:hAnsi="Times New Roman" w:hint="default"/>
          <w:sz w:val="24"/>
          <w:szCs w:val="24"/>
        </w:rPr>
        <w:t>konu dozoru je obmedzený</w:t>
      </w:r>
      <w:r w:rsidRPr="00DC4DC2">
        <w:rPr>
          <w:rFonts w:ascii="Times New Roman" w:hAnsi="Times New Roman" w:hint="default"/>
          <w:sz w:val="24"/>
          <w:szCs w:val="24"/>
        </w:rPr>
        <w:t>, av</w:t>
      </w:r>
      <w:r w:rsidRPr="00DC4DC2">
        <w:rPr>
          <w:rFonts w:ascii="Times New Roman" w:hAnsi="Times New Roman" w:hint="default"/>
          <w:sz w:val="24"/>
          <w:szCs w:val="24"/>
        </w:rPr>
        <w:t>š</w:t>
      </w:r>
      <w:r w:rsidRPr="00DC4DC2">
        <w:rPr>
          <w:rFonts w:ascii="Times New Roman" w:hAnsi="Times New Roman" w:hint="default"/>
          <w:sz w:val="24"/>
          <w:szCs w:val="24"/>
        </w:rPr>
        <w:t>ak nemôž</w:t>
      </w:r>
      <w:r w:rsidRPr="00DC4DC2">
        <w:rPr>
          <w:rFonts w:ascii="Times New Roman" w:hAnsi="Times New Roman" w:hint="default"/>
          <w:sz w:val="24"/>
          <w:szCs w:val="24"/>
        </w:rPr>
        <w:t>e byť</w:t>
      </w:r>
      <w:r w:rsidRPr="00DC4DC2">
        <w:rPr>
          <w:rFonts w:ascii="Times New Roman" w:hAnsi="Times New Roman" w:hint="default"/>
          <w:sz w:val="24"/>
          <w:szCs w:val="24"/>
        </w:rPr>
        <w:t xml:space="preserve"> akceptovateľ</w:t>
      </w:r>
      <w:r w:rsidRPr="00DC4DC2">
        <w:rPr>
          <w:rFonts w:ascii="Times New Roman" w:hAnsi="Times New Roman" w:hint="default"/>
          <w:sz w:val="24"/>
          <w:szCs w:val="24"/>
        </w:rPr>
        <w:t>ný</w:t>
      </w:r>
      <w:r w:rsidRPr="00DC4DC2">
        <w:rPr>
          <w:rFonts w:ascii="Times New Roman" w:hAnsi="Times New Roman" w:hint="default"/>
          <w:sz w:val="24"/>
          <w:szCs w:val="24"/>
        </w:rPr>
        <w:t xml:space="preserve"> z </w:t>
      </w:r>
      <w:r w:rsidRPr="00DC4DC2">
        <w:rPr>
          <w:rFonts w:ascii="Times New Roman" w:hAnsi="Times New Roman" w:hint="default"/>
          <w:sz w:val="24"/>
          <w:szCs w:val="24"/>
        </w:rPr>
        <w:t>pohľ</w:t>
      </w:r>
      <w:r w:rsidRPr="00DC4DC2">
        <w:rPr>
          <w:rFonts w:ascii="Times New Roman" w:hAnsi="Times New Roman" w:hint="default"/>
          <w:sz w:val="24"/>
          <w:szCs w:val="24"/>
        </w:rPr>
        <w:t>adu š</w:t>
      </w:r>
      <w:r w:rsidRPr="00DC4DC2">
        <w:rPr>
          <w:rFonts w:ascii="Times New Roman" w:hAnsi="Times New Roman" w:hint="default"/>
          <w:sz w:val="24"/>
          <w:szCs w:val="24"/>
        </w:rPr>
        <w:t>tá</w:t>
      </w:r>
      <w:r w:rsidRPr="00DC4DC2">
        <w:rPr>
          <w:rFonts w:ascii="Times New Roman" w:hAnsi="Times New Roman" w:hint="default"/>
          <w:sz w:val="24"/>
          <w:szCs w:val="24"/>
        </w:rPr>
        <w:t>tu. Cieľ</w:t>
      </w:r>
      <w:r w:rsidRPr="00DC4DC2">
        <w:rPr>
          <w:rFonts w:ascii="Times New Roman" w:hAnsi="Times New Roman" w:hint="default"/>
          <w:sz w:val="24"/>
          <w:szCs w:val="24"/>
        </w:rPr>
        <w:t>om navrhované</w:t>
      </w:r>
      <w:r w:rsidRPr="00DC4DC2">
        <w:rPr>
          <w:rFonts w:ascii="Times New Roman" w:hAnsi="Times New Roman" w:hint="default"/>
          <w:sz w:val="24"/>
          <w:szCs w:val="24"/>
        </w:rPr>
        <w:t>ho rieš</w:t>
      </w:r>
      <w:r w:rsidRPr="00DC4DC2">
        <w:rPr>
          <w:rFonts w:ascii="Times New Roman" w:hAnsi="Times New Roman" w:hint="default"/>
          <w:sz w:val="24"/>
          <w:szCs w:val="24"/>
        </w:rPr>
        <w:t>enia mimorozpoč</w:t>
      </w:r>
      <w:r w:rsidRPr="00DC4DC2">
        <w:rPr>
          <w:rFonts w:ascii="Times New Roman" w:hAnsi="Times New Roman" w:hint="default"/>
          <w:sz w:val="24"/>
          <w:szCs w:val="24"/>
        </w:rPr>
        <w:t>tové</w:t>
      </w:r>
      <w:r w:rsidRPr="00DC4DC2">
        <w:rPr>
          <w:rFonts w:ascii="Times New Roman" w:hAnsi="Times New Roman" w:hint="default"/>
          <w:sz w:val="24"/>
          <w:szCs w:val="24"/>
        </w:rPr>
        <w:t>ho financovania je odstrá</w:t>
      </w:r>
      <w:r w:rsidRPr="00DC4DC2">
        <w:rPr>
          <w:rFonts w:ascii="Times New Roman" w:hAnsi="Times New Roman" w:hint="default"/>
          <w:sz w:val="24"/>
          <w:szCs w:val="24"/>
        </w:rPr>
        <w:t>nenie tohto stavu a </w:t>
      </w:r>
      <w:r w:rsidRPr="00DC4DC2">
        <w:rPr>
          <w:rFonts w:ascii="Times New Roman" w:hAnsi="Times New Roman" w:hint="default"/>
          <w:sz w:val="24"/>
          <w:szCs w:val="24"/>
        </w:rPr>
        <w:t>zavedenie praxe na ú</w:t>
      </w:r>
      <w:r w:rsidRPr="00DC4DC2">
        <w:rPr>
          <w:rFonts w:ascii="Times New Roman" w:hAnsi="Times New Roman" w:hint="default"/>
          <w:sz w:val="24"/>
          <w:szCs w:val="24"/>
        </w:rPr>
        <w:t>rovni pož</w:t>
      </w:r>
      <w:r w:rsidRPr="00DC4DC2">
        <w:rPr>
          <w:rFonts w:ascii="Times New Roman" w:hAnsi="Times New Roman" w:hint="default"/>
          <w:sz w:val="24"/>
          <w:szCs w:val="24"/>
        </w:rPr>
        <w:t>adovanej EÚ</w:t>
      </w:r>
      <w:r w:rsidRPr="00DC4DC2">
        <w:rPr>
          <w:rFonts w:ascii="Times New Roman" w:hAnsi="Times New Roman" w:hint="default"/>
          <w:sz w:val="24"/>
          <w:szCs w:val="24"/>
        </w:rPr>
        <w:t xml:space="preserve"> a primeranej rozsahu jadrovej energetiky v SR.</w:t>
      </w:r>
    </w:p>
    <w:p w:rsidR="004E1D1D" w:rsidRPr="00DC4DC2" w:rsidP="004E1D1D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C4DC2">
        <w:rPr>
          <w:rFonts w:ascii="Times New Roman" w:hAnsi="Times New Roman" w:hint="default"/>
          <w:sz w:val="24"/>
          <w:szCs w:val="24"/>
        </w:rPr>
        <w:t>Na súč</w:t>
      </w:r>
      <w:r w:rsidRPr="00DC4DC2">
        <w:rPr>
          <w:rFonts w:ascii="Times New Roman" w:hAnsi="Times New Roman" w:hint="default"/>
          <w:sz w:val="24"/>
          <w:szCs w:val="24"/>
        </w:rPr>
        <w:t>asný</w:t>
      </w:r>
      <w:r w:rsidRPr="00DC4DC2">
        <w:rPr>
          <w:rFonts w:ascii="Times New Roman" w:hAnsi="Times New Roman" w:hint="default"/>
          <w:sz w:val="24"/>
          <w:szCs w:val="24"/>
        </w:rPr>
        <w:t xml:space="preserve"> systé</w:t>
      </w:r>
      <w:r w:rsidRPr="00DC4DC2">
        <w:rPr>
          <w:rFonts w:ascii="Times New Roman" w:hAnsi="Times New Roman" w:hint="default"/>
          <w:sz w:val="24"/>
          <w:szCs w:val="24"/>
        </w:rPr>
        <w:t>m financovania š</w:t>
      </w:r>
      <w:r w:rsidRPr="00DC4DC2">
        <w:rPr>
          <w:rFonts w:ascii="Times New Roman" w:hAnsi="Times New Roman" w:hint="default"/>
          <w:sz w:val="24"/>
          <w:szCs w:val="24"/>
        </w:rPr>
        <w:t>tá</w:t>
      </w:r>
      <w:r w:rsidRPr="00DC4DC2">
        <w:rPr>
          <w:rFonts w:ascii="Times New Roman" w:hAnsi="Times New Roman" w:hint="default"/>
          <w:sz w:val="24"/>
          <w:szCs w:val="24"/>
        </w:rPr>
        <w:t>tneho dozoru je mož</w:t>
      </w:r>
      <w:r w:rsidRPr="00DC4DC2">
        <w:rPr>
          <w:rFonts w:ascii="Times New Roman" w:hAnsi="Times New Roman" w:hint="default"/>
          <w:sz w:val="24"/>
          <w:szCs w:val="24"/>
        </w:rPr>
        <w:t>né</w:t>
      </w:r>
      <w:r w:rsidRPr="00DC4DC2">
        <w:rPr>
          <w:rFonts w:ascii="Times New Roman" w:hAnsi="Times New Roman" w:hint="default"/>
          <w:sz w:val="24"/>
          <w:szCs w:val="24"/>
        </w:rPr>
        <w:t xml:space="preserve"> nazerať</w:t>
      </w:r>
      <w:r w:rsidRPr="00DC4DC2">
        <w:rPr>
          <w:rFonts w:ascii="Times New Roman" w:hAnsi="Times New Roman" w:hint="default"/>
          <w:sz w:val="24"/>
          <w:szCs w:val="24"/>
        </w:rPr>
        <w:t xml:space="preserve"> aj z </w:t>
      </w:r>
      <w:r w:rsidRPr="00DC4DC2">
        <w:rPr>
          <w:rFonts w:ascii="Times New Roman" w:hAnsi="Times New Roman" w:hint="default"/>
          <w:sz w:val="24"/>
          <w:szCs w:val="24"/>
        </w:rPr>
        <w:t>pohľ</w:t>
      </w:r>
      <w:r w:rsidRPr="00DC4DC2">
        <w:rPr>
          <w:rFonts w:ascii="Times New Roman" w:hAnsi="Times New Roman" w:hint="default"/>
          <w:sz w:val="24"/>
          <w:szCs w:val="24"/>
        </w:rPr>
        <w:t>adu efektí</w:t>
      </w:r>
      <w:r w:rsidRPr="00DC4DC2">
        <w:rPr>
          <w:rFonts w:ascii="Times New Roman" w:hAnsi="Times New Roman" w:hint="default"/>
          <w:sz w:val="24"/>
          <w:szCs w:val="24"/>
        </w:rPr>
        <w:t>vneho vynakladania verejný</w:t>
      </w:r>
      <w:r w:rsidRPr="00DC4DC2">
        <w:rPr>
          <w:rFonts w:ascii="Times New Roman" w:hAnsi="Times New Roman" w:hint="default"/>
          <w:sz w:val="24"/>
          <w:szCs w:val="24"/>
        </w:rPr>
        <w:t>ch financií</w:t>
      </w:r>
      <w:r w:rsidRPr="00DC4DC2">
        <w:rPr>
          <w:rFonts w:ascii="Times New Roman" w:hAnsi="Times New Roman" w:hint="default"/>
          <w:sz w:val="24"/>
          <w:szCs w:val="24"/>
        </w:rPr>
        <w:t>, kde daň</w:t>
      </w:r>
      <w:r w:rsidRPr="00DC4DC2">
        <w:rPr>
          <w:rFonts w:ascii="Times New Roman" w:hAnsi="Times New Roman" w:hint="default"/>
          <w:sz w:val="24"/>
          <w:szCs w:val="24"/>
        </w:rPr>
        <w:t>ové</w:t>
      </w:r>
      <w:r w:rsidRPr="00DC4DC2">
        <w:rPr>
          <w:rFonts w:ascii="Times New Roman" w:hAnsi="Times New Roman" w:hint="default"/>
          <w:sz w:val="24"/>
          <w:szCs w:val="24"/>
        </w:rPr>
        <w:t xml:space="preserve"> zať</w:t>
      </w:r>
      <w:r w:rsidRPr="00DC4DC2">
        <w:rPr>
          <w:rFonts w:ascii="Times New Roman" w:hAnsi="Times New Roman" w:hint="default"/>
          <w:sz w:val="24"/>
          <w:szCs w:val="24"/>
        </w:rPr>
        <w:t>až</w:t>
      </w:r>
      <w:r w:rsidRPr="00DC4DC2">
        <w:rPr>
          <w:rFonts w:ascii="Times New Roman" w:hAnsi="Times New Roman" w:hint="default"/>
          <w:sz w:val="24"/>
          <w:szCs w:val="24"/>
        </w:rPr>
        <w:t>enie vš</w:t>
      </w:r>
      <w:r w:rsidRPr="00DC4DC2">
        <w:rPr>
          <w:rFonts w:ascii="Times New Roman" w:hAnsi="Times New Roman" w:hint="default"/>
          <w:sz w:val="24"/>
          <w:szCs w:val="24"/>
        </w:rPr>
        <w:t>etký</w:t>
      </w:r>
      <w:r w:rsidRPr="00DC4DC2">
        <w:rPr>
          <w:rFonts w:ascii="Times New Roman" w:hAnsi="Times New Roman" w:hint="default"/>
          <w:sz w:val="24"/>
          <w:szCs w:val="24"/>
        </w:rPr>
        <w:t>ch prá</w:t>
      </w:r>
      <w:r w:rsidRPr="00DC4DC2">
        <w:rPr>
          <w:rFonts w:ascii="Times New Roman" w:hAnsi="Times New Roman" w:hint="default"/>
          <w:sz w:val="24"/>
          <w:szCs w:val="24"/>
        </w:rPr>
        <w:t>vnický</w:t>
      </w:r>
      <w:r w:rsidRPr="00DC4DC2">
        <w:rPr>
          <w:rFonts w:ascii="Times New Roman" w:hAnsi="Times New Roman" w:hint="default"/>
          <w:sz w:val="24"/>
          <w:szCs w:val="24"/>
        </w:rPr>
        <w:t>ch a </w:t>
      </w:r>
      <w:r w:rsidRPr="00DC4DC2">
        <w:rPr>
          <w:rFonts w:ascii="Times New Roman" w:hAnsi="Times New Roman" w:hint="default"/>
          <w:sz w:val="24"/>
          <w:szCs w:val="24"/>
        </w:rPr>
        <w:t>fyzický</w:t>
      </w:r>
      <w:r w:rsidRPr="00DC4DC2">
        <w:rPr>
          <w:rFonts w:ascii="Times New Roman" w:hAnsi="Times New Roman" w:hint="default"/>
          <w:sz w:val="24"/>
          <w:szCs w:val="24"/>
        </w:rPr>
        <w:t>ch osô</w:t>
      </w:r>
      <w:r w:rsidRPr="00DC4DC2">
        <w:rPr>
          <w:rFonts w:ascii="Times New Roman" w:hAnsi="Times New Roman" w:hint="default"/>
          <w:sz w:val="24"/>
          <w:szCs w:val="24"/>
        </w:rPr>
        <w:t>b, ako zdroj š</w:t>
      </w:r>
      <w:r w:rsidRPr="00DC4DC2">
        <w:rPr>
          <w:rFonts w:ascii="Times New Roman" w:hAnsi="Times New Roman" w:hint="default"/>
          <w:sz w:val="24"/>
          <w:szCs w:val="24"/>
        </w:rPr>
        <w:t>tá</w:t>
      </w:r>
      <w:r w:rsidRPr="00DC4DC2">
        <w:rPr>
          <w:rFonts w:ascii="Times New Roman" w:hAnsi="Times New Roman" w:hint="default"/>
          <w:sz w:val="24"/>
          <w:szCs w:val="24"/>
        </w:rPr>
        <w:t>tneho rozpoč</w:t>
      </w:r>
      <w:r w:rsidRPr="00DC4DC2">
        <w:rPr>
          <w:rFonts w:ascii="Times New Roman" w:hAnsi="Times New Roman" w:hint="default"/>
          <w:sz w:val="24"/>
          <w:szCs w:val="24"/>
        </w:rPr>
        <w:t>tu, z </w:t>
      </w:r>
      <w:r w:rsidRPr="00DC4DC2">
        <w:rPr>
          <w:rFonts w:ascii="Times New Roman" w:hAnsi="Times New Roman" w:hint="default"/>
          <w:sz w:val="24"/>
          <w:szCs w:val="24"/>
        </w:rPr>
        <w:t>ktoré</w:t>
      </w:r>
      <w:r w:rsidRPr="00DC4DC2">
        <w:rPr>
          <w:rFonts w:ascii="Times New Roman" w:hAnsi="Times New Roman" w:hint="default"/>
          <w:sz w:val="24"/>
          <w:szCs w:val="24"/>
        </w:rPr>
        <w:t>ho je hradený</w:t>
      </w:r>
      <w:r w:rsidRPr="00DC4DC2">
        <w:rPr>
          <w:rFonts w:ascii="Times New Roman" w:hAnsi="Times New Roman" w:hint="default"/>
          <w:sz w:val="24"/>
          <w:szCs w:val="24"/>
        </w:rPr>
        <w:t xml:space="preserve"> vý</w:t>
      </w:r>
      <w:r w:rsidRPr="00DC4DC2">
        <w:rPr>
          <w:rFonts w:ascii="Times New Roman" w:hAnsi="Times New Roman" w:hint="default"/>
          <w:sz w:val="24"/>
          <w:szCs w:val="24"/>
        </w:rPr>
        <w:t>kon dozoru, predstavuje zvý</w:t>
      </w:r>
      <w:r w:rsidRPr="00DC4DC2">
        <w:rPr>
          <w:rFonts w:ascii="Times New Roman" w:hAnsi="Times New Roman" w:hint="default"/>
          <w:sz w:val="24"/>
          <w:szCs w:val="24"/>
        </w:rPr>
        <w:t>hodnenie vlastní</w:t>
      </w:r>
      <w:r w:rsidRPr="00DC4DC2">
        <w:rPr>
          <w:rFonts w:ascii="Times New Roman" w:hAnsi="Times New Roman" w:hint="default"/>
          <w:sz w:val="24"/>
          <w:szCs w:val="24"/>
        </w:rPr>
        <w:t>kov jadrovo-</w:t>
      </w:r>
      <w:r w:rsidRPr="00DC4DC2">
        <w:rPr>
          <w:rFonts w:ascii="Times New Roman" w:hAnsi="Times New Roman" w:hint="default"/>
          <w:sz w:val="24"/>
          <w:szCs w:val="24"/>
        </w:rPr>
        <w:t>e</w:t>
      </w:r>
      <w:r w:rsidRPr="00DC4DC2">
        <w:rPr>
          <w:rFonts w:ascii="Times New Roman" w:hAnsi="Times New Roman" w:hint="default"/>
          <w:sz w:val="24"/>
          <w:szCs w:val="24"/>
        </w:rPr>
        <w:t>nergetický</w:t>
      </w:r>
      <w:r w:rsidRPr="00DC4DC2">
        <w:rPr>
          <w:rFonts w:ascii="Times New Roman" w:hAnsi="Times New Roman" w:hint="default"/>
          <w:sz w:val="24"/>
          <w:szCs w:val="24"/>
        </w:rPr>
        <w:t>ch zariadení</w:t>
      </w:r>
      <w:r w:rsidRPr="00DC4DC2">
        <w:rPr>
          <w:rFonts w:ascii="Times New Roman" w:hAnsi="Times New Roman" w:hint="default"/>
          <w:sz w:val="24"/>
          <w:szCs w:val="24"/>
        </w:rPr>
        <w:t xml:space="preserve"> oproti iný</w:t>
      </w:r>
      <w:r w:rsidRPr="00DC4DC2">
        <w:rPr>
          <w:rFonts w:ascii="Times New Roman" w:hAnsi="Times New Roman" w:hint="default"/>
          <w:sz w:val="24"/>
          <w:szCs w:val="24"/>
        </w:rPr>
        <w:t>m hospodá</w:t>
      </w:r>
      <w:r w:rsidRPr="00DC4DC2">
        <w:rPr>
          <w:rFonts w:ascii="Times New Roman" w:hAnsi="Times New Roman" w:hint="default"/>
          <w:sz w:val="24"/>
          <w:szCs w:val="24"/>
        </w:rPr>
        <w:t>rskym subjektom, ktoré</w:t>
      </w:r>
      <w:r w:rsidRPr="00DC4DC2">
        <w:rPr>
          <w:rFonts w:ascii="Times New Roman" w:hAnsi="Times New Roman" w:hint="default"/>
          <w:sz w:val="24"/>
          <w:szCs w:val="24"/>
        </w:rPr>
        <w:t xml:space="preserve"> svojou č</w:t>
      </w:r>
      <w:r w:rsidRPr="00DC4DC2">
        <w:rPr>
          <w:rFonts w:ascii="Times New Roman" w:hAnsi="Times New Roman" w:hint="default"/>
          <w:sz w:val="24"/>
          <w:szCs w:val="24"/>
        </w:rPr>
        <w:t>innosť</w:t>
      </w:r>
      <w:r w:rsidRPr="00DC4DC2">
        <w:rPr>
          <w:rFonts w:ascii="Times New Roman" w:hAnsi="Times New Roman" w:hint="default"/>
          <w:sz w:val="24"/>
          <w:szCs w:val="24"/>
        </w:rPr>
        <w:t>ou ná</w:t>
      </w:r>
      <w:r w:rsidRPr="00DC4DC2">
        <w:rPr>
          <w:rFonts w:ascii="Times New Roman" w:hAnsi="Times New Roman" w:hint="default"/>
          <w:sz w:val="24"/>
          <w:szCs w:val="24"/>
        </w:rPr>
        <w:t>roky na vý</w:t>
      </w:r>
      <w:r w:rsidRPr="00DC4DC2">
        <w:rPr>
          <w:rFonts w:ascii="Times New Roman" w:hAnsi="Times New Roman" w:hint="default"/>
          <w:sz w:val="24"/>
          <w:szCs w:val="24"/>
        </w:rPr>
        <w:t>kon osobitné</w:t>
      </w:r>
      <w:r w:rsidRPr="00DC4DC2">
        <w:rPr>
          <w:rFonts w:ascii="Times New Roman" w:hAnsi="Times New Roman" w:hint="default"/>
          <w:sz w:val="24"/>
          <w:szCs w:val="24"/>
        </w:rPr>
        <w:t>ho š</w:t>
      </w:r>
      <w:r w:rsidRPr="00DC4DC2">
        <w:rPr>
          <w:rFonts w:ascii="Times New Roman" w:hAnsi="Times New Roman" w:hint="default"/>
          <w:sz w:val="24"/>
          <w:szCs w:val="24"/>
        </w:rPr>
        <w:t>tá</w:t>
      </w:r>
      <w:r w:rsidRPr="00DC4DC2">
        <w:rPr>
          <w:rFonts w:ascii="Times New Roman" w:hAnsi="Times New Roman" w:hint="default"/>
          <w:sz w:val="24"/>
          <w:szCs w:val="24"/>
        </w:rPr>
        <w:t>tneho dozoru nevyvolá</w:t>
      </w:r>
      <w:r w:rsidRPr="00DC4DC2">
        <w:rPr>
          <w:rFonts w:ascii="Times New Roman" w:hAnsi="Times New Roman" w:hint="default"/>
          <w:sz w:val="24"/>
          <w:szCs w:val="24"/>
        </w:rPr>
        <w:t>vajú.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lohe uvá</w:t>
      </w:r>
      <w:r>
        <w:rPr>
          <w:rFonts w:ascii="Times New Roman" w:hAnsi="Times New Roman" w:hint="default"/>
          <w:sz w:val="24"/>
          <w:szCs w:val="24"/>
        </w:rPr>
        <w:t>dzame ná</w:t>
      </w:r>
      <w:r>
        <w:rPr>
          <w:rFonts w:ascii="Times New Roman" w:hAnsi="Times New Roman" w:hint="default"/>
          <w:sz w:val="24"/>
          <w:szCs w:val="24"/>
        </w:rPr>
        <w:t xml:space="preserve">vrh </w:t>
      </w:r>
      <w:r w:rsidRPr="00DC4DC2">
        <w:rPr>
          <w:rFonts w:ascii="Times New Roman" w:hAnsi="Times New Roman" w:hint="default"/>
          <w:sz w:val="24"/>
          <w:szCs w:val="24"/>
        </w:rPr>
        <w:t>vý</w:t>
      </w:r>
      <w:r w:rsidRPr="00DC4DC2">
        <w:rPr>
          <w:rFonts w:ascii="Times New Roman" w:hAnsi="Times New Roman" w:hint="default"/>
          <w:sz w:val="24"/>
          <w:szCs w:val="24"/>
        </w:rPr>
        <w:t>poč</w:t>
      </w:r>
      <w:r w:rsidRPr="00DC4DC2">
        <w:rPr>
          <w:rFonts w:ascii="Times New Roman" w:hAnsi="Times New Roman" w:hint="default"/>
          <w:sz w:val="24"/>
          <w:szCs w:val="24"/>
        </w:rPr>
        <w:t>tu roč</w:t>
      </w:r>
      <w:r w:rsidRPr="00DC4DC2">
        <w:rPr>
          <w:rFonts w:ascii="Times New Roman" w:hAnsi="Times New Roman" w:hint="default"/>
          <w:sz w:val="24"/>
          <w:szCs w:val="24"/>
        </w:rPr>
        <w:t>né</w:t>
      </w:r>
      <w:r w:rsidRPr="00DC4DC2">
        <w:rPr>
          <w:rFonts w:ascii="Times New Roman" w:hAnsi="Times New Roman" w:hint="default"/>
          <w:sz w:val="24"/>
          <w:szCs w:val="24"/>
        </w:rPr>
        <w:t>ho poplatku na zá</w:t>
      </w:r>
      <w:r w:rsidRPr="00DC4DC2">
        <w:rPr>
          <w:rFonts w:ascii="Times New Roman" w:hAnsi="Times New Roman" w:hint="default"/>
          <w:sz w:val="24"/>
          <w:szCs w:val="24"/>
        </w:rPr>
        <w:t>klade navrhovaný</w:t>
      </w:r>
      <w:r w:rsidRPr="00DC4DC2">
        <w:rPr>
          <w:rFonts w:ascii="Times New Roman" w:hAnsi="Times New Roman" w:hint="default"/>
          <w:sz w:val="24"/>
          <w:szCs w:val="24"/>
        </w:rPr>
        <w:t>ch prí</w:t>
      </w:r>
      <w:r w:rsidRPr="00DC4DC2">
        <w:rPr>
          <w:rFonts w:ascii="Times New Roman" w:hAnsi="Times New Roman" w:hint="default"/>
          <w:sz w:val="24"/>
          <w:szCs w:val="24"/>
        </w:rPr>
        <w:t>spevkov</w:t>
      </w:r>
      <w:r>
        <w:rPr>
          <w:rFonts w:ascii="Times New Roman" w:hAnsi="Times New Roman" w:hint="default"/>
          <w:sz w:val="24"/>
          <w:szCs w:val="24"/>
        </w:rPr>
        <w:t>, no nie je uvedený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poč</w:t>
      </w:r>
      <w:r>
        <w:rPr>
          <w:rFonts w:ascii="Times New Roman" w:hAnsi="Times New Roman" w:hint="default"/>
          <w:sz w:val="24"/>
          <w:szCs w:val="24"/>
        </w:rPr>
        <w:t>et roč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poplatku od zdravotní</w:t>
      </w:r>
      <w:r>
        <w:rPr>
          <w:rFonts w:ascii="Times New Roman" w:hAnsi="Times New Roman" w:hint="default"/>
          <w:sz w:val="24"/>
          <w:szCs w:val="24"/>
        </w:rPr>
        <w:t>ckych zariadení.</w:t>
      </w:r>
    </w:p>
    <w:p w:rsidR="004E1D1D" w:rsidRPr="00EC368F" w:rsidP="007D1264">
      <w:pPr>
        <w:autoSpaceDE w:val="0"/>
        <w:autoSpaceDN w:val="0"/>
        <w:bidi w:val="0"/>
        <w:adjustRightInd w:val="0"/>
        <w:ind w:firstLine="426"/>
        <w:jc w:val="both"/>
      </w:pPr>
    </w:p>
    <w:p w:rsidR="00E54AFE" w:rsidP="00CE26E4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AFE" w:rsidP="00CE26E4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63B" w:rsidRPr="007D5748" w:rsidP="00E3363B">
      <w:pPr>
        <w:bidi w:val="0"/>
        <w:outlineLvl w:val="0"/>
        <w:rPr>
          <w:rFonts w:hint="default"/>
          <w:b/>
          <w:bCs/>
        </w:rPr>
      </w:pPr>
      <w:r w:rsidRPr="007D5748">
        <w:rPr>
          <w:rFonts w:hint="default"/>
          <w:b/>
          <w:bCs/>
        </w:rPr>
        <w:t>2.2.2. Charakteristika ná</w:t>
      </w:r>
      <w:r w:rsidRPr="007D5748">
        <w:rPr>
          <w:rFonts w:hint="default"/>
          <w:b/>
          <w:bCs/>
        </w:rPr>
        <w:t>vrhu:</w:t>
      </w:r>
    </w:p>
    <w:p w:rsidR="00E3363B" w:rsidRPr="007D5748" w:rsidP="00E3363B">
      <w:pPr>
        <w:bidi w:val="0"/>
      </w:pPr>
    </w:p>
    <w:p w:rsidR="00E3363B" w:rsidRPr="007D5748" w:rsidP="00E3363B">
      <w:pPr>
        <w:bidi w:val="0"/>
      </w:pPr>
      <w:r w:rsidRPr="007D5748">
        <w:rPr>
          <w:b/>
          <w:bdr w:val="single" w:sz="4" w:space="0" w:color="auto"/>
        </w:rPr>
        <w:t xml:space="preserve">     </w:t>
      </w:r>
      <w:r w:rsidRPr="007D5748">
        <w:rPr>
          <w:b/>
        </w:rPr>
        <w:t xml:space="preserve">  </w:t>
      </w:r>
      <w:r w:rsidRPr="007D5748">
        <w:t>zmena sadzby</w:t>
      </w:r>
    </w:p>
    <w:p w:rsidR="00E3363B" w:rsidRPr="007D5748" w:rsidP="00E3363B">
      <w:pPr>
        <w:bidi w:val="0"/>
        <w:rPr>
          <w:rFonts w:hint="default"/>
        </w:rPr>
      </w:pPr>
      <w:r w:rsidRPr="007D5748">
        <w:rPr>
          <w:bdr w:val="single" w:sz="4" w:space="0" w:color="auto"/>
        </w:rPr>
        <w:t xml:space="preserve">     </w:t>
      </w:r>
      <w:r w:rsidRPr="007D5748">
        <w:t xml:space="preserve">  zmena v </w:t>
      </w:r>
      <w:r w:rsidRPr="007D5748">
        <w:rPr>
          <w:rFonts w:hint="default"/>
        </w:rPr>
        <w:t>ná</w:t>
      </w:r>
      <w:r w:rsidRPr="007D5748">
        <w:rPr>
          <w:rFonts w:hint="default"/>
        </w:rPr>
        <w:t>roku</w:t>
      </w:r>
    </w:p>
    <w:p w:rsidR="00E3363B" w:rsidRPr="007D5748" w:rsidP="00E3363B">
      <w:pPr>
        <w:bidi w:val="0"/>
        <w:rPr>
          <w:rFonts w:hint="default"/>
        </w:rPr>
      </w:pPr>
      <w:r w:rsidRPr="007D5748">
        <w:rPr>
          <w:bdr w:val="single" w:sz="4" w:space="0" w:color="auto"/>
        </w:rPr>
        <w:t xml:space="preserve"> </w:t>
      </w:r>
      <w:r w:rsidRPr="007D5748" w:rsidR="00AF6957">
        <w:rPr>
          <w:bdr w:val="single" w:sz="4" w:space="0" w:color="auto"/>
        </w:rPr>
        <w:t xml:space="preserve">    </w:t>
      </w:r>
      <w:r w:rsidRPr="007D5748">
        <w:rPr>
          <w:rFonts w:hint="default"/>
        </w:rPr>
        <w:t xml:space="preserve">  nová</w:t>
      </w:r>
      <w:r w:rsidRPr="007D5748">
        <w:rPr>
          <w:rFonts w:hint="default"/>
        </w:rPr>
        <w:t xml:space="preserve"> služ</w:t>
      </w:r>
      <w:r w:rsidRPr="007D5748">
        <w:rPr>
          <w:rFonts w:hint="default"/>
        </w:rPr>
        <w:t>ba alebo nariadenie (alebo ich zruš</w:t>
      </w:r>
      <w:r w:rsidRPr="007D5748">
        <w:rPr>
          <w:rFonts w:hint="default"/>
        </w:rPr>
        <w:t>enie)</w:t>
      </w:r>
    </w:p>
    <w:p w:rsidR="00E3363B" w:rsidRPr="007D5748" w:rsidP="00E3363B">
      <w:pPr>
        <w:bidi w:val="0"/>
        <w:rPr>
          <w:rFonts w:hint="default"/>
        </w:rPr>
      </w:pPr>
      <w:r w:rsidRPr="007D5748">
        <w:rPr>
          <w:bdr w:val="single" w:sz="4" w:space="0" w:color="auto"/>
        </w:rPr>
        <w:t xml:space="preserve">     </w:t>
      </w:r>
      <w:r w:rsidRPr="007D5748">
        <w:rPr>
          <w:rFonts w:hint="default"/>
        </w:rPr>
        <w:t xml:space="preserve">  kombinovaný</w:t>
      </w:r>
      <w:r w:rsidRPr="007D5748">
        <w:rPr>
          <w:rFonts w:hint="default"/>
        </w:rPr>
        <w:t xml:space="preserve"> ná</w:t>
      </w:r>
      <w:r w:rsidRPr="007D5748">
        <w:rPr>
          <w:rFonts w:hint="default"/>
        </w:rPr>
        <w:t>vrh</w:t>
      </w:r>
    </w:p>
    <w:p w:rsidR="00E3363B" w:rsidRPr="007D5748" w:rsidP="00E3363B">
      <w:pPr>
        <w:bidi w:val="0"/>
        <w:rPr>
          <w:rFonts w:hint="default"/>
        </w:rPr>
      </w:pPr>
      <w:r w:rsidRPr="007D5748">
        <w:rPr>
          <w:bdr w:val="single" w:sz="4" w:space="0" w:color="auto"/>
        </w:rPr>
        <w:t xml:space="preserve">  </w:t>
      </w:r>
      <w:r w:rsidR="00CE4EDD">
        <w:rPr>
          <w:bdr w:val="single" w:sz="4" w:space="0" w:color="auto"/>
        </w:rPr>
        <w:t>x</w:t>
      </w:r>
      <w:r w:rsidRPr="007D5748">
        <w:rPr>
          <w:bdr w:val="single" w:sz="4" w:space="0" w:color="auto"/>
        </w:rPr>
        <w:t xml:space="preserve"> </w:t>
      </w:r>
      <w:r w:rsidRPr="007D5748">
        <w:rPr>
          <w:rFonts w:hint="default"/>
        </w:rPr>
        <w:t xml:space="preserve">  iné</w:t>
      </w:r>
      <w:r w:rsidRPr="007D5748">
        <w:rPr>
          <w:rFonts w:hint="default"/>
        </w:rPr>
        <w:t xml:space="preserve"> </w:t>
      </w:r>
    </w:p>
    <w:p w:rsidR="00E3363B" w:rsidRPr="007D5748" w:rsidP="00E3363B">
      <w:pPr>
        <w:bidi w:val="0"/>
        <w:rPr>
          <w:rFonts w:hint="default"/>
        </w:rPr>
      </w:pPr>
    </w:p>
    <w:p w:rsidR="00E3363B" w:rsidRPr="007D5748" w:rsidP="00E3363B">
      <w:pPr>
        <w:bidi w:val="0"/>
        <w:rPr>
          <w:rFonts w:hint="default"/>
        </w:rPr>
      </w:pPr>
    </w:p>
    <w:p w:rsidR="00E3363B" w:rsidRPr="007D5748" w:rsidP="00E3363B">
      <w:pPr>
        <w:bidi w:val="0"/>
        <w:outlineLvl w:val="0"/>
      </w:pPr>
      <w:r w:rsidRPr="007D5748">
        <w:rPr>
          <w:rFonts w:hint="default"/>
          <w:b/>
          <w:bCs/>
        </w:rPr>
        <w:t>2.2.3. Predpoklady vý</w:t>
      </w:r>
      <w:r w:rsidRPr="007D5748">
        <w:rPr>
          <w:rFonts w:hint="default"/>
          <w:b/>
          <w:bCs/>
        </w:rPr>
        <w:t>voja objemu aktiví</w:t>
      </w:r>
      <w:r w:rsidRPr="007D5748">
        <w:rPr>
          <w:rFonts w:hint="default"/>
          <w:b/>
          <w:bCs/>
        </w:rPr>
        <w:t>t:</w:t>
      </w:r>
    </w:p>
    <w:p w:rsidR="00E3363B" w:rsidRPr="007D5748" w:rsidP="00E3363B">
      <w:pPr>
        <w:bidi w:val="0"/>
      </w:pPr>
    </w:p>
    <w:p w:rsidR="00E3363B" w:rsidP="00E3363B">
      <w:pPr>
        <w:bidi w:val="0"/>
        <w:ind w:firstLine="708"/>
        <w:jc w:val="both"/>
      </w:pPr>
      <w:r w:rsidRPr="007D5748">
        <w:rPr>
          <w:rFonts w:hint="default"/>
        </w:rPr>
        <w:t>Jasne popíš</w:t>
      </w:r>
      <w:r w:rsidRPr="007D5748">
        <w:rPr>
          <w:rFonts w:hint="default"/>
        </w:rPr>
        <w:t>te, v </w:t>
      </w:r>
      <w:r w:rsidRPr="007D5748">
        <w:rPr>
          <w:rFonts w:hint="default"/>
        </w:rPr>
        <w:t>prí</w:t>
      </w:r>
      <w:r w:rsidRPr="007D5748">
        <w:rPr>
          <w:rFonts w:hint="default"/>
        </w:rPr>
        <w:t>pade potreby použ</w:t>
      </w:r>
      <w:r w:rsidRPr="007D5748">
        <w:rPr>
          <w:rFonts w:hint="default"/>
        </w:rPr>
        <w:t>ite nižš</w:t>
      </w:r>
      <w:r w:rsidRPr="007D5748">
        <w:rPr>
          <w:rFonts w:hint="default"/>
        </w:rPr>
        <w:t>ie uvedenú</w:t>
      </w:r>
      <w:r w:rsidRPr="007D5748">
        <w:rPr>
          <w:rFonts w:hint="default"/>
        </w:rPr>
        <w:t xml:space="preserve"> tabuľ</w:t>
      </w:r>
      <w:r w:rsidRPr="007D5748">
        <w:rPr>
          <w:rFonts w:hint="default"/>
        </w:rPr>
        <w:t>ku. Uveď</w:t>
      </w:r>
      <w:r w:rsidRPr="007D5748">
        <w:rPr>
          <w:rFonts w:hint="default"/>
        </w:rPr>
        <w:t>te aj odhady zá</w:t>
      </w:r>
      <w:r w:rsidRPr="007D5748">
        <w:rPr>
          <w:rFonts w:hint="default"/>
        </w:rPr>
        <w:t>kladov daní</w:t>
      </w:r>
      <w:r w:rsidRPr="007D5748">
        <w:rPr>
          <w:rFonts w:hint="default"/>
        </w:rPr>
        <w:t xml:space="preserve"> a/alebo poplatkov, ak sa ich tá</w:t>
      </w:r>
      <w:r w:rsidRPr="007D5748">
        <w:rPr>
          <w:rFonts w:hint="default"/>
        </w:rPr>
        <w:t>to zmena tý</w:t>
      </w:r>
      <w:r w:rsidRPr="007D5748">
        <w:rPr>
          <w:rFonts w:hint="default"/>
        </w:rPr>
        <w:t>ka.</w:t>
      </w:r>
    </w:p>
    <w:p w:rsidR="00E3363B" w:rsidP="00E3363B">
      <w:pPr>
        <w:bidi w:val="0"/>
        <w:jc w:val="both"/>
      </w:pPr>
    </w:p>
    <w:p w:rsidR="00E3363B" w:rsidRPr="007D5748" w:rsidP="00E3363B">
      <w:pPr>
        <w:bidi w:val="0"/>
        <w:jc w:val="right"/>
        <w:outlineLvl w:val="0"/>
        <w:rPr>
          <w:rFonts w:hint="default"/>
          <w:sz w:val="20"/>
          <w:szCs w:val="20"/>
        </w:rPr>
      </w:pPr>
      <w:r w:rsidRPr="007D5748">
        <w:rPr>
          <w:rFonts w:hint="default"/>
          <w:sz w:val="20"/>
          <w:szCs w:val="20"/>
        </w:rPr>
        <w:t>Tabuľ</w:t>
      </w:r>
      <w:r w:rsidRPr="007D5748">
        <w:rPr>
          <w:rFonts w:hint="default"/>
          <w:sz w:val="20"/>
          <w:szCs w:val="20"/>
        </w:rPr>
        <w:t>ka č</w:t>
      </w:r>
      <w:r w:rsidRPr="007D5748">
        <w:rPr>
          <w:rFonts w:hint="default"/>
          <w:sz w:val="20"/>
          <w:szCs w:val="20"/>
        </w:rPr>
        <w:t xml:space="preserve">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center"/>
              <w:rPr>
                <w:rFonts w:hint="default"/>
                <w:b/>
                <w:bCs/>
              </w:rPr>
            </w:pPr>
            <w:r w:rsidRPr="007D5748">
              <w:rPr>
                <w:rFonts w:hint="default"/>
                <w:b/>
                <w:bCs/>
              </w:rPr>
              <w:t>Objem aktiví</w:t>
            </w:r>
            <w:r w:rsidRPr="007D5748">
              <w:rPr>
                <w:rFonts w:hint="default"/>
                <w:b/>
                <w:bCs/>
              </w:rPr>
              <w:t>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center"/>
              <w:rPr>
                <w:rFonts w:hint="default"/>
                <w:b/>
                <w:bCs/>
              </w:rPr>
            </w:pPr>
            <w:r w:rsidRPr="007D5748">
              <w:rPr>
                <w:rFonts w:hint="default"/>
                <w:b/>
                <w:bCs/>
              </w:rPr>
              <w:t>Odhadované</w:t>
            </w:r>
            <w:r w:rsidRPr="007D5748">
              <w:rPr>
                <w:rFonts w:hint="default"/>
                <w:b/>
                <w:bCs/>
              </w:rPr>
              <w:t xml:space="preserve">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7D5748" w:rsidP="00DA641C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A641C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7D5748" w:rsidP="00DA641C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DA641C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7D5748" w:rsidP="00DA641C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A641C">
              <w:rPr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7D5748" w:rsidP="00DA641C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A641C">
              <w:rPr>
                <w:b/>
                <w:bCs/>
              </w:rPr>
              <w:t>0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rPr>
                <w:rFonts w:hint="default"/>
                <w:color w:val="000000"/>
              </w:rPr>
            </w:pPr>
            <w:r w:rsidRPr="007D5748">
              <w:rPr>
                <w:rFonts w:hint="default"/>
                <w:color w:val="000000"/>
              </w:rPr>
              <w:t>Indiká</w:t>
            </w:r>
            <w:r w:rsidRPr="007D5748">
              <w:rPr>
                <w:rFonts w:hint="default"/>
                <w:color w:val="000000"/>
              </w:rPr>
              <w:t>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rPr>
                <w:rFonts w:hint="default"/>
                <w:color w:val="000000"/>
              </w:rPr>
            </w:pPr>
            <w:r w:rsidRPr="007D5748">
              <w:rPr>
                <w:rFonts w:hint="default"/>
                <w:color w:val="000000"/>
              </w:rPr>
              <w:t>Indiká</w:t>
            </w:r>
            <w:r w:rsidRPr="007D5748">
              <w:rPr>
                <w:rFonts w:hint="default"/>
                <w:color w:val="000000"/>
              </w:rPr>
              <w:t>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rPr>
                <w:rFonts w:hint="default"/>
                <w:color w:val="000000"/>
              </w:rPr>
            </w:pPr>
            <w:r w:rsidRPr="007D5748">
              <w:rPr>
                <w:rFonts w:hint="default"/>
                <w:color w:val="000000"/>
              </w:rPr>
              <w:t>Indiká</w:t>
            </w:r>
            <w:r w:rsidRPr="007D5748">
              <w:rPr>
                <w:rFonts w:hint="default"/>
                <w:color w:val="000000"/>
              </w:rPr>
              <w:t>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7D5748" w:rsidP="00E3363B">
            <w:pPr>
              <w:autoSpaceDE w:val="0"/>
              <w:autoSpaceDN w:val="0"/>
              <w:bidi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E3363B" w:rsidRPr="007D5748" w:rsidP="00E3363B">
      <w:pPr>
        <w:bidi w:val="0"/>
      </w:pPr>
    </w:p>
    <w:p w:rsidR="00E3363B" w:rsidRPr="007D5748" w:rsidP="00E3363B">
      <w:pPr>
        <w:bidi w:val="0"/>
      </w:pPr>
    </w:p>
    <w:p w:rsidR="00E3363B" w:rsidRPr="007D5748" w:rsidP="00E3363B">
      <w:pPr>
        <w:bidi w:val="0"/>
        <w:outlineLvl w:val="0"/>
        <w:rPr>
          <w:rFonts w:hint="default"/>
          <w:b/>
          <w:bCs/>
        </w:rPr>
      </w:pPr>
      <w:r w:rsidRPr="007D5748">
        <w:rPr>
          <w:rFonts w:hint="default"/>
          <w:b/>
          <w:bCs/>
        </w:rPr>
        <w:t>2.2.4. Vý</w:t>
      </w:r>
      <w:r w:rsidRPr="007D5748">
        <w:rPr>
          <w:rFonts w:hint="default"/>
          <w:b/>
          <w:bCs/>
        </w:rPr>
        <w:t>poč</w:t>
      </w:r>
      <w:r w:rsidRPr="007D5748">
        <w:rPr>
          <w:rFonts w:hint="default"/>
          <w:b/>
          <w:bCs/>
        </w:rPr>
        <w:t>ty vplyvov na verejné</w:t>
      </w:r>
      <w:r w:rsidRPr="007D5748">
        <w:rPr>
          <w:rFonts w:hint="default"/>
          <w:b/>
          <w:bCs/>
        </w:rPr>
        <w:t xml:space="preserve"> financie</w:t>
      </w:r>
    </w:p>
    <w:p w:rsidR="00E3363B" w:rsidRPr="007D5748" w:rsidP="00E3363B">
      <w:pPr>
        <w:bidi w:val="0"/>
      </w:pPr>
    </w:p>
    <w:p w:rsidR="00E3363B" w:rsidRPr="007D5748" w:rsidP="00EA7022">
      <w:pPr>
        <w:bidi w:val="0"/>
        <w:ind w:firstLine="708"/>
        <w:jc w:val="both"/>
        <w:rPr>
          <w:rFonts w:hint="default"/>
        </w:rPr>
      </w:pPr>
      <w:r w:rsidRPr="007D5748">
        <w:rPr>
          <w:rFonts w:hint="default"/>
        </w:rPr>
        <w:t>Uveď</w:t>
      </w:r>
      <w:r w:rsidRPr="007D5748">
        <w:rPr>
          <w:rFonts w:hint="default"/>
        </w:rPr>
        <w:t>te najdô</w:t>
      </w:r>
      <w:r w:rsidRPr="007D5748">
        <w:rPr>
          <w:rFonts w:hint="default"/>
        </w:rPr>
        <w:t>lež</w:t>
      </w:r>
      <w:r w:rsidRPr="007D5748">
        <w:rPr>
          <w:rFonts w:hint="default"/>
        </w:rPr>
        <w:t>itejš</w:t>
      </w:r>
      <w:r w:rsidRPr="007D5748">
        <w:rPr>
          <w:rFonts w:hint="default"/>
        </w:rPr>
        <w:t>ie vý</w:t>
      </w:r>
      <w:r w:rsidRPr="007D5748">
        <w:rPr>
          <w:rFonts w:hint="default"/>
        </w:rPr>
        <w:t>poč</w:t>
      </w:r>
      <w:r w:rsidRPr="007D5748">
        <w:rPr>
          <w:rFonts w:hint="default"/>
        </w:rPr>
        <w:t>ty, ktoré</w:t>
      </w:r>
      <w:r w:rsidRPr="007D5748">
        <w:rPr>
          <w:rFonts w:hint="default"/>
        </w:rPr>
        <w:t xml:space="preserve"> boli použ</w:t>
      </w:r>
      <w:r w:rsidRPr="007D5748">
        <w:rPr>
          <w:rFonts w:hint="default"/>
        </w:rPr>
        <w:t>ité</w:t>
      </w:r>
      <w:r w:rsidRPr="007D5748">
        <w:rPr>
          <w:rFonts w:hint="default"/>
        </w:rPr>
        <w:t xml:space="preserve"> na stanovenie vplyvov na prí</w:t>
      </w:r>
      <w:r w:rsidRPr="007D5748">
        <w:rPr>
          <w:rFonts w:hint="default"/>
        </w:rPr>
        <w:t>jmy a </w:t>
      </w:r>
      <w:r w:rsidRPr="007D5748">
        <w:rPr>
          <w:rFonts w:hint="default"/>
        </w:rPr>
        <w:t>vý</w:t>
      </w:r>
      <w:r w:rsidRPr="007D5748">
        <w:rPr>
          <w:rFonts w:hint="default"/>
        </w:rPr>
        <w:t>davky ako aj predpoklady, z </w:t>
      </w:r>
      <w:r w:rsidRPr="007D5748">
        <w:rPr>
          <w:rFonts w:hint="default"/>
        </w:rPr>
        <w:t>ktorý</w:t>
      </w:r>
      <w:r w:rsidRPr="007D5748">
        <w:rPr>
          <w:rFonts w:hint="default"/>
        </w:rPr>
        <w:t>ch ste vychá</w:t>
      </w:r>
      <w:r w:rsidRPr="007D5748">
        <w:rPr>
          <w:rFonts w:hint="default"/>
        </w:rPr>
        <w:t>dzali. Predkladateľ</w:t>
      </w:r>
      <w:r w:rsidRPr="007D5748">
        <w:rPr>
          <w:rFonts w:hint="default"/>
        </w:rPr>
        <w:t xml:space="preserve"> by mal jasne odlíš</w:t>
      </w:r>
      <w:r w:rsidRPr="007D5748">
        <w:rPr>
          <w:rFonts w:hint="default"/>
        </w:rPr>
        <w:t>iť</w:t>
      </w:r>
      <w:r w:rsidRPr="007D5748">
        <w:rPr>
          <w:rFonts w:hint="default"/>
        </w:rPr>
        <w:t xml:space="preserve"> podklady od kapitol a </w:t>
      </w:r>
      <w:r w:rsidRPr="007D5748">
        <w:rPr>
          <w:rFonts w:hint="default"/>
        </w:rPr>
        <w:t>organizá</w:t>
      </w:r>
      <w:r w:rsidRPr="007D5748">
        <w:rPr>
          <w:rFonts w:hint="default"/>
        </w:rPr>
        <w:t>cií</w:t>
      </w:r>
      <w:r w:rsidRPr="007D5748">
        <w:rPr>
          <w:rFonts w:hint="default"/>
        </w:rPr>
        <w:t>, aby bolo jasne vidieť</w:t>
      </w:r>
      <w:r w:rsidRPr="007D5748">
        <w:rPr>
          <w:rFonts w:hint="default"/>
        </w:rPr>
        <w:t xml:space="preserve"> zá</w:t>
      </w:r>
      <w:r w:rsidRPr="007D5748">
        <w:rPr>
          <w:rFonts w:hint="default"/>
        </w:rPr>
        <w:t>klad použ</w:t>
      </w:r>
      <w:r w:rsidRPr="007D5748">
        <w:rPr>
          <w:rFonts w:hint="default"/>
        </w:rPr>
        <w:t>itý</w:t>
      </w:r>
      <w:r w:rsidRPr="007D5748">
        <w:rPr>
          <w:rFonts w:hint="default"/>
        </w:rPr>
        <w:t xml:space="preserve"> na vý</w:t>
      </w:r>
      <w:r w:rsidRPr="007D5748">
        <w:rPr>
          <w:rFonts w:hint="default"/>
        </w:rPr>
        <w:t>poč</w:t>
      </w:r>
      <w:r w:rsidRPr="007D5748">
        <w:rPr>
          <w:rFonts w:hint="default"/>
        </w:rPr>
        <w:t>ty.</w:t>
      </w:r>
    </w:p>
    <w:p w:rsidR="00E3363B" w:rsidP="00EA7022">
      <w:pPr>
        <w:bidi w:val="0"/>
        <w:jc w:val="both"/>
      </w:pPr>
    </w:p>
    <w:p w:rsidR="0015154A" w:rsidP="0015154A">
      <w:pPr>
        <w:bidi w:val="0"/>
        <w:jc w:val="both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>jmová</w:t>
      </w:r>
      <w:r>
        <w:rPr>
          <w:rFonts w:hint="default"/>
        </w:rPr>
        <w:t xml:space="preserve"> strana:</w:t>
      </w:r>
    </w:p>
    <w:p w:rsidR="0015154A" w:rsidP="007D1264">
      <w:pPr>
        <w:bidi w:val="0"/>
        <w:ind w:firstLine="426"/>
        <w:jc w:val="both"/>
        <w:rPr>
          <w:rFonts w:hint="default"/>
        </w:rPr>
      </w:pPr>
      <w:r>
        <w:rPr>
          <w:rFonts w:hint="default"/>
        </w:rPr>
        <w:t>Súč</w:t>
      </w:r>
      <w:r>
        <w:rPr>
          <w:rFonts w:hint="default"/>
        </w:rPr>
        <w:t>asť</w:t>
      </w:r>
      <w:r>
        <w:rPr>
          <w:rFonts w:hint="default"/>
        </w:rPr>
        <w:t>ou systé</w:t>
      </w:r>
      <w:r>
        <w:rPr>
          <w:rFonts w:hint="default"/>
        </w:rPr>
        <w:t>mu kvality sú</w:t>
      </w:r>
      <w:r>
        <w:rPr>
          <w:rFonts w:hint="default"/>
        </w:rPr>
        <w:t xml:space="preserve"> povinné</w:t>
      </w:r>
      <w:r>
        <w:rPr>
          <w:rFonts w:hint="default"/>
        </w:rPr>
        <w:t xml:space="preserve"> klinické</w:t>
      </w:r>
      <w:r>
        <w:rPr>
          <w:rFonts w:hint="default"/>
        </w:rPr>
        <w:t xml:space="preserve"> audity, ktorý</w:t>
      </w:r>
      <w:r>
        <w:rPr>
          <w:rFonts w:hint="default"/>
        </w:rPr>
        <w:t>mi sa budú</w:t>
      </w:r>
      <w:r>
        <w:rPr>
          <w:rFonts w:hint="default"/>
        </w:rPr>
        <w:t xml:space="preserve"> systematicky preverovať</w:t>
      </w:r>
      <w:r>
        <w:rPr>
          <w:rFonts w:hint="default"/>
        </w:rPr>
        <w:t xml:space="preserve"> a hodnotiť</w:t>
      </w:r>
      <w:r>
        <w:rPr>
          <w:rFonts w:hint="default"/>
        </w:rPr>
        <w:t xml:space="preserve"> leká</w:t>
      </w:r>
      <w:r>
        <w:rPr>
          <w:rFonts w:hint="default"/>
        </w:rPr>
        <w:t>rske diagnostické</w:t>
      </w:r>
      <w:r>
        <w:rPr>
          <w:rFonts w:hint="default"/>
        </w:rPr>
        <w:t xml:space="preserve"> a </w:t>
      </w:r>
      <w:r>
        <w:rPr>
          <w:rFonts w:hint="default"/>
        </w:rPr>
        <w:t>lieč</w:t>
      </w:r>
      <w:r>
        <w:rPr>
          <w:rFonts w:hint="default"/>
        </w:rPr>
        <w:t>ebné</w:t>
      </w:r>
      <w:r>
        <w:rPr>
          <w:rFonts w:hint="default"/>
        </w:rPr>
        <w:t xml:space="preserve"> postupy v </w:t>
      </w:r>
      <w:r>
        <w:rPr>
          <w:rFonts w:hint="default"/>
        </w:rPr>
        <w:t>sú</w:t>
      </w:r>
      <w:r>
        <w:rPr>
          <w:rFonts w:hint="default"/>
        </w:rPr>
        <w:t>vislosti s </w:t>
      </w:r>
      <w:r>
        <w:rPr>
          <w:rFonts w:hint="default"/>
        </w:rPr>
        <w:t>vykoná</w:t>
      </w:r>
      <w:r>
        <w:rPr>
          <w:rFonts w:hint="default"/>
        </w:rPr>
        <w:t>vaní</w:t>
      </w:r>
      <w:r>
        <w:rPr>
          <w:rFonts w:hint="default"/>
        </w:rPr>
        <w:t>m leká</w:t>
      </w:r>
      <w:r>
        <w:rPr>
          <w:rFonts w:hint="default"/>
        </w:rPr>
        <w:t>rskeho ož</w:t>
      </w:r>
      <w:r>
        <w:rPr>
          <w:rFonts w:hint="default"/>
        </w:rPr>
        <w:t>iarenia. Cieľ</w:t>
      </w:r>
      <w:r>
        <w:rPr>
          <w:rFonts w:hint="default"/>
        </w:rPr>
        <w:t>om klinické</w:t>
      </w:r>
      <w:r>
        <w:rPr>
          <w:rFonts w:hint="default"/>
        </w:rPr>
        <w:t>ho auditu je zlepš</w:t>
      </w:r>
      <w:r>
        <w:rPr>
          <w:rFonts w:hint="default"/>
        </w:rPr>
        <w:t>iť</w:t>
      </w:r>
      <w:r>
        <w:rPr>
          <w:rFonts w:hint="default"/>
        </w:rPr>
        <w:t xml:space="preserve"> kvalitu poskytovania zdravotnej starostlivosti; vý</w:t>
      </w:r>
      <w:r>
        <w:rPr>
          <w:rFonts w:hint="default"/>
        </w:rPr>
        <w:t>sledky sa porovná</w:t>
      </w:r>
      <w:r>
        <w:rPr>
          <w:rFonts w:hint="default"/>
        </w:rPr>
        <w:t>vajú</w:t>
      </w:r>
      <w:r>
        <w:rPr>
          <w:rFonts w:hint="default"/>
        </w:rPr>
        <w:t xml:space="preserve"> so schvá</w:t>
      </w:r>
      <w:r>
        <w:rPr>
          <w:rFonts w:hint="default"/>
        </w:rPr>
        <w:t>lený</w:t>
      </w:r>
      <w:r>
        <w:rPr>
          <w:rFonts w:hint="default"/>
        </w:rPr>
        <w:t>mi š</w:t>
      </w:r>
      <w:r>
        <w:rPr>
          <w:rFonts w:hint="default"/>
        </w:rPr>
        <w:t>tandardný</w:t>
      </w:r>
      <w:r>
        <w:rPr>
          <w:rFonts w:hint="default"/>
        </w:rPr>
        <w:t>mi postupmi na vykoná</w:t>
      </w:r>
      <w:r>
        <w:rPr>
          <w:rFonts w:hint="default"/>
        </w:rPr>
        <w:t>vanie leká</w:t>
      </w:r>
      <w:r>
        <w:rPr>
          <w:rFonts w:hint="default"/>
        </w:rPr>
        <w:t>rskeho ož</w:t>
      </w:r>
      <w:r>
        <w:rPr>
          <w:rFonts w:hint="default"/>
        </w:rPr>
        <w:t>iarenia pri diagnostike alebo lieč</w:t>
      </w:r>
      <w:r>
        <w:rPr>
          <w:rFonts w:hint="default"/>
        </w:rPr>
        <w:t>be pre sprá</w:t>
      </w:r>
      <w:r>
        <w:rPr>
          <w:rFonts w:hint="default"/>
        </w:rPr>
        <w:t>vnu klinickú</w:t>
      </w:r>
      <w:r>
        <w:rPr>
          <w:rFonts w:hint="default"/>
        </w:rPr>
        <w:t xml:space="preserve"> prax; </w:t>
      </w:r>
      <w:r>
        <w:rPr>
          <w:rFonts w:hint="default"/>
        </w:rPr>
        <w:t>a</w:t>
      </w:r>
      <w:r>
        <w:rPr>
          <w:rFonts w:hint="default"/>
        </w:rPr>
        <w:t>k je to potrebné</w:t>
      </w:r>
      <w:r>
        <w:rPr>
          <w:rFonts w:hint="default"/>
        </w:rPr>
        <w:t xml:space="preserve"> š</w:t>
      </w:r>
      <w:r>
        <w:rPr>
          <w:rFonts w:hint="default"/>
        </w:rPr>
        <w:t>tandardné</w:t>
      </w:r>
      <w:r>
        <w:rPr>
          <w:rFonts w:hint="default"/>
        </w:rPr>
        <w:t xml:space="preserve"> postupy sa upravujú</w:t>
      </w:r>
      <w:r>
        <w:rPr>
          <w:rFonts w:hint="default"/>
        </w:rPr>
        <w:t xml:space="preserve"> alebo sa použ</w:t>
      </w:r>
      <w:r>
        <w:rPr>
          <w:rFonts w:hint="default"/>
        </w:rPr>
        <w:t>ijú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š</w:t>
      </w:r>
      <w:r>
        <w:rPr>
          <w:rFonts w:hint="default"/>
        </w:rPr>
        <w:t>tandardné</w:t>
      </w:r>
      <w:r>
        <w:rPr>
          <w:rFonts w:hint="default"/>
        </w:rPr>
        <w:t xml:space="preserve"> postupy. Komisiu pre vykonanie auditu vymenuje orgá</w:t>
      </w:r>
      <w:r>
        <w:rPr>
          <w:rFonts w:hint="default"/>
        </w:rPr>
        <w:t>n, ktorý</w:t>
      </w:r>
      <w:r>
        <w:rPr>
          <w:rFonts w:hint="default"/>
        </w:rPr>
        <w:t xml:space="preserve"> vydá</w:t>
      </w:r>
      <w:r>
        <w:rPr>
          <w:rFonts w:hint="default"/>
        </w:rPr>
        <w:t>va povolenie na prevá</w:t>
      </w:r>
      <w:r>
        <w:rPr>
          <w:rFonts w:hint="default"/>
        </w:rPr>
        <w:t>dzkovanie zdravotní</w:t>
      </w:r>
      <w:r>
        <w:rPr>
          <w:rFonts w:hint="default"/>
        </w:rPr>
        <w:t>ckeho zariadenia alebo zriaď</w:t>
      </w:r>
      <w:r>
        <w:rPr>
          <w:rFonts w:hint="default"/>
        </w:rPr>
        <w:t>ovateľ</w:t>
      </w:r>
      <w:r>
        <w:rPr>
          <w:rFonts w:hint="default"/>
        </w:rPr>
        <w:t xml:space="preserve"> z </w:t>
      </w:r>
      <w:r>
        <w:rPr>
          <w:rFonts w:hint="default"/>
        </w:rPr>
        <w:t>odborní</w:t>
      </w:r>
      <w:r>
        <w:rPr>
          <w:rFonts w:hint="default"/>
        </w:rPr>
        <w:t>kov na danú</w:t>
      </w:r>
      <w:r>
        <w:rPr>
          <w:rFonts w:hint="default"/>
        </w:rPr>
        <w:t xml:space="preserve"> problematiku. </w:t>
      </w:r>
    </w:p>
    <w:p w:rsidR="0015154A" w:rsidP="0015154A">
      <w:pPr>
        <w:bidi w:val="0"/>
        <w:jc w:val="both"/>
        <w:rPr>
          <w:rFonts w:hint="default"/>
        </w:rPr>
      </w:pPr>
      <w:r>
        <w:rPr>
          <w:rFonts w:hint="default"/>
        </w:rPr>
        <w:t>Finanč</w:t>
      </w:r>
      <w:r>
        <w:rPr>
          <w:rFonts w:hint="default"/>
        </w:rPr>
        <w:t>né</w:t>
      </w:r>
      <w:r>
        <w:rPr>
          <w:rFonts w:hint="default"/>
        </w:rPr>
        <w:t xml:space="preserve"> prostriedky vynalož</w:t>
      </w:r>
      <w:r>
        <w:rPr>
          <w:rFonts w:hint="default"/>
        </w:rPr>
        <w:t>ené</w:t>
      </w:r>
      <w:r>
        <w:rPr>
          <w:rFonts w:hint="default"/>
        </w:rPr>
        <w:t xml:space="preserve"> za vykoná</w:t>
      </w:r>
      <w:r>
        <w:rPr>
          <w:rFonts w:hint="default"/>
        </w:rPr>
        <w:t>vanie auditu budú</w:t>
      </w:r>
      <w:r>
        <w:rPr>
          <w:rFonts w:hint="default"/>
        </w:rPr>
        <w:t xml:space="preserve"> prí</w:t>
      </w:r>
      <w:r>
        <w:rPr>
          <w:rFonts w:hint="default"/>
        </w:rPr>
        <w:t>jmom š</w:t>
      </w:r>
      <w:r>
        <w:rPr>
          <w:rFonts w:hint="default"/>
        </w:rPr>
        <w:t>tá</w:t>
      </w:r>
      <w:r>
        <w:rPr>
          <w:rFonts w:hint="default"/>
        </w:rPr>
        <w:t>tneho rozpoč</w:t>
      </w:r>
      <w:r>
        <w:rPr>
          <w:rFonts w:hint="default"/>
        </w:rPr>
        <w:t>tu kapitoly Ministerstva zdravotní</w:t>
      </w:r>
      <w:r>
        <w:rPr>
          <w:rFonts w:hint="default"/>
        </w:rPr>
        <w:t>ctva Slovenskej republiky v </w:t>
      </w:r>
      <w:r>
        <w:rPr>
          <w:rFonts w:hint="default"/>
        </w:rPr>
        <w:t>roku 2018 a budú</w:t>
      </w:r>
      <w:r>
        <w:rPr>
          <w:rFonts w:hint="default"/>
        </w:rPr>
        <w:t xml:space="preserve"> naplnené</w:t>
      </w:r>
      <w:r>
        <w:rPr>
          <w:rFonts w:hint="default"/>
        </w:rPr>
        <w:t xml:space="preserve"> prostrední</w:t>
      </w:r>
      <w:r>
        <w:rPr>
          <w:rFonts w:hint="default"/>
        </w:rPr>
        <w:t>ctvom platby pracoviska alebo zariadenia, na ktorom sa audit bude vykoná</w:t>
      </w:r>
      <w:r>
        <w:rPr>
          <w:rFonts w:hint="default"/>
        </w:rPr>
        <w:t>vať.</w:t>
      </w:r>
    </w:p>
    <w:p w:rsidR="0015154A" w:rsidP="0015154A">
      <w:pPr>
        <w:bidi w:val="0"/>
        <w:jc w:val="both"/>
        <w:rPr>
          <w:rFonts w:hint="default"/>
        </w:rPr>
      </w:pPr>
    </w:p>
    <w:p w:rsidR="0015154A" w:rsidP="0015154A">
      <w:pPr>
        <w:bidi w:val="0"/>
        <w:jc w:val="both"/>
        <w:rPr>
          <w:rFonts w:hint="default"/>
        </w:rPr>
      </w:pPr>
      <w:r>
        <w:rPr>
          <w:rFonts w:hint="default"/>
        </w:rPr>
        <w:t>Vý</w:t>
      </w:r>
      <w:r>
        <w:rPr>
          <w:rFonts w:hint="default"/>
        </w:rPr>
        <w:t>davková</w:t>
      </w:r>
      <w:r>
        <w:rPr>
          <w:rFonts w:hint="default"/>
        </w:rPr>
        <w:t xml:space="preserve"> strana:</w:t>
      </w:r>
    </w:p>
    <w:p w:rsidR="0015154A" w:rsidP="007D1264">
      <w:pPr>
        <w:bidi w:val="0"/>
        <w:ind w:firstLine="426"/>
        <w:jc w:val="both"/>
      </w:pPr>
      <w:r w:rsidR="00256042">
        <w:t>P</w:t>
      </w:r>
      <w:r w:rsidRPr="0067782E">
        <w:rPr>
          <w:rFonts w:hint="default"/>
        </w:rPr>
        <w:t>redstavuje rozlož</w:t>
      </w:r>
      <w:r w:rsidRPr="0067782E">
        <w:rPr>
          <w:rFonts w:hint="default"/>
        </w:rPr>
        <w:t>enie finanč</w:t>
      </w:r>
      <w:r w:rsidRPr="0067782E">
        <w:rPr>
          <w:rFonts w:hint="default"/>
        </w:rPr>
        <w:t>ný</w:t>
      </w:r>
      <w:r w:rsidRPr="0067782E">
        <w:rPr>
          <w:rFonts w:hint="default"/>
        </w:rPr>
        <w:t>ch ná</w:t>
      </w:r>
      <w:r w:rsidRPr="0067782E">
        <w:rPr>
          <w:rFonts w:hint="default"/>
        </w:rPr>
        <w:t>kladov na</w:t>
      </w:r>
      <w:r>
        <w:rPr>
          <w:rFonts w:hint="default"/>
        </w:rPr>
        <w:t xml:space="preserve"> zabezpeč</w:t>
      </w:r>
      <w:r>
        <w:rPr>
          <w:rFonts w:hint="default"/>
        </w:rPr>
        <w:t>enie osobitné</w:t>
      </w:r>
      <w:r>
        <w:rPr>
          <w:rFonts w:hint="default"/>
        </w:rPr>
        <w:t>ho monitorovania dá</w:t>
      </w:r>
      <w:r>
        <w:rPr>
          <w:rFonts w:hint="default"/>
        </w:rPr>
        <w:t>vok v </w:t>
      </w:r>
      <w:r>
        <w:rPr>
          <w:rFonts w:hint="default"/>
        </w:rPr>
        <w:t>oč</w:t>
      </w:r>
      <w:r>
        <w:rPr>
          <w:rFonts w:hint="default"/>
        </w:rPr>
        <w:t>nej š</w:t>
      </w:r>
      <w:r>
        <w:rPr>
          <w:rFonts w:hint="default"/>
        </w:rPr>
        <w:t>oš</w:t>
      </w:r>
      <w:r>
        <w:rPr>
          <w:rFonts w:hint="default"/>
        </w:rPr>
        <w:t>ovke na jej ochranu, na vypracovanie š</w:t>
      </w:r>
      <w:r>
        <w:rPr>
          <w:rFonts w:hint="default"/>
        </w:rPr>
        <w:t>tandardný</w:t>
      </w:r>
      <w:r>
        <w:rPr>
          <w:rFonts w:hint="default"/>
        </w:rPr>
        <w:t>ch postupov na vykoná</w:t>
      </w:r>
      <w:r>
        <w:rPr>
          <w:rFonts w:hint="default"/>
        </w:rPr>
        <w:t>vanie leká</w:t>
      </w:r>
      <w:r>
        <w:rPr>
          <w:rFonts w:hint="default"/>
        </w:rPr>
        <w:t>rskeho ož</w:t>
      </w:r>
      <w:r>
        <w:rPr>
          <w:rFonts w:hint="default"/>
        </w:rPr>
        <w:t>iarenia pri diagnostike alebo lieč</w:t>
      </w:r>
      <w:r>
        <w:rPr>
          <w:rFonts w:hint="default"/>
        </w:rPr>
        <w:t>be pre rá</w:t>
      </w:r>
      <w:r>
        <w:rPr>
          <w:rFonts w:hint="default"/>
        </w:rPr>
        <w:t>diolo</w:t>
      </w:r>
      <w:r>
        <w:rPr>
          <w:rFonts w:hint="default"/>
        </w:rPr>
        <w:t>gické</w:t>
      </w:r>
      <w:r>
        <w:rPr>
          <w:rFonts w:hint="default"/>
        </w:rPr>
        <w:t xml:space="preserve"> pracoviská</w:t>
      </w:r>
      <w:r>
        <w:rPr>
          <w:rFonts w:hint="default"/>
        </w:rPr>
        <w:t xml:space="preserve"> a </w:t>
      </w:r>
      <w:r>
        <w:rPr>
          <w:rFonts w:hint="default"/>
        </w:rPr>
        <w:t>pracoviská</w:t>
      </w:r>
      <w:r>
        <w:rPr>
          <w:rFonts w:hint="default"/>
        </w:rPr>
        <w:t xml:space="preserve"> nukleá</w:t>
      </w:r>
      <w:r>
        <w:rPr>
          <w:rFonts w:hint="default"/>
        </w:rPr>
        <w:t>rnej medicí</w:t>
      </w:r>
      <w:r>
        <w:rPr>
          <w:rFonts w:hint="default"/>
        </w:rPr>
        <w:t>ny, na vypracovanie š</w:t>
      </w:r>
      <w:r>
        <w:rPr>
          <w:rFonts w:hint="default"/>
        </w:rPr>
        <w:t>tandardný</w:t>
      </w:r>
      <w:r>
        <w:rPr>
          <w:rFonts w:hint="default"/>
        </w:rPr>
        <w:t>ch indikač</w:t>
      </w:r>
      <w:r>
        <w:rPr>
          <w:rFonts w:hint="default"/>
        </w:rPr>
        <w:t>ný</w:t>
      </w:r>
      <w:r>
        <w:rPr>
          <w:rFonts w:hint="default"/>
        </w:rPr>
        <w:t>ch krité</w:t>
      </w:r>
      <w:r>
        <w:rPr>
          <w:rFonts w:hint="default"/>
        </w:rPr>
        <w:t>rií</w:t>
      </w:r>
      <w:r>
        <w:rPr>
          <w:rFonts w:hint="default"/>
        </w:rPr>
        <w:t xml:space="preserve"> pre rá</w:t>
      </w:r>
      <w:r>
        <w:rPr>
          <w:rFonts w:hint="default"/>
        </w:rPr>
        <w:t>diologické</w:t>
      </w:r>
      <w:r>
        <w:rPr>
          <w:rFonts w:hint="default"/>
        </w:rPr>
        <w:t xml:space="preserve"> </w:t>
      </w:r>
      <w:r w:rsidRPr="00C469CF">
        <w:rPr>
          <w:rFonts w:hint="default"/>
        </w:rPr>
        <w:t>vyš</w:t>
      </w:r>
      <w:r w:rsidRPr="00C469CF">
        <w:rPr>
          <w:rFonts w:hint="default"/>
        </w:rPr>
        <w:t>etrenia, na monitorovanie a </w:t>
      </w:r>
      <w:r w:rsidRPr="00C469CF">
        <w:rPr>
          <w:rFonts w:hint="default"/>
        </w:rPr>
        <w:t>hodnotenie koncentrá</w:t>
      </w:r>
      <w:r w:rsidRPr="00C469CF">
        <w:rPr>
          <w:rFonts w:hint="default"/>
        </w:rPr>
        <w:t>cie radó</w:t>
      </w:r>
      <w:r w:rsidRPr="00C469CF">
        <w:rPr>
          <w:rFonts w:hint="default"/>
        </w:rPr>
        <w:t>nu v ovzduší</w:t>
      </w:r>
      <w:r w:rsidRPr="00C469CF">
        <w:rPr>
          <w:rFonts w:hint="default"/>
        </w:rPr>
        <w:t xml:space="preserve"> </w:t>
      </w:r>
      <w:r>
        <w:rPr>
          <w:rFonts w:hint="default"/>
        </w:rPr>
        <w:t>budov, ktoré</w:t>
      </w:r>
      <w:r>
        <w:rPr>
          <w:rFonts w:hint="default"/>
        </w:rPr>
        <w:t xml:space="preserve"> slúž</w:t>
      </w:r>
      <w:r>
        <w:rPr>
          <w:rFonts w:hint="default"/>
        </w:rPr>
        <w:t>ia predš</w:t>
      </w:r>
      <w:r>
        <w:rPr>
          <w:rFonts w:hint="default"/>
        </w:rPr>
        <w:t>kolské</w:t>
      </w:r>
      <w:r>
        <w:rPr>
          <w:rFonts w:hint="default"/>
        </w:rPr>
        <w:t>mu zariadeniu alebo š</w:t>
      </w:r>
      <w:r>
        <w:rPr>
          <w:rFonts w:hint="default"/>
        </w:rPr>
        <w:t>kolské</w:t>
      </w:r>
      <w:r>
        <w:rPr>
          <w:rFonts w:hint="default"/>
        </w:rPr>
        <w:t>mu zaria</w:t>
      </w:r>
      <w:r>
        <w:rPr>
          <w:rFonts w:hint="default"/>
        </w:rPr>
        <w:t>deniu, na poskytovanie sociá</w:t>
      </w:r>
      <w:r>
        <w:rPr>
          <w:rFonts w:hint="default"/>
        </w:rPr>
        <w:t>lnych služ</w:t>
      </w:r>
      <w:r>
        <w:rPr>
          <w:rFonts w:hint="default"/>
        </w:rPr>
        <w:t>ieb alebo poskytovanie zdravotnej starostlivosti alebo na iné</w:t>
      </w:r>
      <w:r>
        <w:rPr>
          <w:rFonts w:hint="default"/>
        </w:rPr>
        <w:t xml:space="preserve"> komerč</w:t>
      </w:r>
      <w:r>
        <w:rPr>
          <w:rFonts w:hint="default"/>
        </w:rPr>
        <w:t>né</w:t>
      </w:r>
      <w:r>
        <w:rPr>
          <w:rFonts w:hint="default"/>
        </w:rPr>
        <w:t xml:space="preserve"> úč</w:t>
      </w:r>
      <w:r>
        <w:rPr>
          <w:rFonts w:hint="default"/>
        </w:rPr>
        <w:t>ely pri dlhodobom pobyte osô</w:t>
      </w:r>
      <w:r>
        <w:rPr>
          <w:rFonts w:hint="default"/>
        </w:rPr>
        <w:t>b</w:t>
      </w:r>
      <w:r w:rsidRPr="00C469CF">
        <w:rPr>
          <w:rFonts w:hint="default"/>
        </w:rPr>
        <w:t>, na dobudovanie radiač</w:t>
      </w:r>
      <w:r w:rsidRPr="00C469CF">
        <w:rPr>
          <w:rFonts w:hint="default"/>
        </w:rPr>
        <w:t>nej monitorovacej siete v </w:t>
      </w:r>
      <w:r w:rsidRPr="00C469CF">
        <w:rPr>
          <w:rFonts w:hint="default"/>
        </w:rPr>
        <w:t>Slovenskej republike na obdobie troch rokov. Zá</w:t>
      </w:r>
      <w:r w:rsidRPr="00C469CF">
        <w:rPr>
          <w:rFonts w:hint="default"/>
        </w:rPr>
        <w:t>roveň</w:t>
      </w:r>
      <w:r w:rsidRPr="00C469CF">
        <w:rPr>
          <w:rFonts w:hint="default"/>
        </w:rPr>
        <w:t xml:space="preserve"> zabezpeč</w:t>
      </w:r>
      <w:r w:rsidRPr="00C469CF">
        <w:rPr>
          <w:rFonts w:hint="default"/>
        </w:rPr>
        <w:t>iť</w:t>
      </w:r>
      <w:r w:rsidRPr="00C469CF">
        <w:rPr>
          <w:rFonts w:hint="default"/>
        </w:rPr>
        <w:t xml:space="preserve"> pri</w:t>
      </w:r>
      <w:r w:rsidRPr="00C469CF">
        <w:rPr>
          <w:rFonts w:hint="default"/>
        </w:rPr>
        <w:t>merané</w:t>
      </w:r>
      <w:r w:rsidRPr="00C469CF">
        <w:rPr>
          <w:rFonts w:hint="default"/>
        </w:rPr>
        <w:t xml:space="preserve"> prevá</w:t>
      </w:r>
      <w:r w:rsidRPr="00C469CF">
        <w:rPr>
          <w:rFonts w:hint="default"/>
        </w:rPr>
        <w:t>dzkové</w:t>
      </w:r>
      <w:r w:rsidRPr="00C469CF">
        <w:rPr>
          <w:rFonts w:hint="default"/>
        </w:rPr>
        <w:t xml:space="preserve"> ná</w:t>
      </w:r>
      <w:r w:rsidRPr="00C469CF">
        <w:rPr>
          <w:rFonts w:hint="default"/>
        </w:rPr>
        <w:t>klady v </w:t>
      </w:r>
      <w:r w:rsidRPr="00C469CF">
        <w:rPr>
          <w:rFonts w:hint="default"/>
        </w:rPr>
        <w:t>budú</w:t>
      </w:r>
      <w:r w:rsidRPr="00C469CF">
        <w:rPr>
          <w:rFonts w:hint="default"/>
        </w:rPr>
        <w:t>cnosti (úč</w:t>
      </w:r>
      <w:r w:rsidRPr="00C469CF">
        <w:rPr>
          <w:rFonts w:hint="default"/>
        </w:rPr>
        <w:t>elovo viazané</w:t>
      </w:r>
      <w:r w:rsidRPr="00C469CF">
        <w:rPr>
          <w:rFonts w:hint="default"/>
        </w:rPr>
        <w:t xml:space="preserve"> finanč</w:t>
      </w:r>
      <w:r w:rsidRPr="00C469CF">
        <w:rPr>
          <w:rFonts w:hint="default"/>
        </w:rPr>
        <w:t>né</w:t>
      </w:r>
      <w:r w:rsidRPr="00C469CF">
        <w:rPr>
          <w:rFonts w:hint="default"/>
        </w:rPr>
        <w:t xml:space="preserve"> prostriedky pre jednotlivé</w:t>
      </w:r>
      <w:r w:rsidRPr="00C469CF">
        <w:rPr>
          <w:rFonts w:hint="default"/>
        </w:rPr>
        <w:t xml:space="preserve"> zlož</w:t>
      </w:r>
      <w:r w:rsidRPr="00C469CF">
        <w:rPr>
          <w:rFonts w:hint="default"/>
        </w:rPr>
        <w:t>ky radiač</w:t>
      </w:r>
      <w:r w:rsidRPr="00C469CF">
        <w:rPr>
          <w:rFonts w:hint="default"/>
        </w:rPr>
        <w:t>nej monitorovacej siete v</w:t>
      </w:r>
      <w:r w:rsidRPr="0067782E">
        <w:t> </w:t>
      </w:r>
      <w:r w:rsidRPr="0067782E">
        <w:rPr>
          <w:rFonts w:hint="default"/>
        </w:rPr>
        <w:t>kaž</w:t>
      </w:r>
      <w:r w:rsidRPr="0067782E">
        <w:rPr>
          <w:rFonts w:hint="default"/>
        </w:rPr>
        <w:t>dom roku podľ</w:t>
      </w:r>
      <w:r w:rsidRPr="0067782E">
        <w:rPr>
          <w:rFonts w:hint="default"/>
        </w:rPr>
        <w:t>a ich potrieb) na pokrytie prioritný</w:t>
      </w:r>
      <w:r w:rsidRPr="0067782E">
        <w:rPr>
          <w:rFonts w:hint="default"/>
        </w:rPr>
        <w:t>ch pož</w:t>
      </w:r>
      <w:r w:rsidRPr="0067782E">
        <w:rPr>
          <w:rFonts w:hint="default"/>
        </w:rPr>
        <w:t>iadaviek na monitorovanie</w:t>
      </w:r>
      <w:r>
        <w:rPr>
          <w:rFonts w:hint="default"/>
        </w:rPr>
        <w:t xml:space="preserve"> pracoví</w:t>
      </w:r>
      <w:r>
        <w:rPr>
          <w:rFonts w:hint="default"/>
        </w:rPr>
        <w:t>sk so zdrojmi ionizujú</w:t>
      </w:r>
      <w:r>
        <w:rPr>
          <w:rFonts w:hint="default"/>
        </w:rPr>
        <w:t>ceho ž</w:t>
      </w:r>
      <w:r>
        <w:rPr>
          <w:rFonts w:hint="default"/>
        </w:rPr>
        <w:t>iaren</w:t>
      </w:r>
      <w:r>
        <w:rPr>
          <w:rFonts w:hint="default"/>
        </w:rPr>
        <w:t>ia a </w:t>
      </w:r>
      <w:r>
        <w:rPr>
          <w:rFonts w:hint="default"/>
        </w:rPr>
        <w:t>monitorovanie radiač</w:t>
      </w:r>
      <w:r>
        <w:rPr>
          <w:rFonts w:hint="default"/>
        </w:rPr>
        <w:t>nej situá</w:t>
      </w:r>
      <w:r>
        <w:rPr>
          <w:rFonts w:hint="default"/>
        </w:rPr>
        <w:t>cie v </w:t>
      </w:r>
      <w:r>
        <w:rPr>
          <w:rFonts w:hint="default"/>
        </w:rPr>
        <w:t>ž</w:t>
      </w:r>
      <w:r>
        <w:rPr>
          <w:rFonts w:hint="default"/>
        </w:rPr>
        <w:t>ivotnom prostredí</w:t>
      </w:r>
      <w:r>
        <w:rPr>
          <w:rFonts w:hint="default"/>
        </w:rPr>
        <w:t xml:space="preserve"> na celom ú</w:t>
      </w:r>
      <w:r>
        <w:rPr>
          <w:rFonts w:hint="default"/>
        </w:rPr>
        <w:t>zemí</w:t>
      </w:r>
      <w:r>
        <w:rPr>
          <w:rFonts w:hint="default"/>
        </w:rPr>
        <w:t xml:space="preserve"> Slovenskej republiky</w:t>
      </w:r>
      <w:r w:rsidRPr="0067782E">
        <w:rPr>
          <w:rFonts w:hint="default"/>
        </w:rPr>
        <w:t>, zabezpeč</w:t>
      </w:r>
      <w:r w:rsidRPr="0067782E">
        <w:rPr>
          <w:rFonts w:hint="default"/>
        </w:rPr>
        <w:t>enie ú</w:t>
      </w:r>
      <w:r w:rsidRPr="0067782E">
        <w:rPr>
          <w:rFonts w:hint="default"/>
        </w:rPr>
        <w:t>drž</w:t>
      </w:r>
      <w:r w:rsidRPr="0067782E">
        <w:rPr>
          <w:rFonts w:hint="default"/>
        </w:rPr>
        <w:t>by, servisu, reví</w:t>
      </w:r>
      <w:r w:rsidRPr="0067782E">
        <w:rPr>
          <w:rFonts w:hint="default"/>
        </w:rPr>
        <w:t>zií</w:t>
      </w:r>
      <w:r w:rsidRPr="0067782E">
        <w:rPr>
          <w:rFonts w:hint="default"/>
        </w:rPr>
        <w:t>, overovania technický</w:t>
      </w:r>
      <w:r w:rsidRPr="0067782E">
        <w:rPr>
          <w:rFonts w:hint="default"/>
        </w:rPr>
        <w:t>ch zariadení</w:t>
      </w:r>
      <w:r w:rsidRPr="0067782E">
        <w:rPr>
          <w:rFonts w:hint="default"/>
        </w:rPr>
        <w:t>, aktualizá</w:t>
      </w:r>
      <w:r w:rsidRPr="0067782E">
        <w:rPr>
          <w:rFonts w:hint="default"/>
        </w:rPr>
        <w:t>ciu vý</w:t>
      </w:r>
      <w:r w:rsidRPr="0067782E">
        <w:rPr>
          <w:rFonts w:hint="default"/>
        </w:rPr>
        <w:t>poč</w:t>
      </w:r>
      <w:r w:rsidRPr="0067782E">
        <w:rPr>
          <w:rFonts w:hint="default"/>
        </w:rPr>
        <w:t>tový</w:t>
      </w:r>
      <w:r w:rsidRPr="0067782E">
        <w:rPr>
          <w:rFonts w:hint="default"/>
        </w:rPr>
        <w:t>ch systé</w:t>
      </w:r>
      <w:r w:rsidRPr="0067782E">
        <w:rPr>
          <w:rFonts w:hint="default"/>
        </w:rPr>
        <w:t>mov a </w:t>
      </w:r>
      <w:r w:rsidRPr="0067782E">
        <w:rPr>
          <w:rFonts w:hint="default"/>
        </w:rPr>
        <w:t>udrž</w:t>
      </w:r>
      <w:r w:rsidRPr="0067782E">
        <w:rPr>
          <w:rFonts w:hint="default"/>
        </w:rPr>
        <w:t>iavania radiač</w:t>
      </w:r>
      <w:r w:rsidRPr="0067782E">
        <w:rPr>
          <w:rFonts w:hint="default"/>
        </w:rPr>
        <w:t>nej monitorovacej siete v </w:t>
      </w:r>
      <w:r w:rsidRPr="0067782E">
        <w:rPr>
          <w:rFonts w:hint="default"/>
        </w:rPr>
        <w:t>prevá</w:t>
      </w:r>
      <w:r w:rsidRPr="0067782E">
        <w:rPr>
          <w:rFonts w:hint="default"/>
        </w:rPr>
        <w:t>dz</w:t>
      </w:r>
      <w:r w:rsidRPr="0067782E">
        <w:rPr>
          <w:rFonts w:hint="default"/>
        </w:rPr>
        <w:t>kyschopnom stave a </w:t>
      </w:r>
      <w:r w:rsidRPr="0067782E">
        <w:rPr>
          <w:rFonts w:hint="default"/>
        </w:rPr>
        <w:t>úč</w:t>
      </w:r>
      <w:r w:rsidRPr="0067782E">
        <w:rPr>
          <w:rFonts w:hint="default"/>
        </w:rPr>
        <w:t>elovo viazané</w:t>
      </w:r>
      <w:r w:rsidRPr="0067782E">
        <w:rPr>
          <w:rFonts w:hint="default"/>
        </w:rPr>
        <w:t xml:space="preserve"> finanč</w:t>
      </w:r>
      <w:r w:rsidRPr="0067782E">
        <w:rPr>
          <w:rFonts w:hint="default"/>
        </w:rPr>
        <w:t>né</w:t>
      </w:r>
      <w:r w:rsidRPr="0067782E">
        <w:rPr>
          <w:rFonts w:hint="default"/>
        </w:rPr>
        <w:t xml:space="preserve"> prostriedky pre </w:t>
      </w:r>
      <w:r>
        <w:rPr>
          <w:rFonts w:hint="default"/>
        </w:rPr>
        <w:t>ú</w:t>
      </w:r>
      <w:r w:rsidRPr="0067782E">
        <w:rPr>
          <w:rFonts w:hint="default"/>
        </w:rPr>
        <w:t>stredie radiač</w:t>
      </w:r>
      <w:r w:rsidRPr="0067782E">
        <w:rPr>
          <w:rFonts w:hint="default"/>
        </w:rPr>
        <w:t>nej monitorovacej siete na organizá</w:t>
      </w:r>
      <w:r w:rsidRPr="0067782E">
        <w:rPr>
          <w:rFonts w:hint="default"/>
        </w:rPr>
        <w:t>ciu, metodické</w:t>
      </w:r>
      <w:r w:rsidRPr="0067782E">
        <w:rPr>
          <w:rFonts w:hint="default"/>
        </w:rPr>
        <w:t xml:space="preserve"> vedenie a </w:t>
      </w:r>
      <w:r w:rsidRPr="0067782E">
        <w:rPr>
          <w:rFonts w:hint="default"/>
        </w:rPr>
        <w:t>vyhodnotenie cvič</w:t>
      </w:r>
      <w:r w:rsidRPr="0067782E">
        <w:rPr>
          <w:rFonts w:hint="default"/>
        </w:rPr>
        <w:t>ení</w:t>
      </w:r>
      <w:r w:rsidRPr="0067782E">
        <w:rPr>
          <w:rFonts w:hint="default"/>
        </w:rPr>
        <w:t xml:space="preserve"> zlož</w:t>
      </w:r>
      <w:r w:rsidRPr="0067782E">
        <w:rPr>
          <w:rFonts w:hint="default"/>
        </w:rPr>
        <w:t>iek radiač</w:t>
      </w:r>
      <w:r w:rsidRPr="0067782E">
        <w:rPr>
          <w:rFonts w:hint="default"/>
        </w:rPr>
        <w:t xml:space="preserve">nej monitorovacej siete.  </w:t>
      </w:r>
      <w:r>
        <w:t xml:space="preserve"> </w:t>
      </w:r>
    </w:p>
    <w:p w:rsidR="0015154A" w:rsidRPr="0067782E" w:rsidP="0015154A">
      <w:pPr>
        <w:bidi w:val="0"/>
        <w:ind w:firstLine="708"/>
        <w:jc w:val="both"/>
      </w:pPr>
      <w:r w:rsidRPr="000143FF">
        <w:rPr>
          <w:rFonts w:hint="default"/>
          <w:b/>
        </w:rPr>
        <w:t>Vý</w:t>
      </w:r>
      <w:r w:rsidRPr="000143FF">
        <w:rPr>
          <w:rFonts w:hint="default"/>
          <w:b/>
        </w:rPr>
        <w:t>davky uvedené</w:t>
      </w:r>
      <w:r w:rsidRPr="000143FF">
        <w:rPr>
          <w:rFonts w:hint="default"/>
          <w:b/>
        </w:rPr>
        <w:t xml:space="preserve"> v </w:t>
      </w:r>
      <w:r w:rsidRPr="000143FF">
        <w:rPr>
          <w:rFonts w:hint="default"/>
          <w:b/>
        </w:rPr>
        <w:t>tabuľ</w:t>
      </w:r>
      <w:r w:rsidRPr="000143FF">
        <w:rPr>
          <w:rFonts w:hint="default"/>
          <w:b/>
        </w:rPr>
        <w:t>ke č</w:t>
      </w:r>
      <w:r w:rsidRPr="000143FF">
        <w:rPr>
          <w:rFonts w:hint="default"/>
          <w:b/>
        </w:rPr>
        <w:t>. 1 sú</w:t>
      </w:r>
      <w:r w:rsidRPr="000143FF">
        <w:rPr>
          <w:rFonts w:hint="default"/>
          <w:b/>
        </w:rPr>
        <w:t xml:space="preserve"> vysoké</w:t>
      </w:r>
      <w:r w:rsidRPr="000143FF">
        <w:rPr>
          <w:rFonts w:hint="default"/>
          <w:b/>
        </w:rPr>
        <w:t>, no zodpovedajú</w:t>
      </w:r>
      <w:r w:rsidRPr="000143FF">
        <w:rPr>
          <w:rFonts w:hint="default"/>
          <w:b/>
        </w:rPr>
        <w:t xml:space="preserve"> p</w:t>
      </w:r>
      <w:r w:rsidRPr="000143FF">
        <w:rPr>
          <w:rFonts w:hint="default"/>
          <w:b/>
        </w:rPr>
        <w:t>ož</w:t>
      </w:r>
      <w:r w:rsidRPr="000143FF">
        <w:rPr>
          <w:rFonts w:hint="default"/>
          <w:b/>
        </w:rPr>
        <w:t>iadavká</w:t>
      </w:r>
      <w:r w:rsidRPr="000143FF">
        <w:rPr>
          <w:rFonts w:hint="default"/>
          <w:b/>
        </w:rPr>
        <w:t xml:space="preserve">m </w:t>
      </w:r>
      <w:r w:rsidR="00256042">
        <w:rPr>
          <w:b/>
        </w:rPr>
        <w:t>na</w:t>
      </w:r>
      <w:r w:rsidRPr="000143FF">
        <w:rPr>
          <w:rFonts w:hint="default"/>
          <w:b/>
        </w:rPr>
        <w:t xml:space="preserve"> zabezpeč</w:t>
      </w:r>
      <w:r w:rsidRPr="000143FF">
        <w:rPr>
          <w:rFonts w:hint="default"/>
          <w:b/>
        </w:rPr>
        <w:t>enie radiač</w:t>
      </w:r>
      <w:r w:rsidRPr="000143FF">
        <w:rPr>
          <w:rFonts w:hint="default"/>
          <w:b/>
        </w:rPr>
        <w:t>nej ochrany v Slovenskej republike. V </w:t>
      </w:r>
      <w:r w:rsidRPr="000143FF">
        <w:rPr>
          <w:rFonts w:hint="default"/>
          <w:b/>
        </w:rPr>
        <w:t>priebehu nasledujú</w:t>
      </w:r>
      <w:r w:rsidRPr="000143FF">
        <w:rPr>
          <w:rFonts w:hint="default"/>
          <w:b/>
        </w:rPr>
        <w:t>cich rokov sa vý</w:t>
      </w:r>
      <w:r w:rsidRPr="000143FF">
        <w:rPr>
          <w:rFonts w:hint="default"/>
          <w:b/>
        </w:rPr>
        <w:t>davky zníž</w:t>
      </w:r>
      <w:r w:rsidRPr="000143FF">
        <w:rPr>
          <w:rFonts w:hint="default"/>
          <w:b/>
        </w:rPr>
        <w:t>ia, lebo bude postač</w:t>
      </w:r>
      <w:r w:rsidRPr="000143FF">
        <w:rPr>
          <w:rFonts w:hint="default"/>
          <w:b/>
        </w:rPr>
        <w:t>ovať</w:t>
      </w:r>
      <w:r w:rsidRPr="000143FF">
        <w:rPr>
          <w:rFonts w:hint="default"/>
          <w:b/>
        </w:rPr>
        <w:t xml:space="preserve"> zabezpeč</w:t>
      </w:r>
      <w:r w:rsidRPr="000143FF">
        <w:rPr>
          <w:rFonts w:hint="default"/>
          <w:b/>
        </w:rPr>
        <w:t>iť</w:t>
      </w:r>
      <w:r w:rsidRPr="000143FF">
        <w:rPr>
          <w:rFonts w:hint="default"/>
          <w:b/>
        </w:rPr>
        <w:t xml:space="preserve"> finanč</w:t>
      </w:r>
      <w:r w:rsidRPr="000143FF">
        <w:rPr>
          <w:rFonts w:hint="default"/>
          <w:b/>
        </w:rPr>
        <w:t>né</w:t>
      </w:r>
      <w:r w:rsidRPr="000143FF">
        <w:rPr>
          <w:rFonts w:hint="default"/>
          <w:b/>
        </w:rPr>
        <w:t xml:space="preserve"> prostriedky na udrž</w:t>
      </w:r>
      <w:r w:rsidRPr="000143FF">
        <w:rPr>
          <w:rFonts w:hint="default"/>
          <w:b/>
        </w:rPr>
        <w:t>ateľ</w:t>
      </w:r>
      <w:r w:rsidRPr="000143FF">
        <w:rPr>
          <w:rFonts w:hint="default"/>
          <w:b/>
        </w:rPr>
        <w:t>nosť</w:t>
      </w:r>
      <w:r w:rsidRPr="000143FF">
        <w:rPr>
          <w:rFonts w:hint="default"/>
          <w:b/>
        </w:rPr>
        <w:t xml:space="preserve"> systé</w:t>
      </w:r>
      <w:r w:rsidRPr="000143FF">
        <w:rPr>
          <w:rFonts w:hint="default"/>
          <w:b/>
        </w:rPr>
        <w:t>mov a </w:t>
      </w:r>
      <w:r w:rsidRPr="000143FF">
        <w:rPr>
          <w:rFonts w:hint="default"/>
          <w:b/>
        </w:rPr>
        <w:t>servis prí</w:t>
      </w:r>
      <w:r w:rsidRPr="000143FF">
        <w:rPr>
          <w:rFonts w:hint="default"/>
          <w:b/>
        </w:rPr>
        <w:t>strojové</w:t>
      </w:r>
      <w:r w:rsidRPr="000143FF">
        <w:rPr>
          <w:rFonts w:hint="default"/>
          <w:b/>
        </w:rPr>
        <w:t>ho vybavenia</w:t>
      </w:r>
      <w:r>
        <w:t xml:space="preserve">. </w:t>
      </w:r>
      <w:r w:rsidRPr="0067782E">
        <w:t xml:space="preserve">         </w:t>
      </w:r>
    </w:p>
    <w:p w:rsidR="0015154A" w:rsidP="0015154A">
      <w:pPr>
        <w:bidi w:val="0"/>
        <w:jc w:val="both"/>
      </w:pPr>
    </w:p>
    <w:p w:rsidR="0015154A" w:rsidP="0015154A">
      <w:pPr>
        <w:tabs>
          <w:tab w:val="num" w:pos="709"/>
        </w:tabs>
        <w:bidi w:val="0"/>
        <w:jc w:val="both"/>
        <w:rPr>
          <w:bCs/>
        </w:rPr>
      </w:pPr>
      <w:r>
        <w:rPr>
          <w:bCs/>
        </w:rPr>
        <w:tab/>
      </w:r>
      <w:r>
        <w:rPr>
          <w:bCs/>
        </w:rPr>
        <w:t>Z </w:t>
      </w:r>
      <w:r>
        <w:rPr>
          <w:rFonts w:hint="default"/>
          <w:bCs/>
        </w:rPr>
        <w:t>dô</w:t>
      </w:r>
      <w:r>
        <w:rPr>
          <w:rFonts w:hint="default"/>
          <w:bCs/>
        </w:rPr>
        <w:t>vodu prij</w:t>
      </w:r>
      <w:r>
        <w:rPr>
          <w:rFonts w:hint="default"/>
          <w:bCs/>
        </w:rPr>
        <w:t>atia a </w:t>
      </w:r>
      <w:r>
        <w:rPr>
          <w:rFonts w:hint="default"/>
          <w:bCs/>
        </w:rPr>
        <w:t>vykoná</w:t>
      </w:r>
      <w:r>
        <w:rPr>
          <w:rFonts w:hint="default"/>
          <w:bCs/>
        </w:rPr>
        <w:t xml:space="preserve">vania </w:t>
      </w:r>
      <w:r w:rsidRPr="004A3975">
        <w:rPr>
          <w:rFonts w:hint="default"/>
          <w:bCs/>
        </w:rPr>
        <w:t>zá</w:t>
      </w:r>
      <w:r w:rsidRPr="004A3975">
        <w:rPr>
          <w:rFonts w:hint="default"/>
          <w:bCs/>
        </w:rPr>
        <w:t>kona o </w:t>
      </w:r>
      <w:r w:rsidRPr="004A3975">
        <w:rPr>
          <w:rFonts w:hint="default"/>
          <w:bCs/>
        </w:rPr>
        <w:t>radiač</w:t>
      </w:r>
      <w:r w:rsidRPr="004A3975">
        <w:rPr>
          <w:rFonts w:hint="default"/>
          <w:bCs/>
        </w:rPr>
        <w:t>nej ochrane</w:t>
      </w:r>
      <w:r>
        <w:rPr>
          <w:bCs/>
        </w:rPr>
        <w:t xml:space="preserve"> a o zmene a </w:t>
      </w:r>
      <w:r>
        <w:rPr>
          <w:rFonts w:hint="default"/>
          <w:bCs/>
        </w:rPr>
        <w:t>doplnení</w:t>
      </w:r>
      <w:r>
        <w:rPr>
          <w:rFonts w:hint="default"/>
          <w:bCs/>
        </w:rPr>
        <w:t xml:space="preserve"> niektorý</w:t>
      </w:r>
      <w:r>
        <w:rPr>
          <w:rFonts w:hint="default"/>
          <w:bCs/>
        </w:rPr>
        <w:t>ch zá</w:t>
      </w:r>
      <w:r>
        <w:rPr>
          <w:rFonts w:hint="default"/>
          <w:bCs/>
        </w:rPr>
        <w:t>konov</w:t>
      </w:r>
      <w:r w:rsidRPr="004A3975">
        <w:rPr>
          <w:bCs/>
        </w:rPr>
        <w:t xml:space="preserve"> v </w:t>
      </w:r>
      <w:r w:rsidRPr="004A3975">
        <w:rPr>
          <w:rFonts w:hint="default"/>
          <w:bCs/>
        </w:rPr>
        <w:t>podmienkach Ú</w:t>
      </w:r>
      <w:r>
        <w:rPr>
          <w:rFonts w:hint="default"/>
          <w:bCs/>
        </w:rPr>
        <w:t>radu verejné</w:t>
      </w:r>
      <w:r>
        <w:rPr>
          <w:rFonts w:hint="default"/>
          <w:bCs/>
        </w:rPr>
        <w:t>ho zdravotní</w:t>
      </w:r>
      <w:r>
        <w:rPr>
          <w:rFonts w:hint="default"/>
          <w:bCs/>
        </w:rPr>
        <w:t>ctva Slovenskej republiky</w:t>
      </w:r>
      <w:r w:rsidRPr="004A3975">
        <w:rPr>
          <w:bCs/>
        </w:rPr>
        <w:t xml:space="preserve"> a</w:t>
      </w:r>
      <w:r>
        <w:rPr>
          <w:bCs/>
        </w:rPr>
        <w:t> </w:t>
      </w:r>
      <w:r>
        <w:rPr>
          <w:rFonts w:hint="default"/>
          <w:bCs/>
        </w:rPr>
        <w:t>regioná</w:t>
      </w:r>
      <w:r>
        <w:rPr>
          <w:rFonts w:hint="default"/>
          <w:bCs/>
        </w:rPr>
        <w:t>lnych ú</w:t>
      </w:r>
      <w:r>
        <w:rPr>
          <w:rFonts w:hint="default"/>
          <w:bCs/>
        </w:rPr>
        <w:t>radov verejné</w:t>
      </w:r>
      <w:r>
        <w:rPr>
          <w:rFonts w:hint="default"/>
          <w:bCs/>
        </w:rPr>
        <w:t>ho zdravotní</w:t>
      </w:r>
      <w:r>
        <w:rPr>
          <w:rFonts w:hint="default"/>
          <w:bCs/>
        </w:rPr>
        <w:t xml:space="preserve">ctva </w:t>
      </w:r>
      <w:r w:rsidRPr="004A3975">
        <w:rPr>
          <w:rFonts w:hint="default"/>
          <w:bCs/>
        </w:rPr>
        <w:t>bude nevyhnutné</w:t>
      </w:r>
      <w:r w:rsidRPr="004A3975">
        <w:rPr>
          <w:rFonts w:hint="default"/>
          <w:bCs/>
        </w:rPr>
        <w:t xml:space="preserve"> vyč</w:t>
      </w:r>
      <w:r w:rsidRPr="004A3975">
        <w:rPr>
          <w:rFonts w:hint="default"/>
          <w:bCs/>
        </w:rPr>
        <w:t>leniť</w:t>
      </w:r>
      <w:r w:rsidRPr="004A3975">
        <w:rPr>
          <w:rFonts w:hint="default"/>
          <w:bCs/>
        </w:rPr>
        <w:t xml:space="preserve"> 29 š</w:t>
      </w:r>
      <w:r w:rsidRPr="004A3975">
        <w:rPr>
          <w:rFonts w:hint="default"/>
          <w:bCs/>
        </w:rPr>
        <w:t>tá</w:t>
      </w:r>
      <w:r w:rsidRPr="004A3975">
        <w:rPr>
          <w:rFonts w:hint="default"/>
          <w:bCs/>
        </w:rPr>
        <w:t>tnozamestnanecký</w:t>
      </w:r>
      <w:r w:rsidRPr="004A3975">
        <w:rPr>
          <w:rFonts w:hint="default"/>
          <w:bCs/>
        </w:rPr>
        <w:t>ch miest. Po</w:t>
      </w:r>
      <w:r w:rsidRPr="004A3975">
        <w:rPr>
          <w:rFonts w:hint="default"/>
          <w:bCs/>
        </w:rPr>
        <w:t>ž</w:t>
      </w:r>
      <w:r w:rsidRPr="004A3975">
        <w:rPr>
          <w:rFonts w:hint="default"/>
          <w:bCs/>
        </w:rPr>
        <w:t>adovaný</w:t>
      </w:r>
      <w:r w:rsidRPr="004A3975">
        <w:rPr>
          <w:rFonts w:hint="default"/>
          <w:bCs/>
        </w:rPr>
        <w:t xml:space="preserve"> poč</w:t>
      </w:r>
      <w:r w:rsidRPr="004A3975">
        <w:rPr>
          <w:rFonts w:hint="default"/>
          <w:bCs/>
        </w:rPr>
        <w:t>et zamestnancov nie je potrebné</w:t>
      </w:r>
      <w:r w:rsidRPr="004A3975">
        <w:rPr>
          <w:rFonts w:hint="default"/>
          <w:bCs/>
        </w:rPr>
        <w:t xml:space="preserve"> navyš</w:t>
      </w:r>
      <w:r w:rsidRPr="004A3975">
        <w:rPr>
          <w:rFonts w:hint="default"/>
          <w:bCs/>
        </w:rPr>
        <w:t>ovať</w:t>
      </w:r>
      <w:r w:rsidRPr="004A3975">
        <w:rPr>
          <w:rFonts w:hint="default"/>
          <w:bCs/>
        </w:rPr>
        <w:t xml:space="preserve"> oproti schvá</w:t>
      </w:r>
      <w:r w:rsidRPr="004A3975">
        <w:rPr>
          <w:rFonts w:hint="default"/>
          <w:bCs/>
        </w:rPr>
        <w:t>lené</w:t>
      </w:r>
      <w:r w:rsidRPr="004A3975">
        <w:rPr>
          <w:rFonts w:hint="default"/>
          <w:bCs/>
        </w:rPr>
        <w:t>mu limitu miest v </w:t>
      </w:r>
      <w:r w:rsidRPr="004A3975">
        <w:rPr>
          <w:rFonts w:hint="default"/>
          <w:bCs/>
        </w:rPr>
        <w:t>poč</w:t>
      </w:r>
      <w:r w:rsidRPr="004A3975">
        <w:rPr>
          <w:rFonts w:hint="default"/>
          <w:bCs/>
        </w:rPr>
        <w:t>te 2071 z </w:t>
      </w:r>
      <w:r w:rsidRPr="004A3975">
        <w:rPr>
          <w:rFonts w:hint="default"/>
          <w:bCs/>
        </w:rPr>
        <w:t>dô</w:t>
      </w:r>
      <w:r w:rsidRPr="004A3975">
        <w:rPr>
          <w:rFonts w:hint="default"/>
          <w:bCs/>
        </w:rPr>
        <w:t>vodu súč</w:t>
      </w:r>
      <w:r w:rsidRPr="004A3975">
        <w:rPr>
          <w:rFonts w:hint="default"/>
          <w:bCs/>
        </w:rPr>
        <w:t>asné</w:t>
      </w:r>
      <w:r w:rsidRPr="004A3975">
        <w:rPr>
          <w:rFonts w:hint="default"/>
          <w:bCs/>
        </w:rPr>
        <w:t xml:space="preserve">ho neobsadenia </w:t>
      </w:r>
      <w:r w:rsidR="008469C3">
        <w:rPr>
          <w:bCs/>
        </w:rPr>
        <w:t>takmer</w:t>
      </w:r>
      <w:r w:rsidRPr="004A3975">
        <w:rPr>
          <w:rFonts w:hint="default"/>
          <w:bCs/>
        </w:rPr>
        <w:t xml:space="preserve"> 180 neobsadený</w:t>
      </w:r>
      <w:r w:rsidRPr="004A3975">
        <w:rPr>
          <w:rFonts w:hint="default"/>
          <w:bCs/>
        </w:rPr>
        <w:t>ch miest, ktoré</w:t>
      </w:r>
      <w:r w:rsidRPr="004A3975">
        <w:rPr>
          <w:rFonts w:hint="default"/>
          <w:bCs/>
        </w:rPr>
        <w:t xml:space="preserve"> evidujeme</w:t>
      </w:r>
      <w:r w:rsidR="008469C3">
        <w:rPr>
          <w:bCs/>
        </w:rPr>
        <w:t>,</w:t>
      </w:r>
      <w:r w:rsidRPr="004A3975">
        <w:rPr>
          <w:bCs/>
        </w:rPr>
        <w:t xml:space="preserve"> a </w:t>
      </w:r>
      <w:r w:rsidRPr="004A3975">
        <w:rPr>
          <w:rFonts w:hint="default"/>
          <w:bCs/>
        </w:rPr>
        <w:t>ktoré</w:t>
      </w:r>
      <w:r w:rsidRPr="004A3975">
        <w:rPr>
          <w:rFonts w:hint="default"/>
          <w:bCs/>
        </w:rPr>
        <w:t xml:space="preserve"> nie je mož</w:t>
      </w:r>
      <w:r w:rsidRPr="004A3975">
        <w:rPr>
          <w:rFonts w:hint="default"/>
          <w:bCs/>
        </w:rPr>
        <w:t>né</w:t>
      </w:r>
      <w:r w:rsidRPr="004A3975">
        <w:rPr>
          <w:rFonts w:hint="default"/>
          <w:bCs/>
        </w:rPr>
        <w:t xml:space="preserve"> obsadiť</w:t>
      </w:r>
      <w:r w:rsidRPr="004A3975">
        <w:rPr>
          <w:rFonts w:hint="default"/>
          <w:bCs/>
        </w:rPr>
        <w:t xml:space="preserve"> z </w:t>
      </w:r>
      <w:r w:rsidRPr="004A3975">
        <w:rPr>
          <w:rFonts w:hint="default"/>
          <w:bCs/>
        </w:rPr>
        <w:t>dô</w:t>
      </w:r>
      <w:r w:rsidRPr="004A3975">
        <w:rPr>
          <w:rFonts w:hint="default"/>
          <w:bCs/>
        </w:rPr>
        <w:t>vodu nedostatoč</w:t>
      </w:r>
      <w:r w:rsidRPr="004A3975">
        <w:rPr>
          <w:rFonts w:hint="default"/>
          <w:bCs/>
        </w:rPr>
        <w:t>né</w:t>
      </w:r>
      <w:r w:rsidRPr="004A3975">
        <w:rPr>
          <w:rFonts w:hint="default"/>
          <w:bCs/>
        </w:rPr>
        <w:t>ho finanč</w:t>
      </w:r>
      <w:r w:rsidRPr="004A3975">
        <w:rPr>
          <w:rFonts w:hint="default"/>
          <w:bCs/>
        </w:rPr>
        <w:t>né</w:t>
      </w:r>
      <w:r w:rsidRPr="004A3975">
        <w:rPr>
          <w:rFonts w:hint="default"/>
          <w:bCs/>
        </w:rPr>
        <w:t>ho krytia v kateg</w:t>
      </w:r>
      <w:r w:rsidRPr="004A3975">
        <w:rPr>
          <w:rFonts w:hint="default"/>
          <w:bCs/>
        </w:rPr>
        <w:t>ó</w:t>
      </w:r>
      <w:r w:rsidRPr="004A3975">
        <w:rPr>
          <w:rFonts w:hint="default"/>
          <w:bCs/>
        </w:rPr>
        <w:t xml:space="preserve">rii 610 a 620. </w:t>
      </w:r>
      <w:r w:rsidR="008469C3">
        <w:rPr>
          <w:bCs/>
        </w:rPr>
        <w:t>V</w:t>
      </w:r>
      <w:r w:rsidRPr="004A3975">
        <w:rPr>
          <w:bCs/>
        </w:rPr>
        <w:t> </w:t>
      </w:r>
      <w:r w:rsidRPr="004A3975">
        <w:rPr>
          <w:rFonts w:hint="default"/>
          <w:bCs/>
        </w:rPr>
        <w:t>prí</w:t>
      </w:r>
      <w:r w:rsidRPr="004A3975">
        <w:rPr>
          <w:rFonts w:hint="default"/>
          <w:bCs/>
        </w:rPr>
        <w:t xml:space="preserve">pade prijatia </w:t>
      </w:r>
      <w:r w:rsidR="008469C3">
        <w:rPr>
          <w:rFonts w:hint="default"/>
          <w:bCs/>
        </w:rPr>
        <w:t>ná</w:t>
      </w:r>
      <w:r w:rsidR="008469C3">
        <w:rPr>
          <w:rFonts w:hint="default"/>
          <w:bCs/>
        </w:rPr>
        <w:t xml:space="preserve">vrhu </w:t>
      </w:r>
      <w:r w:rsidRPr="004A3975">
        <w:rPr>
          <w:rFonts w:hint="default"/>
          <w:bCs/>
        </w:rPr>
        <w:t>zá</w:t>
      </w:r>
      <w:r w:rsidRPr="004A3975">
        <w:rPr>
          <w:rFonts w:hint="default"/>
          <w:bCs/>
        </w:rPr>
        <w:t>kona je vš</w:t>
      </w:r>
      <w:r w:rsidRPr="004A3975">
        <w:rPr>
          <w:rFonts w:hint="default"/>
          <w:bCs/>
        </w:rPr>
        <w:t>ak potrebné</w:t>
      </w:r>
      <w:r w:rsidRPr="004A3975">
        <w:rPr>
          <w:rFonts w:hint="default"/>
          <w:bCs/>
        </w:rPr>
        <w:t xml:space="preserve"> zabezpeč</w:t>
      </w:r>
      <w:r w:rsidRPr="004A3975">
        <w:rPr>
          <w:rFonts w:hint="default"/>
          <w:bCs/>
        </w:rPr>
        <w:t>iť</w:t>
      </w:r>
      <w:r w:rsidRPr="004A3975">
        <w:rPr>
          <w:rFonts w:hint="default"/>
          <w:bCs/>
        </w:rPr>
        <w:t xml:space="preserve"> finanč</w:t>
      </w:r>
      <w:r w:rsidRPr="004A3975">
        <w:rPr>
          <w:rFonts w:hint="default"/>
          <w:bCs/>
        </w:rPr>
        <w:t>né</w:t>
      </w:r>
      <w:r w:rsidRPr="004A3975">
        <w:rPr>
          <w:rFonts w:hint="default"/>
          <w:bCs/>
        </w:rPr>
        <w:t xml:space="preserve"> krytie uvedený</w:t>
      </w:r>
      <w:r w:rsidRPr="004A3975">
        <w:rPr>
          <w:rFonts w:hint="default"/>
          <w:bCs/>
        </w:rPr>
        <w:t>ch 29 miest navýš</w:t>
      </w:r>
      <w:r w:rsidRPr="004A3975">
        <w:rPr>
          <w:rFonts w:hint="default"/>
          <w:bCs/>
        </w:rPr>
        <w:t>ení</w:t>
      </w:r>
      <w:r w:rsidRPr="004A3975">
        <w:rPr>
          <w:rFonts w:hint="default"/>
          <w:bCs/>
        </w:rPr>
        <w:t>m rozpoč</w:t>
      </w:r>
      <w:r w:rsidRPr="004A3975">
        <w:rPr>
          <w:rFonts w:hint="default"/>
          <w:bCs/>
        </w:rPr>
        <w:t>tu na ekonomickej kategó</w:t>
      </w:r>
      <w:r w:rsidRPr="004A3975">
        <w:rPr>
          <w:rFonts w:hint="default"/>
          <w:bCs/>
        </w:rPr>
        <w:t xml:space="preserve">rii 610 </w:t>
      </w:r>
      <w:r w:rsidRPr="004A3975">
        <w:rPr>
          <w:rFonts w:hint="default"/>
          <w:bCs/>
        </w:rPr>
        <w:t>–</w:t>
      </w:r>
      <w:r w:rsidRPr="004A3975">
        <w:rPr>
          <w:rFonts w:hint="default"/>
          <w:bCs/>
        </w:rPr>
        <w:t xml:space="preserve"> mzdy a </w:t>
      </w:r>
      <w:r w:rsidRPr="004A3975">
        <w:rPr>
          <w:rFonts w:hint="default"/>
          <w:bCs/>
        </w:rPr>
        <w:t>platy vo výš</w:t>
      </w:r>
      <w:r w:rsidRPr="004A3975">
        <w:rPr>
          <w:rFonts w:hint="default"/>
          <w:bCs/>
        </w:rPr>
        <w:t>ke 467 </w:t>
      </w:r>
      <w:r w:rsidRPr="004A3975">
        <w:rPr>
          <w:rFonts w:hint="default"/>
          <w:bCs/>
        </w:rPr>
        <w:t>886,- €</w:t>
      </w:r>
      <w:r w:rsidRPr="004A3975">
        <w:rPr>
          <w:rFonts w:hint="default"/>
          <w:bCs/>
        </w:rPr>
        <w:t xml:space="preserve"> a 620 </w:t>
      </w:r>
      <w:r w:rsidRPr="004A3975">
        <w:rPr>
          <w:rFonts w:hint="default"/>
          <w:bCs/>
        </w:rPr>
        <w:t>–</w:t>
      </w:r>
      <w:r w:rsidRPr="004A3975">
        <w:rPr>
          <w:rFonts w:hint="default"/>
          <w:bCs/>
        </w:rPr>
        <w:t xml:space="preserve"> poistné</w:t>
      </w:r>
      <w:r w:rsidRPr="004A3975">
        <w:rPr>
          <w:rFonts w:hint="default"/>
          <w:bCs/>
        </w:rPr>
        <w:t xml:space="preserve"> a </w:t>
      </w:r>
      <w:r w:rsidRPr="004A3975">
        <w:rPr>
          <w:rFonts w:hint="default"/>
          <w:bCs/>
        </w:rPr>
        <w:t>prí</w:t>
      </w:r>
      <w:r w:rsidRPr="004A3975">
        <w:rPr>
          <w:rFonts w:hint="default"/>
          <w:bCs/>
        </w:rPr>
        <w:t>spevky do poisť</w:t>
      </w:r>
      <w:r w:rsidRPr="004A3975">
        <w:rPr>
          <w:rFonts w:hint="default"/>
          <w:bCs/>
        </w:rPr>
        <w:t>ovne vo výš</w:t>
      </w:r>
      <w:r w:rsidRPr="004A3975">
        <w:rPr>
          <w:rFonts w:hint="default"/>
          <w:bCs/>
        </w:rPr>
        <w:t xml:space="preserve">ke 163 526,- </w:t>
      </w:r>
      <w:r w:rsidRPr="004A3975">
        <w:rPr>
          <w:rFonts w:hint="default"/>
          <w:bCs/>
        </w:rPr>
        <w:t>€</w:t>
      </w:r>
      <w:r w:rsidRPr="004A3975">
        <w:rPr>
          <w:rFonts w:hint="default"/>
          <w:bCs/>
        </w:rPr>
        <w:t xml:space="preserve"> od</w:t>
      </w:r>
      <w:r w:rsidR="0026425D">
        <w:rPr>
          <w:rFonts w:hint="default"/>
          <w:bCs/>
        </w:rPr>
        <w:t>. Do konca roka 2021 je potrebné</w:t>
      </w:r>
      <w:r w:rsidR="0026425D">
        <w:rPr>
          <w:rFonts w:hint="default"/>
          <w:bCs/>
        </w:rPr>
        <w:t xml:space="preserve"> zabezpeč</w:t>
      </w:r>
      <w:r w:rsidR="0026425D">
        <w:rPr>
          <w:rFonts w:hint="default"/>
          <w:bCs/>
        </w:rPr>
        <w:t>iť</w:t>
      </w:r>
      <w:r w:rsidR="0026425D">
        <w:rPr>
          <w:rFonts w:hint="default"/>
          <w:bCs/>
        </w:rPr>
        <w:t xml:space="preserve"> 2 525 648</w:t>
      </w:r>
      <w:r w:rsidRPr="004A3975" w:rsidR="0026425D">
        <w:rPr>
          <w:rFonts w:hint="default"/>
          <w:bCs/>
        </w:rPr>
        <w:t>,- €</w:t>
      </w:r>
      <w:r w:rsidRPr="004A3975">
        <w:rPr>
          <w:bCs/>
        </w:rPr>
        <w:t>.</w:t>
      </w:r>
    </w:p>
    <w:p w:rsidR="009F3186" w:rsidP="00EA7022">
      <w:pPr>
        <w:tabs>
          <w:tab w:val="num" w:pos="1080"/>
        </w:tabs>
        <w:bidi w:val="0"/>
        <w:jc w:val="both"/>
        <w:rPr>
          <w:bCs/>
        </w:rPr>
      </w:pPr>
    </w:p>
    <w:p w:rsidR="009F3186" w:rsidP="00EA7022">
      <w:pPr>
        <w:tabs>
          <w:tab w:val="num" w:pos="1080"/>
        </w:tabs>
        <w:bidi w:val="0"/>
        <w:jc w:val="both"/>
        <w:rPr>
          <w:bCs/>
        </w:rPr>
      </w:pPr>
    </w:p>
    <w:p w:rsidR="0015154A" w:rsidP="000F580B">
      <w:pPr>
        <w:bidi w:val="0"/>
        <w:jc w:val="both"/>
        <w:rPr>
          <w:rFonts w:hint="default"/>
          <w:bCs/>
        </w:rPr>
      </w:pPr>
      <w:r>
        <w:rPr>
          <w:bCs/>
        </w:rPr>
        <w:tab/>
      </w:r>
      <w:r>
        <w:rPr>
          <w:rFonts w:hint="default"/>
          <w:bCs/>
        </w:rPr>
        <w:t>Prijatí</w:t>
      </w:r>
      <w:r>
        <w:rPr>
          <w:rFonts w:hint="default"/>
          <w:bCs/>
        </w:rPr>
        <w:t>m ná</w:t>
      </w:r>
      <w:r>
        <w:rPr>
          <w:rFonts w:hint="default"/>
          <w:bCs/>
        </w:rPr>
        <w:t>vrhu zá</w:t>
      </w:r>
      <w:r>
        <w:rPr>
          <w:rFonts w:hint="default"/>
          <w:bCs/>
        </w:rPr>
        <w:t>kona a </w:t>
      </w:r>
      <w:r>
        <w:rPr>
          <w:rFonts w:hint="default"/>
          <w:bCs/>
        </w:rPr>
        <w:t>jeho vykoná</w:t>
      </w:r>
      <w:r>
        <w:rPr>
          <w:rFonts w:hint="default"/>
          <w:bCs/>
        </w:rPr>
        <w:t>vací</w:t>
      </w:r>
      <w:r>
        <w:rPr>
          <w:rFonts w:hint="default"/>
          <w:bCs/>
        </w:rPr>
        <w:t>ch predpisov sa zabezpečí</w:t>
      </w:r>
      <w:r>
        <w:rPr>
          <w:rFonts w:hint="default"/>
          <w:bCs/>
        </w:rPr>
        <w:t xml:space="preserve"> </w:t>
      </w:r>
      <w:r w:rsidR="008469C3">
        <w:rPr>
          <w:bCs/>
        </w:rPr>
        <w:t>zhoda</w:t>
      </w:r>
      <w:r>
        <w:rPr>
          <w:bCs/>
        </w:rPr>
        <w:t xml:space="preserve"> s </w:t>
      </w:r>
      <w:r>
        <w:rPr>
          <w:rFonts w:hint="default"/>
          <w:bCs/>
        </w:rPr>
        <w:t>prá</w:t>
      </w:r>
      <w:r>
        <w:rPr>
          <w:rFonts w:hint="default"/>
          <w:bCs/>
        </w:rPr>
        <w:t>vom Euró</w:t>
      </w:r>
      <w:r>
        <w:rPr>
          <w:rFonts w:hint="default"/>
          <w:bCs/>
        </w:rPr>
        <w:t>pskej ú</w:t>
      </w:r>
      <w:r>
        <w:rPr>
          <w:rFonts w:hint="default"/>
          <w:bCs/>
        </w:rPr>
        <w:t>nie v </w:t>
      </w:r>
      <w:r>
        <w:rPr>
          <w:rFonts w:hint="default"/>
          <w:bCs/>
        </w:rPr>
        <w:t>oblasti radiač</w:t>
      </w:r>
      <w:r>
        <w:rPr>
          <w:rFonts w:hint="default"/>
          <w:bCs/>
        </w:rPr>
        <w:t>nej ochrany.</w:t>
      </w:r>
    </w:p>
    <w:p w:rsidR="0015154A" w:rsidP="0015154A">
      <w:pPr>
        <w:tabs>
          <w:tab w:val="num" w:pos="1080"/>
        </w:tabs>
        <w:bidi w:val="0"/>
        <w:jc w:val="both"/>
        <w:rPr>
          <w:rFonts w:hint="default"/>
          <w:bCs/>
        </w:rPr>
      </w:pPr>
      <w:r>
        <w:rPr>
          <w:rFonts w:hint="default"/>
          <w:bCs/>
        </w:rPr>
        <w:t>Problematika radiač</w:t>
      </w:r>
      <w:r>
        <w:rPr>
          <w:rFonts w:hint="default"/>
          <w:bCs/>
        </w:rPr>
        <w:t>nej ochrany je š</w:t>
      </w:r>
      <w:r>
        <w:rPr>
          <w:rFonts w:hint="default"/>
          <w:bCs/>
        </w:rPr>
        <w:t>iroká</w:t>
      </w:r>
      <w:r>
        <w:rPr>
          <w:rFonts w:hint="default"/>
          <w:bCs/>
        </w:rPr>
        <w:t>. Noví</w:t>
      </w:r>
      <w:r>
        <w:rPr>
          <w:rFonts w:hint="default"/>
          <w:bCs/>
        </w:rPr>
        <w:t xml:space="preserve"> zamestnanci budú</w:t>
      </w:r>
      <w:r>
        <w:rPr>
          <w:rFonts w:hint="default"/>
          <w:bCs/>
        </w:rPr>
        <w:t xml:space="preserve"> v</w:t>
      </w:r>
      <w:r>
        <w:rPr>
          <w:rFonts w:hint="default"/>
          <w:bCs/>
        </w:rPr>
        <w:t>o svojej ú</w:t>
      </w:r>
      <w:r>
        <w:rPr>
          <w:rFonts w:hint="default"/>
          <w:bCs/>
        </w:rPr>
        <w:t>zemnej pô</w:t>
      </w:r>
      <w:r>
        <w:rPr>
          <w:rFonts w:hint="default"/>
          <w:bCs/>
        </w:rPr>
        <w:t>sobnosti, teda na Ú</w:t>
      </w:r>
      <w:r>
        <w:rPr>
          <w:rFonts w:hint="default"/>
          <w:bCs/>
        </w:rPr>
        <w:t>rade verejné</w:t>
      </w:r>
      <w:r>
        <w:rPr>
          <w:rFonts w:hint="default"/>
          <w:bCs/>
        </w:rPr>
        <w:t>ho zdravotní</w:t>
      </w:r>
      <w:r>
        <w:rPr>
          <w:rFonts w:hint="default"/>
          <w:bCs/>
        </w:rPr>
        <w:t>ctva Slovenskej republiky a </w:t>
      </w:r>
      <w:r w:rsidR="000F580B">
        <w:rPr>
          <w:bCs/>
        </w:rPr>
        <w:t>r</w:t>
      </w:r>
      <w:r>
        <w:rPr>
          <w:rFonts w:hint="default"/>
          <w:bCs/>
        </w:rPr>
        <w:t>egioná</w:t>
      </w:r>
      <w:r>
        <w:rPr>
          <w:rFonts w:hint="default"/>
          <w:bCs/>
        </w:rPr>
        <w:t>lnych ú</w:t>
      </w:r>
      <w:r>
        <w:rPr>
          <w:rFonts w:hint="default"/>
          <w:bCs/>
        </w:rPr>
        <w:t>radoch verejné</w:t>
      </w:r>
      <w:r>
        <w:rPr>
          <w:rFonts w:hint="default"/>
          <w:bCs/>
        </w:rPr>
        <w:t>ho zdravotní</w:t>
      </w:r>
      <w:r>
        <w:rPr>
          <w:rFonts w:hint="default"/>
          <w:bCs/>
        </w:rPr>
        <w:t>ctva so sí</w:t>
      </w:r>
      <w:r>
        <w:rPr>
          <w:rFonts w:hint="default"/>
          <w:bCs/>
        </w:rPr>
        <w:t>dlom v Bratislave, v Nitre, v Banskej Bystrici a v </w:t>
      </w:r>
      <w:r>
        <w:rPr>
          <w:rFonts w:hint="default"/>
          <w:bCs/>
        </w:rPr>
        <w:t>Koš</w:t>
      </w:r>
      <w:r>
        <w:rPr>
          <w:rFonts w:hint="default"/>
          <w:bCs/>
        </w:rPr>
        <w:t>iciach, vykoná</w:t>
      </w:r>
      <w:r>
        <w:rPr>
          <w:rFonts w:hint="default"/>
          <w:bCs/>
        </w:rPr>
        <w:t>vať</w:t>
      </w:r>
      <w:r>
        <w:rPr>
          <w:rFonts w:hint="default"/>
          <w:bCs/>
        </w:rPr>
        <w:t xml:space="preserve"> tieto č</w:t>
      </w:r>
      <w:r>
        <w:rPr>
          <w:rFonts w:hint="default"/>
          <w:bCs/>
        </w:rPr>
        <w:t>innosti:</w:t>
      </w:r>
    </w:p>
    <w:p w:rsidR="0015154A" w:rsidRPr="00BA36F6" w:rsidP="0015154A">
      <w:pPr>
        <w:numPr>
          <w:numId w:val="2"/>
        </w:numPr>
        <w:bidi w:val="0"/>
        <w:jc w:val="both"/>
        <w:rPr>
          <w:bCs/>
        </w:rPr>
      </w:pPr>
      <w:r w:rsidRPr="00BA36F6">
        <w:rPr>
          <w:rFonts w:hint="default"/>
          <w:bCs/>
        </w:rPr>
        <w:t>podieľ</w:t>
      </w:r>
      <w:r w:rsidRPr="00BA36F6">
        <w:rPr>
          <w:rFonts w:hint="default"/>
          <w:bCs/>
        </w:rPr>
        <w:t>ať</w:t>
      </w:r>
      <w:r w:rsidRPr="00BA36F6">
        <w:rPr>
          <w:rFonts w:hint="default"/>
          <w:bCs/>
        </w:rPr>
        <w:t xml:space="preserve"> sa na prá</w:t>
      </w:r>
      <w:r w:rsidRPr="00BA36F6">
        <w:rPr>
          <w:rFonts w:hint="default"/>
          <w:bCs/>
        </w:rPr>
        <w:t>ci komis</w:t>
      </w:r>
      <w:r w:rsidRPr="00BA36F6">
        <w:rPr>
          <w:rFonts w:hint="default"/>
          <w:bCs/>
        </w:rPr>
        <w:t>ie na preskúš</w:t>
      </w:r>
      <w:r w:rsidRPr="00BA36F6">
        <w:rPr>
          <w:rFonts w:hint="default"/>
          <w:bCs/>
        </w:rPr>
        <w:t>anie a uzná</w:t>
      </w:r>
      <w:r w:rsidRPr="00BA36F6">
        <w:rPr>
          <w:rFonts w:hint="default"/>
          <w:bCs/>
        </w:rPr>
        <w:t>vanie odbornej spô</w:t>
      </w:r>
      <w:r w:rsidRPr="00BA36F6">
        <w:rPr>
          <w:rFonts w:hint="default"/>
          <w:bCs/>
        </w:rPr>
        <w:t>sobilosti</w:t>
      </w:r>
      <w:r w:rsidR="008469C3">
        <w:rPr>
          <w:bCs/>
        </w:rPr>
        <w:t xml:space="preserve"> v </w:t>
      </w:r>
      <w:r w:rsidR="008469C3">
        <w:rPr>
          <w:rFonts w:hint="default"/>
          <w:bCs/>
        </w:rPr>
        <w:t>oblasti radiač</w:t>
      </w:r>
      <w:r w:rsidR="008469C3">
        <w:rPr>
          <w:rFonts w:hint="default"/>
          <w:bCs/>
        </w:rPr>
        <w:t>nej ochrany</w:t>
      </w:r>
      <w:r w:rsidRPr="00BA36F6">
        <w:rPr>
          <w:bCs/>
        </w:rPr>
        <w:t>,</w:t>
      </w:r>
    </w:p>
    <w:p w:rsidR="0015154A" w:rsidP="0015154A">
      <w:pPr>
        <w:numPr>
          <w:numId w:val="2"/>
        </w:numPr>
        <w:bidi w:val="0"/>
        <w:jc w:val="both"/>
        <w:rPr>
          <w:rFonts w:hint="default"/>
          <w:bCs/>
        </w:rPr>
      </w:pPr>
      <w:r>
        <w:rPr>
          <w:rFonts w:hint="default"/>
          <w:bCs/>
        </w:rPr>
        <w:t>vykoná</w:t>
      </w:r>
      <w:r>
        <w:rPr>
          <w:rFonts w:hint="default"/>
          <w:bCs/>
        </w:rPr>
        <w:t>vať</w:t>
      </w:r>
      <w:r>
        <w:rPr>
          <w:rFonts w:hint="default"/>
          <w:bCs/>
        </w:rPr>
        <w:t xml:space="preserve"> radiač</w:t>
      </w:r>
      <w:r>
        <w:rPr>
          <w:rFonts w:hint="default"/>
          <w:bCs/>
        </w:rPr>
        <w:t>nú</w:t>
      </w:r>
      <w:r>
        <w:rPr>
          <w:rFonts w:hint="default"/>
          <w:bCs/>
        </w:rPr>
        <w:t xml:space="preserve"> ochranu obyvateľ</w:t>
      </w:r>
      <w:r>
        <w:rPr>
          <w:rFonts w:hint="default"/>
          <w:bCs/>
        </w:rPr>
        <w:t>ov,</w:t>
      </w:r>
    </w:p>
    <w:p w:rsidR="0015154A" w:rsidP="0015154A">
      <w:pPr>
        <w:numPr>
          <w:numId w:val="2"/>
        </w:numPr>
        <w:bidi w:val="0"/>
        <w:jc w:val="both"/>
        <w:rPr>
          <w:rFonts w:hint="default"/>
          <w:bCs/>
        </w:rPr>
      </w:pPr>
      <w:r>
        <w:rPr>
          <w:rFonts w:hint="default"/>
          <w:bCs/>
        </w:rPr>
        <w:t>kontrolovať</w:t>
      </w:r>
      <w:r>
        <w:rPr>
          <w:rFonts w:hint="default"/>
          <w:bCs/>
        </w:rPr>
        <w:t xml:space="preserve"> dodrž</w:t>
      </w:r>
      <w:r>
        <w:rPr>
          <w:rFonts w:hint="default"/>
          <w:bCs/>
        </w:rPr>
        <w:t>iavanie radiač</w:t>
      </w:r>
      <w:r>
        <w:rPr>
          <w:rFonts w:hint="default"/>
          <w:bCs/>
        </w:rPr>
        <w:t>nej ochrany na pracoviská</w:t>
      </w:r>
      <w:r>
        <w:rPr>
          <w:rFonts w:hint="default"/>
          <w:bCs/>
        </w:rPr>
        <w:t>ch so zdrojmi ionizujú</w:t>
      </w:r>
      <w:r>
        <w:rPr>
          <w:rFonts w:hint="default"/>
          <w:bCs/>
        </w:rPr>
        <w:t>ceho ž</w:t>
      </w:r>
      <w:r>
        <w:rPr>
          <w:rFonts w:hint="default"/>
          <w:bCs/>
        </w:rPr>
        <w:t>iarenia, kontrolovať</w:t>
      </w:r>
      <w:r>
        <w:rPr>
          <w:rFonts w:hint="default"/>
          <w:bCs/>
        </w:rPr>
        <w:t xml:space="preserve"> zabezpeč</w:t>
      </w:r>
      <w:r>
        <w:rPr>
          <w:rFonts w:hint="default"/>
          <w:bCs/>
        </w:rPr>
        <w:t>enie ochrany pred prí</w:t>
      </w:r>
      <w:r>
        <w:rPr>
          <w:rFonts w:hint="default"/>
          <w:bCs/>
        </w:rPr>
        <w:t>rodný</w:t>
      </w:r>
      <w:r>
        <w:rPr>
          <w:rFonts w:hint="default"/>
          <w:bCs/>
        </w:rPr>
        <w:t>m ionizujú</w:t>
      </w:r>
      <w:r>
        <w:rPr>
          <w:rFonts w:hint="default"/>
          <w:bCs/>
        </w:rPr>
        <w:t>cim ž</w:t>
      </w:r>
      <w:r>
        <w:rPr>
          <w:rFonts w:hint="default"/>
          <w:bCs/>
        </w:rPr>
        <w:t>iarení</w:t>
      </w:r>
      <w:r>
        <w:rPr>
          <w:rFonts w:hint="default"/>
          <w:bCs/>
        </w:rPr>
        <w:t>m,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vykoná</w:t>
      </w:r>
      <w:r w:rsidRPr="00BA36F6">
        <w:rPr>
          <w:rFonts w:hint="default"/>
          <w:bCs/>
        </w:rPr>
        <w:t>vať</w:t>
      </w:r>
      <w:r w:rsidRPr="00BA36F6">
        <w:rPr>
          <w:rFonts w:hint="default"/>
          <w:bCs/>
        </w:rPr>
        <w:t xml:space="preserve"> š</w:t>
      </w:r>
      <w:r w:rsidRPr="00BA36F6">
        <w:rPr>
          <w:rFonts w:hint="default"/>
          <w:bCs/>
        </w:rPr>
        <w:t>tá</w:t>
      </w:r>
      <w:r w:rsidRPr="00BA36F6">
        <w:rPr>
          <w:rFonts w:hint="default"/>
          <w:bCs/>
        </w:rPr>
        <w:t>tny dozor v </w:t>
      </w:r>
      <w:r w:rsidRPr="00BA36F6">
        <w:rPr>
          <w:rFonts w:hint="default"/>
          <w:bCs/>
        </w:rPr>
        <w:t>oblasti radiač</w:t>
      </w:r>
      <w:r w:rsidRPr="00BA36F6">
        <w:rPr>
          <w:rFonts w:hint="default"/>
          <w:bCs/>
        </w:rPr>
        <w:t>nej ochrany pri leká</w:t>
      </w:r>
      <w:r w:rsidRPr="00BA36F6">
        <w:rPr>
          <w:rFonts w:hint="default"/>
          <w:bCs/>
        </w:rPr>
        <w:t>rskom ož</w:t>
      </w:r>
      <w:r w:rsidRPr="00BA36F6">
        <w:rPr>
          <w:rFonts w:hint="default"/>
          <w:bCs/>
        </w:rPr>
        <w:t>iarení,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monitorovať</w:t>
      </w:r>
      <w:r w:rsidRPr="00BA36F6">
        <w:rPr>
          <w:rFonts w:hint="default"/>
          <w:bCs/>
        </w:rPr>
        <w:t xml:space="preserve">, 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povoľ</w:t>
      </w:r>
      <w:r w:rsidRPr="00BA36F6">
        <w:rPr>
          <w:rFonts w:hint="default"/>
          <w:bCs/>
        </w:rPr>
        <w:t>ovať</w:t>
      </w:r>
      <w:r w:rsidRPr="00BA36F6">
        <w:rPr>
          <w:rFonts w:hint="default"/>
          <w:bCs/>
        </w:rPr>
        <w:t xml:space="preserve"> a </w:t>
      </w:r>
      <w:r w:rsidRPr="00BA36F6">
        <w:rPr>
          <w:rFonts w:hint="default"/>
          <w:bCs/>
        </w:rPr>
        <w:t>kontrolovať</w:t>
      </w:r>
      <w:r w:rsidRPr="00BA36F6">
        <w:rPr>
          <w:rFonts w:hint="default"/>
          <w:bCs/>
        </w:rPr>
        <w:t xml:space="preserve"> uvoľň</w:t>
      </w:r>
      <w:r w:rsidRPr="00BA36F6">
        <w:rPr>
          <w:rFonts w:hint="default"/>
          <w:bCs/>
        </w:rPr>
        <w:t>ovanie rá</w:t>
      </w:r>
      <w:r w:rsidRPr="00BA36F6">
        <w:rPr>
          <w:rFonts w:hint="default"/>
          <w:bCs/>
        </w:rPr>
        <w:t>dioaktí</w:t>
      </w:r>
      <w:r w:rsidRPr="00BA36F6">
        <w:rPr>
          <w:rFonts w:hint="default"/>
          <w:bCs/>
        </w:rPr>
        <w:t>vnych lá</w:t>
      </w:r>
      <w:r w:rsidRPr="00BA36F6">
        <w:rPr>
          <w:rFonts w:hint="default"/>
          <w:bCs/>
        </w:rPr>
        <w:t>tok a </w:t>
      </w:r>
      <w:r w:rsidRPr="00BA36F6">
        <w:rPr>
          <w:rFonts w:hint="default"/>
          <w:bCs/>
        </w:rPr>
        <w:t>materiá</w:t>
      </w:r>
      <w:r w:rsidRPr="00BA36F6">
        <w:rPr>
          <w:rFonts w:hint="default"/>
          <w:bCs/>
        </w:rPr>
        <w:t>lov,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povoľ</w:t>
      </w:r>
      <w:r w:rsidRPr="00BA36F6">
        <w:rPr>
          <w:rFonts w:hint="default"/>
          <w:bCs/>
        </w:rPr>
        <w:t>ovať</w:t>
      </w:r>
      <w:r w:rsidRPr="00BA36F6">
        <w:rPr>
          <w:rFonts w:hint="default"/>
          <w:bCs/>
        </w:rPr>
        <w:t xml:space="preserve"> a </w:t>
      </w:r>
      <w:r w:rsidRPr="00BA36F6">
        <w:rPr>
          <w:rFonts w:hint="default"/>
          <w:bCs/>
        </w:rPr>
        <w:t>kontrolovať</w:t>
      </w:r>
      <w:r w:rsidRPr="00BA36F6">
        <w:rPr>
          <w:rFonts w:hint="default"/>
          <w:bCs/>
        </w:rPr>
        <w:t xml:space="preserve"> nakladanie s r</w:t>
      </w:r>
      <w:r w:rsidRPr="00BA36F6">
        <w:rPr>
          <w:rFonts w:hint="default"/>
          <w:bCs/>
        </w:rPr>
        <w:t>á</w:t>
      </w:r>
      <w:r w:rsidRPr="00BA36F6">
        <w:rPr>
          <w:rFonts w:hint="default"/>
          <w:bCs/>
        </w:rPr>
        <w:t>dioaktí</w:t>
      </w:r>
      <w:r w:rsidRPr="00BA36F6">
        <w:rPr>
          <w:rFonts w:hint="default"/>
          <w:bCs/>
        </w:rPr>
        <w:t>vnym odpadom,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rieš</w:t>
      </w:r>
      <w:r w:rsidRPr="00BA36F6">
        <w:rPr>
          <w:rFonts w:hint="default"/>
          <w:bCs/>
        </w:rPr>
        <w:t>iť</w:t>
      </w:r>
      <w:r w:rsidRPr="00BA36F6">
        <w:rPr>
          <w:rFonts w:hint="default"/>
          <w:bCs/>
        </w:rPr>
        <w:t xml:space="preserve"> osobitné</w:t>
      </w:r>
      <w:r w:rsidRPr="00BA36F6">
        <w:rPr>
          <w:rFonts w:hint="default"/>
          <w:bCs/>
        </w:rPr>
        <w:t xml:space="preserve"> pož</w:t>
      </w:r>
      <w:r w:rsidRPr="00BA36F6">
        <w:rPr>
          <w:rFonts w:hint="default"/>
          <w:bCs/>
        </w:rPr>
        <w:t>iadavky na rô</w:t>
      </w:r>
      <w:r w:rsidRPr="00BA36F6">
        <w:rPr>
          <w:rFonts w:hint="default"/>
          <w:bCs/>
        </w:rPr>
        <w:t>zne typy zdrojov ž</w:t>
      </w:r>
      <w:r w:rsidRPr="00BA36F6">
        <w:rPr>
          <w:rFonts w:hint="default"/>
          <w:bCs/>
        </w:rPr>
        <w:t>iarenia,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zabezpeč</w:t>
      </w:r>
      <w:r w:rsidRPr="00BA36F6">
        <w:rPr>
          <w:rFonts w:hint="default"/>
          <w:bCs/>
        </w:rPr>
        <w:t>ovať</w:t>
      </w:r>
      <w:r w:rsidRPr="00BA36F6">
        <w:rPr>
          <w:rFonts w:hint="default"/>
          <w:bCs/>
        </w:rPr>
        <w:t xml:space="preserve"> prá</w:t>
      </w:r>
      <w:r w:rsidRPr="00BA36F6">
        <w:rPr>
          <w:rFonts w:hint="default"/>
          <w:bCs/>
        </w:rPr>
        <w:t>cu ú</w:t>
      </w:r>
      <w:r w:rsidRPr="00BA36F6">
        <w:rPr>
          <w:rFonts w:hint="default"/>
          <w:bCs/>
        </w:rPr>
        <w:t>stredia radiač</w:t>
      </w:r>
      <w:r w:rsidRPr="00BA36F6">
        <w:rPr>
          <w:rFonts w:hint="default"/>
          <w:bCs/>
        </w:rPr>
        <w:t>nej monitorovacej siete, </w:t>
      </w:r>
      <w:r w:rsidRPr="00BA36F6">
        <w:rPr>
          <w:rFonts w:hint="default"/>
          <w:bCs/>
        </w:rPr>
        <w:t>monitorovanie radiač</w:t>
      </w:r>
      <w:r w:rsidRPr="00BA36F6">
        <w:rPr>
          <w:rFonts w:hint="default"/>
          <w:bCs/>
        </w:rPr>
        <w:t>nej situá</w:t>
      </w:r>
      <w:r w:rsidRPr="00BA36F6">
        <w:rPr>
          <w:rFonts w:hint="default"/>
          <w:bCs/>
        </w:rPr>
        <w:t>cie a </w:t>
      </w:r>
      <w:r w:rsidRPr="00BA36F6">
        <w:rPr>
          <w:rFonts w:hint="default"/>
          <w:bCs/>
        </w:rPr>
        <w:t>monitorovanie rá</w:t>
      </w:r>
      <w:r w:rsidRPr="00BA36F6">
        <w:rPr>
          <w:rFonts w:hint="default"/>
          <w:bCs/>
        </w:rPr>
        <w:t>dionuklidov v </w:t>
      </w:r>
      <w:r w:rsidRPr="00BA36F6">
        <w:rPr>
          <w:rFonts w:hint="default"/>
          <w:bCs/>
        </w:rPr>
        <w:t>zlož</w:t>
      </w:r>
      <w:r w:rsidRPr="00BA36F6">
        <w:rPr>
          <w:rFonts w:hint="default"/>
          <w:bCs/>
        </w:rPr>
        <w:t>ká</w:t>
      </w:r>
      <w:r w:rsidRPr="00BA36F6">
        <w:rPr>
          <w:rFonts w:hint="default"/>
          <w:bCs/>
        </w:rPr>
        <w:t>ch ž</w:t>
      </w:r>
      <w:r w:rsidRPr="00BA36F6">
        <w:rPr>
          <w:rFonts w:hint="default"/>
          <w:bCs/>
        </w:rPr>
        <w:t>ivotné</w:t>
      </w:r>
      <w:r w:rsidRPr="00BA36F6">
        <w:rPr>
          <w:rFonts w:hint="default"/>
          <w:bCs/>
        </w:rPr>
        <w:t>ho prostredia a potravinovom re</w:t>
      </w:r>
      <w:r w:rsidRPr="00BA36F6">
        <w:rPr>
          <w:rFonts w:hint="default"/>
          <w:bCs/>
        </w:rPr>
        <w:t>ť</w:t>
      </w:r>
      <w:r w:rsidRPr="00BA36F6">
        <w:rPr>
          <w:rFonts w:hint="default"/>
          <w:bCs/>
        </w:rPr>
        <w:t>azci,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zabezpeč</w:t>
      </w:r>
      <w:r w:rsidRPr="00BA36F6">
        <w:rPr>
          <w:rFonts w:hint="default"/>
          <w:bCs/>
        </w:rPr>
        <w:t>ovať</w:t>
      </w:r>
      <w:r w:rsidRPr="00BA36F6">
        <w:rPr>
          <w:rFonts w:hint="default"/>
          <w:bCs/>
        </w:rPr>
        <w:t xml:space="preserve"> havarijnú</w:t>
      </w:r>
      <w:r w:rsidRPr="00BA36F6">
        <w:rPr>
          <w:rFonts w:hint="default"/>
          <w:bCs/>
        </w:rPr>
        <w:t xml:space="preserve"> pripravenosť,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rieš</w:t>
      </w:r>
      <w:r w:rsidRPr="00BA36F6">
        <w:rPr>
          <w:rFonts w:hint="default"/>
          <w:bCs/>
        </w:rPr>
        <w:t>iť</w:t>
      </w:r>
      <w:r w:rsidRPr="00BA36F6">
        <w:rPr>
          <w:rFonts w:hint="default"/>
          <w:bCs/>
        </w:rPr>
        <w:t xml:space="preserve"> existujú</w:t>
      </w:r>
      <w:r w:rsidRPr="00BA36F6">
        <w:rPr>
          <w:rFonts w:hint="default"/>
          <w:bCs/>
        </w:rPr>
        <w:t>ce a </w:t>
      </w:r>
      <w:r w:rsidRPr="00BA36F6">
        <w:rPr>
          <w:rFonts w:hint="default"/>
          <w:bCs/>
        </w:rPr>
        <w:t>nú</w:t>
      </w:r>
      <w:r w:rsidRPr="00BA36F6">
        <w:rPr>
          <w:rFonts w:hint="default"/>
          <w:bCs/>
        </w:rPr>
        <w:t>dzové</w:t>
      </w:r>
      <w:r w:rsidRPr="00BA36F6">
        <w:rPr>
          <w:rFonts w:hint="default"/>
          <w:bCs/>
        </w:rPr>
        <w:t xml:space="preserve"> situá</w:t>
      </w:r>
      <w:r w:rsidRPr="00BA36F6">
        <w:rPr>
          <w:rFonts w:hint="default"/>
          <w:bCs/>
        </w:rPr>
        <w:t>cie,</w:t>
      </w:r>
    </w:p>
    <w:p w:rsidR="0015154A" w:rsidRPr="00BA36F6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navrhovať</w:t>
      </w:r>
      <w:r w:rsidRPr="00BA36F6">
        <w:rPr>
          <w:rFonts w:hint="default"/>
          <w:bCs/>
        </w:rPr>
        <w:t xml:space="preserve"> opatrenia na zabezpeč</w:t>
      </w:r>
      <w:r w:rsidRPr="00BA36F6">
        <w:rPr>
          <w:rFonts w:hint="default"/>
          <w:bCs/>
        </w:rPr>
        <w:t>enie radiač</w:t>
      </w:r>
      <w:r w:rsidRPr="00BA36F6">
        <w:rPr>
          <w:rFonts w:hint="default"/>
          <w:bCs/>
        </w:rPr>
        <w:t>nej ochrany pri ná</w:t>
      </w:r>
      <w:r w:rsidRPr="00BA36F6">
        <w:rPr>
          <w:rFonts w:hint="default"/>
          <w:bCs/>
        </w:rPr>
        <w:t>lezoch opustený</w:t>
      </w:r>
      <w:r w:rsidRPr="00BA36F6">
        <w:rPr>
          <w:rFonts w:hint="default"/>
          <w:bCs/>
        </w:rPr>
        <w:t>ch ž</w:t>
      </w:r>
      <w:r w:rsidRPr="00BA36F6">
        <w:rPr>
          <w:rFonts w:hint="default"/>
          <w:bCs/>
        </w:rPr>
        <w:t>iarič</w:t>
      </w:r>
      <w:r w:rsidRPr="00BA36F6">
        <w:rPr>
          <w:rFonts w:hint="default"/>
          <w:bCs/>
        </w:rPr>
        <w:t>ov a </w:t>
      </w:r>
      <w:r w:rsidRPr="00BA36F6">
        <w:rPr>
          <w:rFonts w:hint="default"/>
          <w:bCs/>
        </w:rPr>
        <w:t>rá</w:t>
      </w:r>
      <w:r w:rsidRPr="00BA36F6">
        <w:rPr>
          <w:rFonts w:hint="default"/>
          <w:bCs/>
        </w:rPr>
        <w:t>dioaktí</w:t>
      </w:r>
      <w:r w:rsidRPr="00BA36F6">
        <w:rPr>
          <w:rFonts w:hint="default"/>
          <w:bCs/>
        </w:rPr>
        <w:t>vnych materiá</w:t>
      </w:r>
      <w:r w:rsidRPr="00BA36F6">
        <w:rPr>
          <w:rFonts w:hint="default"/>
          <w:bCs/>
        </w:rPr>
        <w:t>lov,</w:t>
      </w:r>
    </w:p>
    <w:p w:rsidR="0015154A" w:rsidP="0015154A">
      <w:pPr>
        <w:numPr>
          <w:numId w:val="2"/>
        </w:numPr>
        <w:bidi w:val="0"/>
        <w:jc w:val="both"/>
        <w:rPr>
          <w:rFonts w:hint="default"/>
          <w:bCs/>
        </w:rPr>
      </w:pPr>
      <w:r w:rsidRPr="00BA36F6">
        <w:rPr>
          <w:rFonts w:hint="default"/>
          <w:bCs/>
        </w:rPr>
        <w:t>kontrolovať</w:t>
      </w:r>
      <w:r w:rsidRPr="00BA36F6">
        <w:rPr>
          <w:rFonts w:hint="default"/>
          <w:bCs/>
        </w:rPr>
        <w:t xml:space="preserve"> povinnosti fyzický</w:t>
      </w:r>
      <w:r w:rsidRPr="00BA36F6">
        <w:rPr>
          <w:rFonts w:hint="default"/>
          <w:bCs/>
        </w:rPr>
        <w:t>ch osô</w:t>
      </w:r>
      <w:r w:rsidRPr="00BA36F6">
        <w:rPr>
          <w:rFonts w:hint="default"/>
          <w:bCs/>
        </w:rPr>
        <w:t>b, fyzický</w:t>
      </w:r>
      <w:r w:rsidRPr="00BA36F6">
        <w:rPr>
          <w:rFonts w:hint="default"/>
          <w:bCs/>
        </w:rPr>
        <w:t>ch</w:t>
      </w:r>
      <w:r>
        <w:rPr>
          <w:bCs/>
        </w:rPr>
        <w:t xml:space="preserve"> o</w:t>
      </w:r>
      <w:r>
        <w:rPr>
          <w:rFonts w:hint="default"/>
          <w:bCs/>
        </w:rPr>
        <w:t>sô</w:t>
      </w:r>
      <w:r>
        <w:rPr>
          <w:rFonts w:hint="default"/>
          <w:bCs/>
        </w:rPr>
        <w:t xml:space="preserve">b </w:t>
      </w:r>
      <w:r>
        <w:rPr>
          <w:rFonts w:hint="default"/>
          <w:bCs/>
        </w:rPr>
        <w:t>–</w:t>
      </w:r>
      <w:r>
        <w:rPr>
          <w:rFonts w:hint="default"/>
          <w:bCs/>
        </w:rPr>
        <w:t xml:space="preserve"> podnikateľ</w:t>
      </w:r>
      <w:r>
        <w:rPr>
          <w:rFonts w:hint="default"/>
          <w:bCs/>
        </w:rPr>
        <w:t>ov a </w:t>
      </w:r>
      <w:r>
        <w:rPr>
          <w:rFonts w:hint="default"/>
          <w:bCs/>
        </w:rPr>
        <w:t>prá</w:t>
      </w:r>
      <w:r>
        <w:rPr>
          <w:rFonts w:hint="default"/>
          <w:bCs/>
        </w:rPr>
        <w:t>vnický</w:t>
      </w:r>
      <w:r>
        <w:rPr>
          <w:rFonts w:hint="default"/>
          <w:bCs/>
        </w:rPr>
        <w:t>ch osô</w:t>
      </w:r>
      <w:r>
        <w:rPr>
          <w:rFonts w:hint="default"/>
          <w:bCs/>
        </w:rPr>
        <w:t>b pri vykoná</w:t>
      </w:r>
      <w:r>
        <w:rPr>
          <w:rFonts w:hint="default"/>
          <w:bCs/>
        </w:rPr>
        <w:t>vaní</w:t>
      </w:r>
      <w:r>
        <w:rPr>
          <w:rFonts w:hint="default"/>
          <w:bCs/>
        </w:rPr>
        <w:t xml:space="preserve"> č</w:t>
      </w:r>
      <w:r>
        <w:rPr>
          <w:rFonts w:hint="default"/>
          <w:bCs/>
        </w:rPr>
        <w:t>inností</w:t>
      </w:r>
      <w:r>
        <w:rPr>
          <w:rFonts w:hint="default"/>
          <w:bCs/>
        </w:rPr>
        <w:t xml:space="preserve"> vedú</w:t>
      </w:r>
      <w:r>
        <w:rPr>
          <w:rFonts w:hint="default"/>
          <w:bCs/>
        </w:rPr>
        <w:t>cich k </w:t>
      </w:r>
      <w:r>
        <w:rPr>
          <w:rFonts w:hint="default"/>
          <w:bCs/>
        </w:rPr>
        <w:t>ož</w:t>
      </w:r>
      <w:r>
        <w:rPr>
          <w:rFonts w:hint="default"/>
          <w:bCs/>
        </w:rPr>
        <w:t xml:space="preserve">iareniu, </w:t>
      </w:r>
    </w:p>
    <w:p w:rsidR="0015154A" w:rsidP="0015154A">
      <w:pPr>
        <w:numPr>
          <w:numId w:val="2"/>
        </w:numPr>
        <w:bidi w:val="0"/>
        <w:jc w:val="both"/>
        <w:rPr>
          <w:rFonts w:hint="default"/>
          <w:bCs/>
        </w:rPr>
      </w:pPr>
      <w:r>
        <w:rPr>
          <w:rFonts w:hint="default"/>
          <w:bCs/>
        </w:rPr>
        <w:t>vykoná</w:t>
      </w:r>
      <w:r>
        <w:rPr>
          <w:rFonts w:hint="default"/>
          <w:bCs/>
        </w:rPr>
        <w:t>vať</w:t>
      </w:r>
      <w:r>
        <w:rPr>
          <w:rFonts w:hint="default"/>
          <w:bCs/>
        </w:rPr>
        <w:t xml:space="preserve"> š</w:t>
      </w:r>
      <w:r>
        <w:rPr>
          <w:rFonts w:hint="default"/>
          <w:bCs/>
        </w:rPr>
        <w:t>tá</w:t>
      </w:r>
      <w:r>
        <w:rPr>
          <w:rFonts w:hint="default"/>
          <w:bCs/>
        </w:rPr>
        <w:t>tny dozor v </w:t>
      </w:r>
      <w:r>
        <w:rPr>
          <w:rFonts w:hint="default"/>
          <w:bCs/>
        </w:rPr>
        <w:t>oblasti radiač</w:t>
      </w:r>
      <w:r>
        <w:rPr>
          <w:rFonts w:hint="default"/>
          <w:bCs/>
        </w:rPr>
        <w:t>nej ochrany,</w:t>
      </w:r>
    </w:p>
    <w:p w:rsidR="0015154A" w:rsidP="0015154A">
      <w:pPr>
        <w:numPr>
          <w:numId w:val="2"/>
        </w:numPr>
        <w:bidi w:val="0"/>
        <w:jc w:val="both"/>
        <w:rPr>
          <w:rFonts w:hint="default"/>
          <w:bCs/>
        </w:rPr>
      </w:pPr>
      <w:r>
        <w:rPr>
          <w:rFonts w:hint="default"/>
          <w:bCs/>
        </w:rPr>
        <w:t>udeľ</w:t>
      </w:r>
      <w:r>
        <w:rPr>
          <w:rFonts w:hint="default"/>
          <w:bCs/>
        </w:rPr>
        <w:t>ovať</w:t>
      </w:r>
      <w:r>
        <w:rPr>
          <w:rFonts w:hint="default"/>
          <w:bCs/>
        </w:rPr>
        <w:t xml:space="preserve"> sankcie za poruš</w:t>
      </w:r>
      <w:r>
        <w:rPr>
          <w:rFonts w:hint="default"/>
          <w:bCs/>
        </w:rPr>
        <w:t>enie povinností</w:t>
      </w:r>
      <w:r>
        <w:rPr>
          <w:rFonts w:hint="default"/>
          <w:bCs/>
        </w:rPr>
        <w:t xml:space="preserve"> na ú</w:t>
      </w:r>
      <w:r>
        <w:rPr>
          <w:rFonts w:hint="default"/>
          <w:bCs/>
        </w:rPr>
        <w:t>seku radiač</w:t>
      </w:r>
      <w:r>
        <w:rPr>
          <w:rFonts w:hint="default"/>
          <w:bCs/>
        </w:rPr>
        <w:t>nej ochrany,</w:t>
      </w:r>
    </w:p>
    <w:p w:rsidR="0015154A" w:rsidP="0015154A">
      <w:pPr>
        <w:numPr>
          <w:numId w:val="2"/>
        </w:numPr>
        <w:bidi w:val="0"/>
        <w:jc w:val="both"/>
        <w:rPr>
          <w:rFonts w:hint="default"/>
          <w:bCs/>
        </w:rPr>
      </w:pPr>
      <w:r>
        <w:rPr>
          <w:rFonts w:hint="default"/>
          <w:bCs/>
        </w:rPr>
        <w:t>spolupracovať</w:t>
      </w:r>
      <w:r>
        <w:rPr>
          <w:rFonts w:hint="default"/>
          <w:bCs/>
        </w:rPr>
        <w:t xml:space="preserve"> s </w:t>
      </w:r>
      <w:r>
        <w:rPr>
          <w:rFonts w:hint="default"/>
          <w:bCs/>
        </w:rPr>
        <w:t>medziná</w:t>
      </w:r>
      <w:r>
        <w:rPr>
          <w:rFonts w:hint="default"/>
          <w:bCs/>
        </w:rPr>
        <w:t>rodný</w:t>
      </w:r>
      <w:r>
        <w:rPr>
          <w:rFonts w:hint="default"/>
          <w:bCs/>
        </w:rPr>
        <w:t>mi organizá</w:t>
      </w:r>
      <w:r>
        <w:rPr>
          <w:rFonts w:hint="default"/>
          <w:bCs/>
        </w:rPr>
        <w:t>ciami.</w:t>
      </w:r>
    </w:p>
    <w:p w:rsidR="0015154A" w:rsidP="0015154A">
      <w:pPr>
        <w:bidi w:val="0"/>
        <w:ind w:firstLine="360"/>
        <w:jc w:val="both"/>
        <w:rPr>
          <w:rFonts w:hint="default"/>
          <w:bCs/>
        </w:rPr>
      </w:pPr>
      <w:r>
        <w:rPr>
          <w:rFonts w:hint="default"/>
          <w:bCs/>
        </w:rPr>
        <w:t xml:space="preserve"> Zamestnanci Ú</w:t>
      </w:r>
      <w:r>
        <w:rPr>
          <w:rFonts w:hint="default"/>
          <w:bCs/>
        </w:rPr>
        <w:t>radu verejné</w:t>
      </w:r>
      <w:r>
        <w:rPr>
          <w:rFonts w:hint="default"/>
          <w:bCs/>
        </w:rPr>
        <w:t>ho zdravotní</w:t>
      </w:r>
      <w:r>
        <w:rPr>
          <w:rFonts w:hint="default"/>
          <w:bCs/>
        </w:rPr>
        <w:t>ctva Slovenskej republiky v </w:t>
      </w:r>
      <w:r>
        <w:rPr>
          <w:rFonts w:hint="default"/>
          <w:bCs/>
        </w:rPr>
        <w:t>oblasti radiač</w:t>
      </w:r>
      <w:r>
        <w:rPr>
          <w:rFonts w:hint="default"/>
          <w:bCs/>
        </w:rPr>
        <w:t>nej ochrany budú</w:t>
      </w:r>
      <w:r>
        <w:rPr>
          <w:rFonts w:hint="default"/>
          <w:bCs/>
        </w:rPr>
        <w:t xml:space="preserve"> vykoná</w:t>
      </w:r>
      <w:r>
        <w:rPr>
          <w:rFonts w:hint="default"/>
          <w:bCs/>
        </w:rPr>
        <w:t>vať</w:t>
      </w:r>
      <w:r>
        <w:rPr>
          <w:rFonts w:hint="default"/>
          <w:bCs/>
        </w:rPr>
        <w:t xml:space="preserve"> aj č</w:t>
      </w:r>
      <w:r>
        <w:rPr>
          <w:rFonts w:hint="default"/>
          <w:bCs/>
        </w:rPr>
        <w:t>innosti v </w:t>
      </w:r>
      <w:r>
        <w:rPr>
          <w:rFonts w:hint="default"/>
          <w:bCs/>
        </w:rPr>
        <w:t>sú</w:t>
      </w:r>
      <w:r>
        <w:rPr>
          <w:rFonts w:hint="default"/>
          <w:bCs/>
        </w:rPr>
        <w:t>vislosti s </w:t>
      </w:r>
      <w:r>
        <w:rPr>
          <w:rFonts w:hint="default"/>
          <w:bCs/>
        </w:rPr>
        <w:t>povoľ</w:t>
      </w:r>
      <w:r>
        <w:rPr>
          <w:rFonts w:hint="default"/>
          <w:bCs/>
        </w:rPr>
        <w:t>ovaní</w:t>
      </w:r>
      <w:r>
        <w:rPr>
          <w:rFonts w:hint="default"/>
          <w:bCs/>
        </w:rPr>
        <w:t>m a </w:t>
      </w:r>
      <w:r>
        <w:rPr>
          <w:rFonts w:hint="default"/>
          <w:bCs/>
        </w:rPr>
        <w:t>kontrolou jadrový</w:t>
      </w:r>
      <w:r>
        <w:rPr>
          <w:rFonts w:hint="default"/>
          <w:bCs/>
        </w:rPr>
        <w:t>ch zariadení</w:t>
      </w:r>
      <w:r>
        <w:rPr>
          <w:rFonts w:hint="default"/>
          <w:bCs/>
        </w:rPr>
        <w:t xml:space="preserve"> v </w:t>
      </w:r>
      <w:r>
        <w:rPr>
          <w:rFonts w:hint="default"/>
          <w:bCs/>
        </w:rPr>
        <w:t>prevá</w:t>
      </w:r>
      <w:r>
        <w:rPr>
          <w:rFonts w:hint="default"/>
          <w:bCs/>
        </w:rPr>
        <w:t>dzke, vo vyraď</w:t>
      </w:r>
      <w:r>
        <w:rPr>
          <w:rFonts w:hint="default"/>
          <w:bCs/>
        </w:rPr>
        <w:t>ovaní</w:t>
      </w:r>
      <w:r>
        <w:rPr>
          <w:rFonts w:hint="default"/>
          <w:bCs/>
        </w:rPr>
        <w:t xml:space="preserve"> a </w:t>
      </w:r>
      <w:r>
        <w:rPr>
          <w:rFonts w:hint="default"/>
          <w:bCs/>
        </w:rPr>
        <w:t>slúž</w:t>
      </w:r>
      <w:r>
        <w:rPr>
          <w:rFonts w:hint="default"/>
          <w:bCs/>
        </w:rPr>
        <w:t>iacich na spracovanie a </w:t>
      </w:r>
      <w:r>
        <w:rPr>
          <w:rFonts w:hint="default"/>
          <w:bCs/>
        </w:rPr>
        <w:t>ukladanie rá</w:t>
      </w:r>
      <w:r>
        <w:rPr>
          <w:rFonts w:hint="default"/>
          <w:bCs/>
        </w:rPr>
        <w:t>dioaktí</w:t>
      </w:r>
      <w:r>
        <w:rPr>
          <w:rFonts w:hint="default"/>
          <w:bCs/>
        </w:rPr>
        <w:t>vnych odpadov.</w:t>
      </w:r>
    </w:p>
    <w:p w:rsidR="0015154A" w:rsidP="0015154A">
      <w:pPr>
        <w:bidi w:val="0"/>
        <w:jc w:val="both"/>
        <w:rPr>
          <w:bCs/>
        </w:rPr>
      </w:pPr>
    </w:p>
    <w:p w:rsidR="0015154A" w:rsidP="0015154A">
      <w:pPr>
        <w:bidi w:val="0"/>
        <w:jc w:val="both"/>
        <w:rPr>
          <w:b/>
          <w:bCs/>
        </w:rPr>
      </w:pPr>
      <w:r w:rsidRPr="00B36689">
        <w:rPr>
          <w:rFonts w:hint="default"/>
          <w:b/>
          <w:bCs/>
        </w:rPr>
        <w:t>Zdô</w:t>
      </w:r>
      <w:r w:rsidRPr="00B36689">
        <w:rPr>
          <w:rFonts w:hint="default"/>
          <w:b/>
          <w:bCs/>
        </w:rPr>
        <w:t>vodnenie</w:t>
      </w:r>
      <w:r w:rsidR="008469C3">
        <w:rPr>
          <w:b/>
          <w:bCs/>
        </w:rPr>
        <w:t>:</w:t>
      </w:r>
    </w:p>
    <w:p w:rsidR="0015154A" w:rsidP="0015154A">
      <w:pPr>
        <w:pStyle w:val="Textodstavce"/>
        <w:bidi w:val="0"/>
        <w:spacing w:before="0"/>
        <w:ind w:left="0" w:firstLine="426"/>
        <w:rPr>
          <w:rFonts w:ascii="Times New Roman" w:hAnsi="Times New Roman"/>
          <w:sz w:val="24"/>
          <w:szCs w:val="24"/>
        </w:rPr>
      </w:pPr>
      <w:r w:rsidRPr="003F10CA">
        <w:rPr>
          <w:rFonts w:ascii="Times New Roman" w:hAnsi="Times New Roman" w:hint="default"/>
          <w:sz w:val="24"/>
          <w:szCs w:val="24"/>
        </w:rPr>
        <w:t>Zdô</w:t>
      </w:r>
      <w:r w:rsidRPr="003F10CA">
        <w:rPr>
          <w:rFonts w:ascii="Times New Roman" w:hAnsi="Times New Roman" w:hint="default"/>
          <w:sz w:val="24"/>
          <w:szCs w:val="24"/>
        </w:rPr>
        <w:t>vodnenie potreby nový</w:t>
      </w:r>
      <w:r w:rsidRPr="003F10CA">
        <w:rPr>
          <w:rFonts w:ascii="Times New Roman" w:hAnsi="Times New Roman" w:hint="default"/>
          <w:sz w:val="24"/>
          <w:szCs w:val="24"/>
        </w:rPr>
        <w:t>ch zamestnancov na odborný</w:t>
      </w:r>
      <w:r w:rsidRPr="003F10CA">
        <w:rPr>
          <w:rFonts w:ascii="Times New Roman" w:hAnsi="Times New Roman" w:hint="default"/>
          <w:sz w:val="24"/>
          <w:szCs w:val="24"/>
        </w:rPr>
        <w:t>ch ú</w:t>
      </w:r>
      <w:r w:rsidRPr="003F10CA">
        <w:rPr>
          <w:rFonts w:ascii="Times New Roman" w:hAnsi="Times New Roman" w:hint="default"/>
          <w:sz w:val="24"/>
          <w:szCs w:val="24"/>
        </w:rPr>
        <w:t>tvaroch ochrany zdravia pred ž</w:t>
      </w:r>
      <w:r w:rsidRPr="003F10CA">
        <w:rPr>
          <w:rFonts w:ascii="Times New Roman" w:hAnsi="Times New Roman" w:hint="default"/>
          <w:sz w:val="24"/>
          <w:szCs w:val="24"/>
        </w:rPr>
        <w:t>iarení</w:t>
      </w:r>
      <w:r w:rsidRPr="003F10CA">
        <w:rPr>
          <w:rFonts w:ascii="Times New Roman" w:hAnsi="Times New Roman" w:hint="default"/>
          <w:sz w:val="24"/>
          <w:szCs w:val="24"/>
        </w:rPr>
        <w:t>m na Ú</w:t>
      </w:r>
      <w:r w:rsidRPr="003F10CA">
        <w:rPr>
          <w:rFonts w:ascii="Times New Roman" w:hAnsi="Times New Roman" w:hint="default"/>
          <w:sz w:val="24"/>
          <w:szCs w:val="24"/>
        </w:rPr>
        <w:t>rade verejné</w:t>
      </w:r>
      <w:r w:rsidRPr="003F10CA">
        <w:rPr>
          <w:rFonts w:ascii="Times New Roman" w:hAnsi="Times New Roman" w:hint="default"/>
          <w:sz w:val="24"/>
          <w:szCs w:val="24"/>
        </w:rPr>
        <w:t>ho zdravotní</w:t>
      </w:r>
      <w:r w:rsidRPr="003F10CA">
        <w:rPr>
          <w:rFonts w:ascii="Times New Roman" w:hAnsi="Times New Roman" w:hint="default"/>
          <w:sz w:val="24"/>
          <w:szCs w:val="24"/>
        </w:rPr>
        <w:t xml:space="preserve">ctva </w:t>
      </w:r>
      <w:r>
        <w:rPr>
          <w:rFonts w:ascii="Times New Roman" w:hAnsi="Times New Roman"/>
          <w:sz w:val="24"/>
          <w:szCs w:val="24"/>
        </w:rPr>
        <w:t>Slovenskej republiky</w:t>
      </w:r>
      <w:r w:rsidRPr="003F10CA">
        <w:rPr>
          <w:rFonts w:ascii="Times New Roman" w:hAnsi="Times New Roman"/>
          <w:sz w:val="24"/>
          <w:szCs w:val="24"/>
        </w:rPr>
        <w:t xml:space="preserve"> a </w:t>
      </w:r>
      <w:r w:rsidRPr="003F10CA">
        <w:rPr>
          <w:rFonts w:ascii="Times New Roman" w:hAnsi="Times New Roman" w:hint="default"/>
          <w:sz w:val="24"/>
          <w:szCs w:val="24"/>
        </w:rPr>
        <w:t>regioná</w:t>
      </w:r>
      <w:r w:rsidRPr="003F10CA">
        <w:rPr>
          <w:rFonts w:ascii="Times New Roman" w:hAnsi="Times New Roman" w:hint="default"/>
          <w:sz w:val="24"/>
          <w:szCs w:val="24"/>
        </w:rPr>
        <w:t>lnych ú</w:t>
      </w:r>
      <w:r w:rsidRPr="003F10CA">
        <w:rPr>
          <w:rFonts w:ascii="Times New Roman" w:hAnsi="Times New Roman" w:hint="default"/>
          <w:sz w:val="24"/>
          <w:szCs w:val="24"/>
        </w:rPr>
        <w:t>radoch verejné</w:t>
      </w:r>
      <w:r w:rsidRPr="003F10CA">
        <w:rPr>
          <w:rFonts w:ascii="Times New Roman" w:hAnsi="Times New Roman" w:hint="default"/>
          <w:sz w:val="24"/>
          <w:szCs w:val="24"/>
        </w:rPr>
        <w:t>ho zdravotní</w:t>
      </w:r>
      <w:r w:rsidRPr="003F10CA">
        <w:rPr>
          <w:rFonts w:ascii="Times New Roman" w:hAnsi="Times New Roman" w:hint="default"/>
          <w:sz w:val="24"/>
          <w:szCs w:val="24"/>
        </w:rPr>
        <w:t>ctva</w:t>
      </w:r>
      <w:r>
        <w:rPr>
          <w:rFonts w:ascii="Times New Roman" w:hAnsi="Times New Roman" w:hint="default"/>
          <w:sz w:val="24"/>
          <w:szCs w:val="24"/>
        </w:rPr>
        <w:t xml:space="preserve"> so sí</w:t>
      </w:r>
      <w:r>
        <w:rPr>
          <w:rFonts w:ascii="Times New Roman" w:hAnsi="Times New Roman" w:hint="default"/>
          <w:sz w:val="24"/>
          <w:szCs w:val="24"/>
        </w:rPr>
        <w:t>dlom v </w:t>
      </w:r>
      <w:r>
        <w:rPr>
          <w:rFonts w:ascii="Times New Roman" w:hAnsi="Times New Roman" w:hint="default"/>
          <w:sz w:val="24"/>
          <w:szCs w:val="24"/>
        </w:rPr>
        <w:t>Bratislave, v Nitre, v Banskej Bystrici a </w:t>
      </w:r>
      <w:r>
        <w:rPr>
          <w:rFonts w:ascii="Times New Roman" w:hAnsi="Times New Roman" w:hint="default"/>
          <w:sz w:val="24"/>
          <w:szCs w:val="24"/>
        </w:rPr>
        <w:t>v Koš</w:t>
      </w:r>
      <w:r>
        <w:rPr>
          <w:rFonts w:ascii="Times New Roman" w:hAnsi="Times New Roman" w:hint="default"/>
          <w:sz w:val="24"/>
          <w:szCs w:val="24"/>
        </w:rPr>
        <w:t>iciach</w:t>
      </w:r>
      <w:r w:rsidRPr="003F10CA">
        <w:rPr>
          <w:rFonts w:ascii="Times New Roman" w:hAnsi="Times New Roman"/>
          <w:sz w:val="24"/>
          <w:szCs w:val="24"/>
        </w:rPr>
        <w:t xml:space="preserve"> </w:t>
      </w:r>
      <w:r w:rsidR="008469C3">
        <w:rPr>
          <w:rFonts w:ascii="Times New Roman" w:hAnsi="Times New Roman" w:hint="default"/>
          <w:sz w:val="24"/>
          <w:szCs w:val="24"/>
        </w:rPr>
        <w:t>sú</w:t>
      </w:r>
      <w:r w:rsidR="008469C3">
        <w:rPr>
          <w:rFonts w:ascii="Times New Roman" w:hAnsi="Times New Roman" w:hint="default"/>
          <w:sz w:val="24"/>
          <w:szCs w:val="24"/>
        </w:rPr>
        <w:t>visí</w:t>
      </w:r>
      <w:r w:rsidR="008469C3">
        <w:rPr>
          <w:rFonts w:ascii="Times New Roman" w:hAnsi="Times New Roman" w:hint="default"/>
          <w:sz w:val="24"/>
          <w:szCs w:val="24"/>
        </w:rPr>
        <w:t xml:space="preserve"> s</w:t>
      </w:r>
      <w:r w:rsidRPr="003F10CA">
        <w:rPr>
          <w:rFonts w:ascii="Times New Roman" w:hAnsi="Times New Roman"/>
          <w:sz w:val="24"/>
          <w:szCs w:val="24"/>
        </w:rPr>
        <w:t xml:space="preserve"> prijat</w:t>
      </w:r>
      <w:r w:rsidR="008469C3">
        <w:rPr>
          <w:rFonts w:ascii="Times New Roman" w:hAnsi="Times New Roman" w:hint="default"/>
          <w:sz w:val="24"/>
          <w:szCs w:val="24"/>
        </w:rPr>
        <w:t>í</w:t>
      </w:r>
      <w:r w:rsidR="008469C3">
        <w:rPr>
          <w:rFonts w:ascii="Times New Roman" w:hAnsi="Times New Roman" w:hint="default"/>
          <w:sz w:val="24"/>
          <w:szCs w:val="24"/>
        </w:rPr>
        <w:t>m</w:t>
      </w:r>
      <w:r w:rsidRPr="003F10CA">
        <w:rPr>
          <w:rFonts w:ascii="Times New Roman" w:hAnsi="Times New Roman" w:hint="default"/>
          <w:sz w:val="24"/>
          <w:szCs w:val="24"/>
        </w:rPr>
        <w:t xml:space="preserve"> nové</w:t>
      </w:r>
      <w:r w:rsidRPr="003F10CA">
        <w:rPr>
          <w:rFonts w:ascii="Times New Roman" w:hAnsi="Times New Roman" w:hint="default"/>
          <w:sz w:val="24"/>
          <w:szCs w:val="24"/>
        </w:rPr>
        <w:t>ho zá</w:t>
      </w:r>
      <w:r w:rsidRPr="003F10CA">
        <w:rPr>
          <w:rFonts w:ascii="Times New Roman" w:hAnsi="Times New Roman" w:hint="default"/>
          <w:sz w:val="24"/>
          <w:szCs w:val="24"/>
        </w:rPr>
        <w:t>kona o </w:t>
      </w:r>
      <w:r w:rsidRPr="003F10CA">
        <w:rPr>
          <w:rFonts w:ascii="Times New Roman" w:hAnsi="Times New Roman" w:hint="default"/>
          <w:sz w:val="24"/>
          <w:szCs w:val="24"/>
        </w:rPr>
        <w:t>radiač</w:t>
      </w:r>
      <w:r w:rsidRPr="003F10CA">
        <w:rPr>
          <w:rFonts w:ascii="Times New Roman" w:hAnsi="Times New Roman" w:hint="default"/>
          <w:sz w:val="24"/>
          <w:szCs w:val="24"/>
        </w:rPr>
        <w:t>nej ochrane v </w:t>
      </w:r>
      <w:r w:rsidRPr="003F10CA">
        <w:rPr>
          <w:rFonts w:ascii="Times New Roman" w:hAnsi="Times New Roman" w:hint="default"/>
          <w:sz w:val="24"/>
          <w:szCs w:val="24"/>
        </w:rPr>
        <w:t>sú</w:t>
      </w:r>
      <w:r w:rsidRPr="003F10CA">
        <w:rPr>
          <w:rFonts w:ascii="Times New Roman" w:hAnsi="Times New Roman" w:hint="default"/>
          <w:sz w:val="24"/>
          <w:szCs w:val="24"/>
        </w:rPr>
        <w:t>vislosti s </w:t>
      </w:r>
      <w:r w:rsidRPr="003F10CA">
        <w:rPr>
          <w:rFonts w:ascii="Times New Roman" w:hAnsi="Times New Roman" w:hint="default"/>
          <w:sz w:val="24"/>
          <w:szCs w:val="24"/>
        </w:rPr>
        <w:t>transpozí</w:t>
      </w:r>
      <w:r w:rsidRPr="003F10CA">
        <w:rPr>
          <w:rFonts w:ascii="Times New Roman" w:hAnsi="Times New Roman" w:hint="default"/>
          <w:sz w:val="24"/>
          <w:szCs w:val="24"/>
        </w:rPr>
        <w:t xml:space="preserve">ciou smernice Rady 2013/59/Euratom 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z 5. decembra 2013, ktorou sa stanovujú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kladné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 xml:space="preserve"> bezpeč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nostné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 xml:space="preserve"> normy ochrany pred nebezpeč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en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stvami vznikajú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cimi v dô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sledku ionizujú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ceho ž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iarenia, a ktorou sa zruš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>ujú</w:t>
      </w:r>
      <w:r w:rsidRPr="003F10CA">
        <w:rPr>
          <w:rFonts w:ascii="Times New Roman" w:hAnsi="Times New Roman" w:hint="default"/>
          <w:color w:val="000000"/>
          <w:sz w:val="24"/>
          <w:szCs w:val="24"/>
        </w:rPr>
        <w:t xml:space="preserve"> smernice 89/618/Euratom, 90/641/Euratom, 96/29/Euratom, 97/43/Euratom a 2003/122/Euratom</w:t>
      </w:r>
      <w:r w:rsidRPr="003F10CA">
        <w:rPr>
          <w:rFonts w:ascii="Times New Roman" w:hAnsi="Times New Roman"/>
          <w:sz w:val="24"/>
          <w:szCs w:val="24"/>
        </w:rPr>
        <w:t xml:space="preserve">. </w:t>
      </w:r>
    </w:p>
    <w:p w:rsidR="0015154A" w:rsidP="0015154A">
      <w:pPr>
        <w:pStyle w:val="Textodstavce"/>
        <w:bidi w:val="0"/>
        <w:spacing w:before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lang w:eastAsia="x-none"/>
        </w:rPr>
        <w:t>Transpozič</w:t>
      </w:r>
      <w:r>
        <w:rPr>
          <w:rFonts w:ascii="Times New Roman" w:hAnsi="Times New Roman" w:hint="default"/>
          <w:sz w:val="24"/>
          <w:szCs w:val="24"/>
          <w:lang w:eastAsia="x-none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termí</w:t>
      </w:r>
      <w:r>
        <w:rPr>
          <w:rFonts w:ascii="Times New Roman" w:hAnsi="Times New Roman" w:hint="default"/>
          <w:sz w:val="24"/>
          <w:szCs w:val="24"/>
        </w:rPr>
        <w:t>n smernice Rady 2013/59/Euratom je 6.</w:t>
      </w:r>
      <w:r>
        <w:rPr>
          <w:rFonts w:ascii="Times New Roman" w:hAnsi="Times New Roman" w:hint="default"/>
          <w:sz w:val="24"/>
          <w:szCs w:val="24"/>
          <w:lang w:eastAsia="x-none"/>
        </w:rPr>
        <w:t xml:space="preserve"> februá</w:t>
      </w:r>
      <w:r>
        <w:rPr>
          <w:rFonts w:ascii="Times New Roman" w:hAnsi="Times New Roman" w:hint="default"/>
          <w:sz w:val="24"/>
          <w:szCs w:val="24"/>
          <w:lang w:eastAsia="x-none"/>
        </w:rPr>
        <w:t xml:space="preserve">r </w:t>
      </w:r>
      <w:r>
        <w:rPr>
          <w:rFonts w:ascii="Times New Roman" w:hAnsi="Times New Roman"/>
          <w:sz w:val="24"/>
          <w:szCs w:val="24"/>
        </w:rPr>
        <w:t>2018.</w:t>
      </w:r>
    </w:p>
    <w:p w:rsidR="0015154A" w:rsidP="0015154A">
      <w:pPr>
        <w:pStyle w:val="Textodstavce"/>
        <w:bidi w:val="0"/>
        <w:spacing w:before="0"/>
        <w:ind w:left="0"/>
        <w:rPr>
          <w:rFonts w:ascii="Times New Roman" w:hAnsi="Times New Roman"/>
          <w:b/>
          <w:sz w:val="24"/>
          <w:szCs w:val="24"/>
        </w:rPr>
      </w:pPr>
    </w:p>
    <w:p w:rsidR="0015154A" w:rsidRPr="00352AF6" w:rsidP="0015154A">
      <w:pPr>
        <w:pStyle w:val="Textodstavce"/>
        <w:bidi w:val="0"/>
        <w:spacing w:before="0"/>
        <w:ind w:left="0"/>
        <w:rPr>
          <w:rFonts w:ascii="Times New Roman" w:hAnsi="Times New Roman" w:hint="default"/>
          <w:b/>
          <w:sz w:val="24"/>
          <w:szCs w:val="24"/>
        </w:rPr>
      </w:pPr>
      <w:r w:rsidRPr="00352AF6">
        <w:rPr>
          <w:rFonts w:ascii="Times New Roman" w:hAnsi="Times New Roman" w:hint="default"/>
          <w:b/>
          <w:sz w:val="24"/>
          <w:szCs w:val="24"/>
        </w:rPr>
        <w:t>Nový</w:t>
      </w:r>
      <w:r w:rsidRPr="00352AF6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352AF6">
        <w:rPr>
          <w:rFonts w:ascii="Times New Roman" w:hAnsi="Times New Roman" w:hint="default"/>
          <w:b/>
          <w:sz w:val="24"/>
          <w:szCs w:val="24"/>
        </w:rPr>
        <w:t>kon o </w:t>
      </w:r>
      <w:r w:rsidRPr="00352AF6">
        <w:rPr>
          <w:rFonts w:ascii="Times New Roman" w:hAnsi="Times New Roman" w:hint="default"/>
          <w:b/>
          <w:sz w:val="24"/>
          <w:szCs w:val="24"/>
        </w:rPr>
        <w:t>radiač</w:t>
      </w:r>
      <w:r w:rsidRPr="00352AF6">
        <w:rPr>
          <w:rFonts w:ascii="Times New Roman" w:hAnsi="Times New Roman" w:hint="default"/>
          <w:b/>
          <w:sz w:val="24"/>
          <w:szCs w:val="24"/>
        </w:rPr>
        <w:t>n</w:t>
      </w:r>
      <w:r w:rsidRPr="00352AF6">
        <w:rPr>
          <w:rFonts w:ascii="Times New Roman" w:hAnsi="Times New Roman" w:hint="default"/>
          <w:b/>
          <w:sz w:val="24"/>
          <w:szCs w:val="24"/>
        </w:rPr>
        <w:t>ej ochrane upravuje:</w:t>
      </w:r>
    </w:p>
    <w:p w:rsidR="0015154A" w:rsidP="0015154A">
      <w:pPr>
        <w:tabs>
          <w:tab w:val="num" w:pos="426"/>
        </w:tabs>
        <w:bidi w:val="0"/>
        <w:jc w:val="both"/>
      </w:pPr>
      <w:r>
        <w:tab/>
      </w:r>
      <w:r w:rsidRPr="003F10CA">
        <w:t>N</w:t>
      </w:r>
      <w:r>
        <w:rPr>
          <w:rFonts w:hint="default"/>
        </w:rPr>
        <w:t>á</w:t>
      </w:r>
      <w:r>
        <w:rPr>
          <w:rFonts w:hint="default"/>
        </w:rPr>
        <w:t>vrh</w:t>
      </w:r>
      <w:r w:rsidRPr="003F10CA">
        <w:rPr>
          <w:rFonts w:hint="default"/>
        </w:rPr>
        <w:t xml:space="preserve"> zá</w:t>
      </w:r>
      <w:r w:rsidRPr="003F10CA">
        <w:rPr>
          <w:rFonts w:hint="default"/>
        </w:rPr>
        <w:t>kon</w:t>
      </w:r>
      <w:r>
        <w:t>a</w:t>
      </w:r>
      <w:r w:rsidRPr="003F10CA">
        <w:t xml:space="preserve"> upravuje</w:t>
      </w:r>
      <w:r>
        <w:rPr>
          <w:rFonts w:hint="default"/>
        </w:rPr>
        <w:t xml:space="preserve"> č</w:t>
      </w:r>
      <w:r>
        <w:rPr>
          <w:rFonts w:hint="default"/>
        </w:rPr>
        <w:t>innosti</w:t>
      </w:r>
      <w:r w:rsidR="008469C3">
        <w:rPr>
          <w:rFonts w:hint="default"/>
        </w:rPr>
        <w:t>, ktoré</w:t>
      </w:r>
      <w:r w:rsidR="008469C3">
        <w:rPr>
          <w:rFonts w:hint="default"/>
        </w:rPr>
        <w:t xml:space="preserve"> sú</w:t>
      </w:r>
      <w:r>
        <w:rPr>
          <w:rFonts w:hint="default"/>
        </w:rPr>
        <w:t xml:space="preserve"> už</w:t>
      </w:r>
      <w:r>
        <w:rPr>
          <w:rFonts w:hint="default"/>
        </w:rPr>
        <w:t xml:space="preserve"> zavedené</w:t>
      </w:r>
      <w:r>
        <w:rPr>
          <w:rFonts w:hint="default"/>
        </w:rPr>
        <w:t xml:space="preserve"> v praxi a </w:t>
      </w:r>
      <w:r>
        <w:rPr>
          <w:rFonts w:hint="default"/>
        </w:rPr>
        <w:t>ustanovuje nové</w:t>
      </w:r>
      <w:r>
        <w:rPr>
          <w:rFonts w:hint="default"/>
        </w:rPr>
        <w:t xml:space="preserve"> povinnosti:</w:t>
      </w:r>
      <w:r w:rsidRPr="003F10CA">
        <w:t xml:space="preserve"> </w:t>
      </w:r>
      <w:bookmarkStart w:id="0" w:name="_Hlk480741512"/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vý</w:t>
      </w:r>
      <w:r w:rsidRPr="003F10CA">
        <w:rPr>
          <w:rFonts w:hint="default"/>
        </w:rPr>
        <w:t>kon š</w:t>
      </w:r>
      <w:r w:rsidRPr="003F10CA">
        <w:rPr>
          <w:rFonts w:hint="default"/>
        </w:rPr>
        <w:t>tá</w:t>
      </w:r>
      <w:r w:rsidRPr="003F10CA">
        <w:rPr>
          <w:rFonts w:hint="default"/>
        </w:rPr>
        <w:t>tnej sprá</w:t>
      </w:r>
      <w:r w:rsidRPr="003F10CA">
        <w:rPr>
          <w:rFonts w:hint="default"/>
        </w:rPr>
        <w:t>vy v oblasti radiač</w:t>
      </w:r>
      <w:r w:rsidRPr="003F10CA">
        <w:rPr>
          <w:rFonts w:hint="default"/>
        </w:rPr>
        <w:t xml:space="preserve">nej ochrany,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podmienky vykoná</w:t>
      </w:r>
      <w:r w:rsidRPr="003F10CA">
        <w:rPr>
          <w:rFonts w:hint="default"/>
        </w:rPr>
        <w:t>vania č</w:t>
      </w:r>
      <w:r w:rsidRPr="003F10CA">
        <w:rPr>
          <w:rFonts w:hint="default"/>
        </w:rPr>
        <w:t>innosti vedú</w:t>
      </w:r>
      <w:r w:rsidRPr="003F10CA">
        <w:rPr>
          <w:rFonts w:hint="default"/>
        </w:rPr>
        <w:t>cej k </w:t>
      </w:r>
      <w:r w:rsidRPr="003F10CA">
        <w:rPr>
          <w:rFonts w:hint="default"/>
        </w:rPr>
        <w:t>ož</w:t>
      </w:r>
      <w:r w:rsidRPr="003F10CA">
        <w:rPr>
          <w:rFonts w:hint="default"/>
        </w:rPr>
        <w:t>iareniu v </w:t>
      </w:r>
      <w:r w:rsidRPr="003F10CA">
        <w:rPr>
          <w:rFonts w:hint="default"/>
        </w:rPr>
        <w:t>plá</w:t>
      </w:r>
      <w:r w:rsidRPr="003F10CA">
        <w:rPr>
          <w:rFonts w:hint="default"/>
        </w:rPr>
        <w:t>novanej situá</w:t>
      </w:r>
      <w:r w:rsidRPr="003F10CA">
        <w:rPr>
          <w:rFonts w:hint="default"/>
        </w:rPr>
        <w:t>cii o</w:t>
      </w:r>
      <w:r w:rsidRPr="003F10CA">
        <w:rPr>
          <w:rFonts w:hint="default"/>
        </w:rPr>
        <w:t>ž</w:t>
      </w:r>
      <w:r w:rsidRPr="003F10CA">
        <w:rPr>
          <w:rFonts w:hint="default"/>
        </w:rPr>
        <w:t>iarenia,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existujú</w:t>
      </w:r>
      <w:r w:rsidRPr="003F10CA">
        <w:rPr>
          <w:rFonts w:hint="default"/>
        </w:rPr>
        <w:t>cej situá</w:t>
      </w:r>
      <w:r w:rsidRPr="003F10CA">
        <w:rPr>
          <w:rFonts w:hint="default"/>
        </w:rPr>
        <w:t>cii ož</w:t>
      </w:r>
      <w:r w:rsidRPr="003F10CA">
        <w:rPr>
          <w:rFonts w:hint="default"/>
        </w:rPr>
        <w:t>iarenia a nú</w:t>
      </w:r>
      <w:r w:rsidRPr="003F10CA">
        <w:rPr>
          <w:rFonts w:hint="default"/>
        </w:rPr>
        <w:t>dzovej situá</w:t>
      </w:r>
      <w:r w:rsidRPr="003F10CA">
        <w:rPr>
          <w:rFonts w:hint="default"/>
        </w:rPr>
        <w:t>cii ož</w:t>
      </w:r>
      <w:r w:rsidRPr="003F10CA">
        <w:rPr>
          <w:rFonts w:hint="default"/>
        </w:rPr>
        <w:t>iarenia, 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podmienky poskytovania služ</w:t>
      </w:r>
      <w:r w:rsidRPr="003F10CA">
        <w:rPr>
          <w:rFonts w:hint="default"/>
        </w:rPr>
        <w:t>by dô</w:t>
      </w:r>
      <w:r w:rsidRPr="003F10CA">
        <w:rPr>
          <w:rFonts w:hint="default"/>
        </w:rPr>
        <w:t>lež</w:t>
      </w:r>
      <w:r w:rsidRPr="003F10CA">
        <w:rPr>
          <w:rFonts w:hint="default"/>
        </w:rPr>
        <w:t>itej z hľ</w:t>
      </w:r>
      <w:r w:rsidRPr="003F10CA">
        <w:rPr>
          <w:rFonts w:hint="default"/>
        </w:rPr>
        <w:t>adiska radiač</w:t>
      </w:r>
      <w:r w:rsidRPr="003F10CA">
        <w:rPr>
          <w:rFonts w:hint="default"/>
        </w:rPr>
        <w:t xml:space="preserve">nej ochrany,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pož</w:t>
      </w:r>
      <w:r w:rsidRPr="003F10CA">
        <w:rPr>
          <w:rFonts w:hint="default"/>
        </w:rPr>
        <w:t>iadavky na vý</w:t>
      </w:r>
      <w:r w:rsidRPr="003F10CA">
        <w:rPr>
          <w:rFonts w:hint="default"/>
        </w:rPr>
        <w:t>robu, produkciu, spracú</w:t>
      </w:r>
      <w:r w:rsidRPr="003F10CA">
        <w:rPr>
          <w:rFonts w:hint="default"/>
        </w:rPr>
        <w:t>vanie, nakladanie, použí</w:t>
      </w:r>
      <w:r w:rsidRPr="003F10CA">
        <w:rPr>
          <w:rFonts w:hint="default"/>
        </w:rPr>
        <w:t>vanie, predaj, drž</w:t>
      </w:r>
      <w:r w:rsidRPr="003F10CA">
        <w:rPr>
          <w:rFonts w:hint="default"/>
        </w:rPr>
        <w:t>bu, skladovanie, prepravu</w:t>
      </w:r>
      <w:r w:rsidRPr="003F10CA">
        <w:rPr>
          <w:rFonts w:hint="default"/>
        </w:rPr>
        <w:t>, dovoz, distribú</w:t>
      </w:r>
      <w:r w:rsidRPr="003F10CA">
        <w:rPr>
          <w:rFonts w:hint="default"/>
        </w:rPr>
        <w:t>ciu, vý</w:t>
      </w:r>
      <w:r w:rsidRPr="003F10CA">
        <w:rPr>
          <w:rFonts w:hint="default"/>
        </w:rPr>
        <w:t>voz, odstraň</w:t>
      </w:r>
      <w:r w:rsidRPr="003F10CA">
        <w:rPr>
          <w:rFonts w:hint="default"/>
        </w:rPr>
        <w:t>ovanie a ukladanie rá</w:t>
      </w:r>
      <w:r w:rsidRPr="003F10CA">
        <w:rPr>
          <w:rFonts w:hint="default"/>
        </w:rPr>
        <w:t>dioaktí</w:t>
      </w:r>
      <w:r w:rsidRPr="003F10CA">
        <w:rPr>
          <w:rFonts w:hint="default"/>
        </w:rPr>
        <w:t>vnych lá</w:t>
      </w:r>
      <w:r w:rsidRPr="003F10CA">
        <w:rPr>
          <w:rFonts w:hint="default"/>
        </w:rPr>
        <w:t xml:space="preserve">tok,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t>nakladanie, skladovanie, prepravu a </w:t>
      </w:r>
      <w:r w:rsidRPr="003F10CA">
        <w:rPr>
          <w:rFonts w:hint="default"/>
        </w:rPr>
        <w:t>odstraň</w:t>
      </w:r>
      <w:r w:rsidRPr="003F10CA">
        <w:rPr>
          <w:rFonts w:hint="default"/>
        </w:rPr>
        <w:t>ovanie inš</w:t>
      </w:r>
      <w:r w:rsidRPr="003F10CA">
        <w:rPr>
          <w:rFonts w:hint="default"/>
        </w:rPr>
        <w:t>titucioná</w:t>
      </w:r>
      <w:r w:rsidRPr="003F10CA">
        <w:rPr>
          <w:rFonts w:hint="default"/>
        </w:rPr>
        <w:t>lnych rá</w:t>
      </w:r>
      <w:r w:rsidRPr="003F10CA">
        <w:rPr>
          <w:rFonts w:hint="default"/>
        </w:rPr>
        <w:t>dioaktí</w:t>
      </w:r>
      <w:r w:rsidRPr="003F10CA">
        <w:rPr>
          <w:rFonts w:hint="default"/>
        </w:rPr>
        <w:t>vnych odpadov a </w:t>
      </w:r>
      <w:r w:rsidRPr="003F10CA">
        <w:rPr>
          <w:rFonts w:hint="default"/>
        </w:rPr>
        <w:t>rá</w:t>
      </w:r>
      <w:r w:rsidRPr="003F10CA">
        <w:rPr>
          <w:rFonts w:hint="default"/>
        </w:rPr>
        <w:t>dioaktí</w:t>
      </w:r>
      <w:r w:rsidRPr="003F10CA">
        <w:rPr>
          <w:rFonts w:hint="default"/>
        </w:rPr>
        <w:t>vnych odpadov nezná</w:t>
      </w:r>
      <w:r w:rsidRPr="003F10CA">
        <w:rPr>
          <w:rFonts w:hint="default"/>
        </w:rPr>
        <w:t>meho pô</w:t>
      </w:r>
      <w:r w:rsidRPr="003F10CA">
        <w:rPr>
          <w:rFonts w:hint="default"/>
        </w:rPr>
        <w:t xml:space="preserve">vodu,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vý</w:t>
      </w:r>
      <w:r w:rsidRPr="003F10CA">
        <w:rPr>
          <w:rFonts w:hint="default"/>
        </w:rPr>
        <w:t>robu a prevá</w:t>
      </w:r>
      <w:r w:rsidRPr="003F10CA">
        <w:rPr>
          <w:rFonts w:hint="default"/>
        </w:rPr>
        <w:t>dzku elektrické</w:t>
      </w:r>
      <w:r w:rsidRPr="003F10CA">
        <w:rPr>
          <w:rFonts w:hint="default"/>
        </w:rPr>
        <w:t>ho zariade</w:t>
      </w:r>
      <w:r w:rsidRPr="003F10CA">
        <w:rPr>
          <w:rFonts w:hint="default"/>
        </w:rPr>
        <w:t>nia vyž</w:t>
      </w:r>
      <w:r w:rsidRPr="003F10CA">
        <w:rPr>
          <w:rFonts w:hint="default"/>
        </w:rPr>
        <w:t>arujú</w:t>
      </w:r>
      <w:r w:rsidRPr="003F10CA">
        <w:rPr>
          <w:rFonts w:hint="default"/>
        </w:rPr>
        <w:t>ceho ionizujú</w:t>
      </w:r>
      <w:r w:rsidRPr="003F10CA">
        <w:rPr>
          <w:rFonts w:hint="default"/>
        </w:rPr>
        <w:t>ce ž</w:t>
      </w:r>
      <w:r w:rsidRPr="003F10CA">
        <w:rPr>
          <w:rFonts w:hint="default"/>
        </w:rPr>
        <w:t>iarenie a obsahujú</w:t>
      </w:r>
      <w:r w:rsidRPr="003F10CA">
        <w:rPr>
          <w:rFonts w:hint="default"/>
        </w:rPr>
        <w:t>ceho súč</w:t>
      </w:r>
      <w:r w:rsidRPr="003F10CA">
        <w:rPr>
          <w:rFonts w:hint="default"/>
        </w:rPr>
        <w:t>asti pracujú</w:t>
      </w:r>
      <w:r w:rsidRPr="003F10CA">
        <w:rPr>
          <w:rFonts w:hint="default"/>
        </w:rPr>
        <w:t>ce s </w:t>
      </w:r>
      <w:r w:rsidRPr="003F10CA">
        <w:rPr>
          <w:rFonts w:hint="default"/>
        </w:rPr>
        <w:t>potenciá</w:t>
      </w:r>
      <w:r w:rsidRPr="003F10CA">
        <w:rPr>
          <w:rFonts w:hint="default"/>
        </w:rPr>
        <w:t>lový</w:t>
      </w:r>
      <w:r w:rsidRPr="003F10CA">
        <w:rPr>
          <w:rFonts w:hint="default"/>
        </w:rPr>
        <w:t>m rozdielom väčší</w:t>
      </w:r>
      <w:r w:rsidRPr="003F10CA">
        <w:rPr>
          <w:rFonts w:hint="default"/>
        </w:rPr>
        <w:t xml:space="preserve">m ako 5 kV,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č</w:t>
      </w:r>
      <w:r w:rsidRPr="003F10CA">
        <w:rPr>
          <w:rFonts w:hint="default"/>
        </w:rPr>
        <w:t>innosti v prostredí</w:t>
      </w:r>
      <w:r w:rsidRPr="003F10CA">
        <w:rPr>
          <w:rFonts w:hint="default"/>
        </w:rPr>
        <w:t xml:space="preserve"> s </w:t>
      </w:r>
      <w:r w:rsidRPr="003F10CA">
        <w:rPr>
          <w:rFonts w:hint="default"/>
        </w:rPr>
        <w:t>prí</w:t>
      </w:r>
      <w:r w:rsidRPr="003F10CA">
        <w:rPr>
          <w:rFonts w:hint="default"/>
        </w:rPr>
        <w:t>rodný</w:t>
      </w:r>
      <w:r w:rsidRPr="003F10CA">
        <w:rPr>
          <w:rFonts w:hint="default"/>
        </w:rPr>
        <w:t>mi zdrojmi ž</w:t>
      </w:r>
      <w:r w:rsidRPr="003F10CA">
        <w:rPr>
          <w:rFonts w:hint="default"/>
        </w:rPr>
        <w:t>iarenia, ktoré</w:t>
      </w:r>
      <w:r w:rsidRPr="003F10CA">
        <w:rPr>
          <w:rFonts w:hint="default"/>
        </w:rPr>
        <w:t xml:space="preserve"> vedú</w:t>
      </w:r>
      <w:r w:rsidRPr="003F10CA">
        <w:rPr>
          <w:rFonts w:hint="default"/>
        </w:rPr>
        <w:t xml:space="preserve"> k ož</w:t>
      </w:r>
      <w:r w:rsidRPr="003F10CA">
        <w:rPr>
          <w:rFonts w:hint="default"/>
        </w:rPr>
        <w:t>iareniu pracovní</w:t>
      </w:r>
      <w:r w:rsidRPr="003F10CA">
        <w:rPr>
          <w:rFonts w:hint="default"/>
        </w:rPr>
        <w:t>kov alebo jednotlivcov z obyvateľ</w:t>
      </w:r>
      <w:r w:rsidRPr="003F10CA">
        <w:rPr>
          <w:rFonts w:hint="default"/>
        </w:rPr>
        <w:t>stva, ktoré</w:t>
      </w:r>
      <w:r w:rsidRPr="003F10CA">
        <w:rPr>
          <w:rFonts w:hint="default"/>
        </w:rPr>
        <w:t xml:space="preserve"> nie je zanedbateľ</w:t>
      </w:r>
      <w:r w:rsidRPr="003F10CA">
        <w:rPr>
          <w:rFonts w:hint="default"/>
        </w:rPr>
        <w:t>né</w:t>
      </w:r>
      <w:r w:rsidRPr="003F10CA">
        <w:rPr>
          <w:rFonts w:hint="default"/>
        </w:rPr>
        <w:t xml:space="preserve"> z </w:t>
      </w:r>
      <w:r w:rsidRPr="003F10CA">
        <w:rPr>
          <w:rFonts w:hint="default"/>
        </w:rPr>
        <w:t>hľ</w:t>
      </w:r>
      <w:r w:rsidRPr="003F10CA">
        <w:rPr>
          <w:rFonts w:hint="default"/>
        </w:rPr>
        <w:t>adiska radiač</w:t>
      </w:r>
      <w:r w:rsidRPr="003F10CA">
        <w:rPr>
          <w:rFonts w:hint="default"/>
        </w:rPr>
        <w:t>nej ochrany, najmä</w:t>
      </w:r>
      <w:r w:rsidRPr="003F10CA">
        <w:rPr>
          <w:rFonts w:hint="default"/>
        </w:rPr>
        <w:t xml:space="preserve"> na spracovanie materiá</w:t>
      </w:r>
      <w:r w:rsidRPr="003F10CA">
        <w:rPr>
          <w:rFonts w:hint="default"/>
        </w:rPr>
        <w:t>lu obsahujú</w:t>
      </w:r>
      <w:r w:rsidRPr="003F10CA">
        <w:rPr>
          <w:rFonts w:hint="default"/>
        </w:rPr>
        <w:t>ceho prí</w:t>
      </w:r>
      <w:r w:rsidRPr="003F10CA">
        <w:rPr>
          <w:rFonts w:hint="default"/>
        </w:rPr>
        <w:t>rodné</w:t>
      </w:r>
      <w:r w:rsidRPr="003F10CA">
        <w:rPr>
          <w:rFonts w:hint="default"/>
        </w:rPr>
        <w:t xml:space="preserve"> rá</w:t>
      </w:r>
      <w:r w:rsidRPr="003F10CA">
        <w:rPr>
          <w:rFonts w:hint="default"/>
        </w:rPr>
        <w:t xml:space="preserve">dionuklidy,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na prá</w:t>
      </w:r>
      <w:r w:rsidRPr="003F10CA">
        <w:rPr>
          <w:rFonts w:hint="default"/>
        </w:rPr>
        <w:t>cu v </w:t>
      </w:r>
      <w:r w:rsidRPr="003F10CA">
        <w:rPr>
          <w:rFonts w:hint="default"/>
        </w:rPr>
        <w:t>podzemí</w:t>
      </w:r>
      <w:r w:rsidRPr="003F10CA">
        <w:rPr>
          <w:rFonts w:hint="default"/>
        </w:rPr>
        <w:t xml:space="preserve"> a na ož</w:t>
      </w:r>
      <w:r w:rsidRPr="003F10CA">
        <w:rPr>
          <w:rFonts w:hint="default"/>
        </w:rPr>
        <w:t>iarenie posá</w:t>
      </w:r>
      <w:r w:rsidRPr="003F10CA">
        <w:rPr>
          <w:rFonts w:hint="default"/>
        </w:rPr>
        <w:t xml:space="preserve">dky lietadla alebo kozmickej lode,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vonkajší</w:t>
      </w:r>
      <w:r w:rsidRPr="003F10CA">
        <w:rPr>
          <w:rFonts w:hint="default"/>
        </w:rPr>
        <w:t>m ož</w:t>
      </w:r>
      <w:r w:rsidRPr="003F10CA">
        <w:rPr>
          <w:rFonts w:hint="default"/>
        </w:rPr>
        <w:t>iarení</w:t>
      </w:r>
      <w:r w:rsidRPr="003F10CA">
        <w:rPr>
          <w:rFonts w:hint="default"/>
        </w:rPr>
        <w:t>m zo stavebné</w:t>
      </w:r>
      <w:r w:rsidRPr="003F10CA">
        <w:rPr>
          <w:rFonts w:hint="default"/>
        </w:rPr>
        <w:t>ho materiá</w:t>
      </w:r>
      <w:r w:rsidRPr="003F10CA">
        <w:rPr>
          <w:rFonts w:hint="default"/>
        </w:rPr>
        <w:t>lu a pretrvá</w:t>
      </w:r>
      <w:r w:rsidRPr="003F10CA">
        <w:rPr>
          <w:rFonts w:hint="default"/>
        </w:rPr>
        <w:t>vajú</w:t>
      </w:r>
      <w:r w:rsidRPr="003F10CA">
        <w:rPr>
          <w:rFonts w:hint="default"/>
        </w:rPr>
        <w:t>ci</w:t>
      </w:r>
      <w:r w:rsidRPr="003F10CA">
        <w:rPr>
          <w:rFonts w:hint="default"/>
        </w:rPr>
        <w:t>m ož</w:t>
      </w:r>
      <w:r w:rsidRPr="003F10CA">
        <w:rPr>
          <w:rFonts w:hint="default"/>
        </w:rPr>
        <w:t>iarení</w:t>
      </w:r>
      <w:r w:rsidRPr="003F10CA">
        <w:rPr>
          <w:rFonts w:hint="default"/>
        </w:rPr>
        <w:t>m, ktoré</w:t>
      </w:r>
      <w:r w:rsidRPr="003F10CA">
        <w:rPr>
          <w:rFonts w:hint="default"/>
        </w:rPr>
        <w:t xml:space="preserve"> je dô</w:t>
      </w:r>
      <w:r w:rsidRPr="003F10CA">
        <w:rPr>
          <w:rFonts w:hint="default"/>
        </w:rPr>
        <w:t>sledkom nú</w:t>
      </w:r>
      <w:r w:rsidRPr="003F10CA">
        <w:rPr>
          <w:rFonts w:hint="default"/>
        </w:rPr>
        <w:t>dzovej situá</w:t>
      </w:r>
      <w:r w:rsidRPr="003F10CA">
        <w:rPr>
          <w:rFonts w:hint="default"/>
        </w:rPr>
        <w:t>cie alebo dô</w:t>
      </w:r>
      <w:r w:rsidRPr="003F10CA">
        <w:rPr>
          <w:rFonts w:hint="default"/>
        </w:rPr>
        <w:t>sledkom ľ</w:t>
      </w:r>
      <w:r w:rsidRPr="003F10CA">
        <w:rPr>
          <w:rFonts w:hint="default"/>
        </w:rPr>
        <w:t>udskej č</w:t>
      </w:r>
      <w:r w:rsidRPr="003F10CA">
        <w:rPr>
          <w:rFonts w:hint="default"/>
        </w:rPr>
        <w:t xml:space="preserve">innosti v minulosti,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monitorovanie radiač</w:t>
      </w:r>
      <w:r w:rsidRPr="003F10CA">
        <w:rPr>
          <w:rFonts w:hint="default"/>
        </w:rPr>
        <w:t>nej situá</w:t>
      </w:r>
      <w:r w:rsidRPr="003F10CA">
        <w:rPr>
          <w:rFonts w:hint="default"/>
        </w:rPr>
        <w:t xml:space="preserve">cie,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schvaľ</w:t>
      </w:r>
      <w:r w:rsidRPr="003F10CA">
        <w:rPr>
          <w:rFonts w:hint="default"/>
        </w:rPr>
        <w:t>ovanie typu niektorý</w:t>
      </w:r>
      <w:r w:rsidRPr="003F10CA">
        <w:rPr>
          <w:rFonts w:hint="default"/>
        </w:rPr>
        <w:t>ch vý</w:t>
      </w:r>
      <w:r w:rsidRPr="003F10CA">
        <w:rPr>
          <w:rFonts w:hint="default"/>
        </w:rPr>
        <w:t>robkov v </w:t>
      </w:r>
      <w:r w:rsidRPr="003F10CA">
        <w:rPr>
          <w:rFonts w:hint="default"/>
        </w:rPr>
        <w:t>oblasti využí</w:t>
      </w:r>
      <w:r w:rsidRPr="003F10CA">
        <w:rPr>
          <w:rFonts w:hint="default"/>
        </w:rPr>
        <w:t>vania ionizujú</w:t>
      </w:r>
      <w:r w:rsidRPr="003F10CA">
        <w:rPr>
          <w:rFonts w:hint="default"/>
        </w:rPr>
        <w:t>ceho ž</w:t>
      </w:r>
      <w:r w:rsidRPr="003F10CA">
        <w:rPr>
          <w:rFonts w:hint="default"/>
        </w:rPr>
        <w:t xml:space="preserve">iarenia,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obmedzovanie ož</w:t>
      </w:r>
      <w:r w:rsidRPr="003F10CA">
        <w:rPr>
          <w:rFonts w:hint="default"/>
        </w:rPr>
        <w:t>iarenia z pitnej vod</w:t>
      </w:r>
      <w:r w:rsidRPr="003F10CA">
        <w:rPr>
          <w:rFonts w:hint="default"/>
        </w:rPr>
        <w:t>y, prí</w:t>
      </w:r>
      <w:r w:rsidRPr="003F10CA">
        <w:rPr>
          <w:rFonts w:hint="default"/>
        </w:rPr>
        <w:t>rodnej minerá</w:t>
      </w:r>
      <w:r w:rsidRPr="003F10CA">
        <w:rPr>
          <w:rFonts w:hint="default"/>
        </w:rPr>
        <w:t xml:space="preserve">lnej vody a balenej vody,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pripravenosť</w:t>
      </w:r>
      <w:r w:rsidRPr="003F10CA">
        <w:rPr>
          <w:rFonts w:hint="default"/>
        </w:rPr>
        <w:t xml:space="preserve"> na nú</w:t>
      </w:r>
      <w:r w:rsidRPr="003F10CA">
        <w:rPr>
          <w:rFonts w:hint="default"/>
        </w:rPr>
        <w:t>dzové</w:t>
      </w:r>
      <w:r w:rsidRPr="003F10CA">
        <w:rPr>
          <w:rFonts w:hint="default"/>
        </w:rPr>
        <w:t xml:space="preserve"> situá</w:t>
      </w:r>
      <w:r w:rsidRPr="003F10CA">
        <w:rPr>
          <w:rFonts w:hint="default"/>
        </w:rPr>
        <w:t>cie ož</w:t>
      </w:r>
      <w:r w:rsidRPr="003F10CA">
        <w:rPr>
          <w:rFonts w:hint="default"/>
        </w:rPr>
        <w:t>iarenia, ktoré</w:t>
      </w:r>
      <w:r w:rsidRPr="003F10CA">
        <w:rPr>
          <w:rFonts w:hint="default"/>
        </w:rPr>
        <w:t xml:space="preserve"> si vyž</w:t>
      </w:r>
      <w:r w:rsidRPr="003F10CA">
        <w:rPr>
          <w:rFonts w:hint="default"/>
        </w:rPr>
        <w:t>adujú</w:t>
      </w:r>
      <w:r w:rsidRPr="003F10CA">
        <w:rPr>
          <w:rFonts w:hint="default"/>
        </w:rPr>
        <w:t xml:space="preserve"> prijatie opatrení</w:t>
      </w:r>
      <w:r w:rsidRPr="003F10CA">
        <w:rPr>
          <w:rFonts w:hint="default"/>
        </w:rPr>
        <w:t xml:space="preserve"> na ochranu zdravia pracovní</w:t>
      </w:r>
      <w:r w:rsidRPr="003F10CA">
        <w:rPr>
          <w:rFonts w:hint="default"/>
        </w:rPr>
        <w:t>kov alebo jednotlivcov z obyvateľ</w:t>
      </w:r>
      <w:r w:rsidRPr="003F10CA">
        <w:rPr>
          <w:rFonts w:hint="default"/>
        </w:rPr>
        <w:t xml:space="preserve">stva,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plá</w:t>
      </w:r>
      <w:r w:rsidRPr="003F10CA">
        <w:rPr>
          <w:rFonts w:hint="default"/>
        </w:rPr>
        <w:t>novanie odozvy na také</w:t>
      </w:r>
      <w:r w:rsidRPr="003F10CA">
        <w:rPr>
          <w:rFonts w:hint="default"/>
        </w:rPr>
        <w:t>to situá</w:t>
      </w:r>
      <w:r w:rsidRPr="003F10CA">
        <w:rPr>
          <w:rFonts w:hint="default"/>
        </w:rPr>
        <w:t xml:space="preserve">cie a ich riadenie,  </w:t>
      </w:r>
    </w:p>
    <w:p w:rsidR="0015154A" w:rsidRPr="00352AF6" w:rsidP="0015154A">
      <w:pPr>
        <w:numPr>
          <w:numId w:val="3"/>
        </w:numPr>
        <w:bidi w:val="0"/>
        <w:jc w:val="both"/>
        <w:rPr>
          <w:bCs/>
        </w:rPr>
      </w:pPr>
      <w:r w:rsidRPr="003F10CA">
        <w:t>po</w:t>
      </w:r>
      <w:r w:rsidRPr="003F10CA">
        <w:rPr>
          <w:rFonts w:hint="default"/>
        </w:rPr>
        <w:t>vinnosti fyzický</w:t>
      </w:r>
      <w:r w:rsidRPr="003F10CA">
        <w:rPr>
          <w:rFonts w:hint="default"/>
        </w:rPr>
        <w:t>ch osô</w:t>
      </w:r>
      <w:r w:rsidRPr="003F10CA">
        <w:rPr>
          <w:rFonts w:hint="default"/>
        </w:rPr>
        <w:t>b a prá</w:t>
      </w:r>
      <w:r w:rsidRPr="003F10CA">
        <w:rPr>
          <w:rFonts w:hint="default"/>
        </w:rPr>
        <w:t>vnický</w:t>
      </w:r>
      <w:r w:rsidRPr="003F10CA">
        <w:rPr>
          <w:rFonts w:hint="default"/>
        </w:rPr>
        <w:t>ch osô</w:t>
      </w:r>
      <w:r w:rsidRPr="003F10CA">
        <w:rPr>
          <w:rFonts w:hint="default"/>
        </w:rPr>
        <w:t>b pri zabezpeč</w:t>
      </w:r>
      <w:r w:rsidRPr="003F10CA">
        <w:rPr>
          <w:rFonts w:hint="default"/>
        </w:rPr>
        <w:t>ovaní</w:t>
      </w:r>
      <w:r w:rsidRPr="003F10CA">
        <w:rPr>
          <w:rFonts w:hint="default"/>
        </w:rPr>
        <w:t xml:space="preserve"> radiač</w:t>
      </w:r>
      <w:r w:rsidRPr="003F10CA">
        <w:rPr>
          <w:rFonts w:hint="default"/>
        </w:rPr>
        <w:t>nej ochrany</w:t>
      </w:r>
      <w:r>
        <w:t>,</w:t>
      </w:r>
      <w:bookmarkEnd w:id="0"/>
    </w:p>
    <w:p w:rsidR="0015154A" w:rsidP="0015154A">
      <w:pPr>
        <w:numPr>
          <w:numId w:val="3"/>
        </w:numPr>
        <w:bidi w:val="0"/>
        <w:jc w:val="both"/>
        <w:rPr>
          <w:bCs/>
        </w:rPr>
      </w:pPr>
      <w:r w:rsidRPr="003F10CA">
        <w:rPr>
          <w:rFonts w:hint="default"/>
        </w:rPr>
        <w:t>zá</w:t>
      </w:r>
      <w:r w:rsidRPr="003F10CA">
        <w:rPr>
          <w:rFonts w:hint="default"/>
        </w:rPr>
        <w:t>kon sa vzť</w:t>
      </w:r>
      <w:r w:rsidRPr="003F10CA">
        <w:rPr>
          <w:rFonts w:hint="default"/>
        </w:rPr>
        <w:t>ahuje na kaž</w:t>
      </w:r>
      <w:r w:rsidRPr="003F10CA">
        <w:rPr>
          <w:rFonts w:hint="default"/>
        </w:rPr>
        <w:t>dú</w:t>
      </w:r>
      <w:r w:rsidRPr="003F10CA">
        <w:rPr>
          <w:rFonts w:hint="default"/>
        </w:rPr>
        <w:t xml:space="preserve"> plá</w:t>
      </w:r>
      <w:r w:rsidRPr="003F10CA">
        <w:rPr>
          <w:rFonts w:hint="default"/>
        </w:rPr>
        <w:t>novanú</w:t>
      </w:r>
      <w:r w:rsidRPr="003F10CA">
        <w:rPr>
          <w:rFonts w:hint="default"/>
        </w:rPr>
        <w:t xml:space="preserve"> situá</w:t>
      </w:r>
      <w:r w:rsidRPr="003F10CA">
        <w:rPr>
          <w:rFonts w:hint="default"/>
        </w:rPr>
        <w:t>ciu ož</w:t>
      </w:r>
      <w:r w:rsidRPr="003F10CA">
        <w:rPr>
          <w:rFonts w:hint="default"/>
        </w:rPr>
        <w:t>iarenia, existujú</w:t>
      </w:r>
      <w:r w:rsidRPr="003F10CA">
        <w:rPr>
          <w:rFonts w:hint="default"/>
        </w:rPr>
        <w:t>cu situá</w:t>
      </w:r>
      <w:r w:rsidRPr="003F10CA">
        <w:rPr>
          <w:rFonts w:hint="default"/>
        </w:rPr>
        <w:t>ciu ož</w:t>
      </w:r>
      <w:r w:rsidRPr="003F10CA">
        <w:rPr>
          <w:rFonts w:hint="default"/>
        </w:rPr>
        <w:t>iarenia alebo nú</w:t>
      </w:r>
      <w:r w:rsidRPr="003F10CA">
        <w:rPr>
          <w:rFonts w:hint="default"/>
        </w:rPr>
        <w:t>dzovú</w:t>
      </w:r>
      <w:r w:rsidRPr="003F10CA">
        <w:rPr>
          <w:rFonts w:hint="default"/>
        </w:rPr>
        <w:t xml:space="preserve"> situá</w:t>
      </w:r>
      <w:r w:rsidRPr="003F10CA">
        <w:rPr>
          <w:rFonts w:hint="default"/>
        </w:rPr>
        <w:t>ciu ož</w:t>
      </w:r>
      <w:r w:rsidRPr="003F10CA">
        <w:rPr>
          <w:rFonts w:hint="default"/>
        </w:rPr>
        <w:t>iarenia zahŕň</w:t>
      </w:r>
      <w:r w:rsidRPr="003F10CA">
        <w:rPr>
          <w:rFonts w:hint="default"/>
        </w:rPr>
        <w:t>ajú</w:t>
      </w:r>
      <w:r w:rsidRPr="003F10CA">
        <w:rPr>
          <w:rFonts w:hint="default"/>
        </w:rPr>
        <w:t>cu riziko ož</w:t>
      </w:r>
      <w:r w:rsidRPr="003F10CA">
        <w:rPr>
          <w:rFonts w:hint="default"/>
        </w:rPr>
        <w:t>iarenia, ktoré</w:t>
      </w:r>
      <w:r w:rsidRPr="003F10CA">
        <w:rPr>
          <w:rFonts w:hint="default"/>
        </w:rPr>
        <w:t xml:space="preserve"> nemož</w:t>
      </w:r>
      <w:r w:rsidRPr="003F10CA">
        <w:rPr>
          <w:rFonts w:hint="default"/>
        </w:rPr>
        <w:t>n</w:t>
      </w:r>
      <w:r w:rsidRPr="003F10CA">
        <w:rPr>
          <w:rFonts w:hint="default"/>
        </w:rPr>
        <w:t>o zanedbať</w:t>
      </w:r>
      <w:r w:rsidRPr="003F10CA">
        <w:rPr>
          <w:rFonts w:hint="default"/>
        </w:rPr>
        <w:t xml:space="preserve"> z hľ</w:t>
      </w:r>
      <w:r w:rsidRPr="003F10CA">
        <w:rPr>
          <w:rFonts w:hint="default"/>
        </w:rPr>
        <w:t>adiska radiač</w:t>
      </w:r>
      <w:r w:rsidRPr="003F10CA">
        <w:rPr>
          <w:rFonts w:hint="default"/>
        </w:rPr>
        <w:t>nej ochrany alebo vplyvu na ž</w:t>
      </w:r>
      <w:r w:rsidRPr="003F10CA">
        <w:rPr>
          <w:rFonts w:hint="default"/>
        </w:rPr>
        <w:t>ivotné</w:t>
      </w:r>
      <w:r w:rsidRPr="003F10CA">
        <w:rPr>
          <w:rFonts w:hint="default"/>
        </w:rPr>
        <w:t xml:space="preserve"> prostredie v rá</w:t>
      </w:r>
      <w:r w:rsidRPr="003F10CA">
        <w:rPr>
          <w:rFonts w:hint="default"/>
        </w:rPr>
        <w:t>mci dlhodobej ochrany zdravia obyvateľ</w:t>
      </w:r>
      <w:r w:rsidRPr="003F10CA">
        <w:rPr>
          <w:rFonts w:hint="default"/>
        </w:rPr>
        <w:t>ov, okrem ož</w:t>
      </w:r>
      <w:r w:rsidRPr="003F10CA">
        <w:rPr>
          <w:rFonts w:hint="default"/>
        </w:rPr>
        <w:t>iarenia kozmický</w:t>
      </w:r>
      <w:r w:rsidRPr="003F10CA">
        <w:rPr>
          <w:rFonts w:hint="default"/>
        </w:rPr>
        <w:t>m ž</w:t>
      </w:r>
      <w:r w:rsidRPr="003F10CA">
        <w:rPr>
          <w:rFonts w:hint="default"/>
        </w:rPr>
        <w:t>iarení</w:t>
      </w:r>
      <w:r w:rsidRPr="003F10CA">
        <w:rPr>
          <w:rFonts w:hint="default"/>
        </w:rPr>
        <w:t>m na ú</w:t>
      </w:r>
      <w:r w:rsidRPr="003F10CA">
        <w:rPr>
          <w:rFonts w:hint="default"/>
        </w:rPr>
        <w:t>rovni, ktorá</w:t>
      </w:r>
      <w:r w:rsidRPr="003F10CA">
        <w:rPr>
          <w:rFonts w:hint="default"/>
        </w:rPr>
        <w:t xml:space="preserve"> je bež</w:t>
      </w:r>
      <w:r w:rsidRPr="003F10CA">
        <w:rPr>
          <w:rFonts w:hint="default"/>
        </w:rPr>
        <w:t>ná</w:t>
      </w:r>
      <w:r w:rsidRPr="003F10CA">
        <w:rPr>
          <w:rFonts w:hint="default"/>
        </w:rPr>
        <w:t xml:space="preserve"> na zemskom povrchu, ionizujú</w:t>
      </w:r>
      <w:r w:rsidRPr="003F10CA">
        <w:rPr>
          <w:rFonts w:hint="default"/>
        </w:rPr>
        <w:t>cim ž</w:t>
      </w:r>
      <w:r w:rsidRPr="003F10CA">
        <w:rPr>
          <w:rFonts w:hint="default"/>
        </w:rPr>
        <w:t>iarení</w:t>
      </w:r>
      <w:r w:rsidRPr="003F10CA">
        <w:rPr>
          <w:rFonts w:hint="default"/>
        </w:rPr>
        <w:t>m z rá</w:t>
      </w:r>
      <w:r w:rsidRPr="003F10CA">
        <w:rPr>
          <w:rFonts w:hint="default"/>
        </w:rPr>
        <w:t>dionuklidov prí</w:t>
      </w:r>
      <w:r w:rsidRPr="003F10CA">
        <w:rPr>
          <w:rFonts w:hint="default"/>
        </w:rPr>
        <w:t>tomný</w:t>
      </w:r>
      <w:r w:rsidRPr="003F10CA">
        <w:rPr>
          <w:rFonts w:hint="default"/>
        </w:rPr>
        <w:t>ch v zem</w:t>
      </w:r>
      <w:r w:rsidRPr="003F10CA">
        <w:rPr>
          <w:rFonts w:hint="default"/>
        </w:rPr>
        <w:t>s</w:t>
      </w:r>
      <w:r w:rsidRPr="003F10CA">
        <w:rPr>
          <w:rFonts w:hint="default"/>
        </w:rPr>
        <w:t>kej kô</w:t>
      </w:r>
      <w:r w:rsidRPr="003F10CA">
        <w:rPr>
          <w:rFonts w:hint="default"/>
        </w:rPr>
        <w:t>re neporuš</w:t>
      </w:r>
      <w:r w:rsidRPr="003F10CA">
        <w:rPr>
          <w:rFonts w:hint="default"/>
        </w:rPr>
        <w:t>enej ľ</w:t>
      </w:r>
      <w:r w:rsidRPr="003F10CA">
        <w:rPr>
          <w:rFonts w:hint="default"/>
        </w:rPr>
        <w:t>udskou č</w:t>
      </w:r>
      <w:r w:rsidRPr="003F10CA">
        <w:rPr>
          <w:rFonts w:hint="default"/>
        </w:rPr>
        <w:t>innosť</w:t>
      </w:r>
      <w:r w:rsidRPr="003F10CA">
        <w:rPr>
          <w:rFonts w:hint="default"/>
        </w:rPr>
        <w:t>ou, prí</w:t>
      </w:r>
      <w:r w:rsidRPr="003F10CA">
        <w:rPr>
          <w:rFonts w:hint="default"/>
        </w:rPr>
        <w:t>rodný</w:t>
      </w:r>
      <w:r w:rsidRPr="003F10CA">
        <w:rPr>
          <w:rFonts w:hint="default"/>
        </w:rPr>
        <w:t>mi rá</w:t>
      </w:r>
      <w:r w:rsidRPr="003F10CA">
        <w:rPr>
          <w:rFonts w:hint="default"/>
        </w:rPr>
        <w:t>dionuklidmi na ú</w:t>
      </w:r>
      <w:r w:rsidRPr="003F10CA">
        <w:rPr>
          <w:rFonts w:hint="default"/>
        </w:rPr>
        <w:t>rovni bež</w:t>
      </w:r>
      <w:r w:rsidRPr="003F10CA">
        <w:rPr>
          <w:rFonts w:hint="default"/>
        </w:rPr>
        <w:t>ne sa vyskytujú</w:t>
      </w:r>
      <w:r w:rsidRPr="003F10CA">
        <w:rPr>
          <w:rFonts w:hint="default"/>
        </w:rPr>
        <w:t>cej v ľ</w:t>
      </w:r>
      <w:r w:rsidRPr="003F10CA">
        <w:rPr>
          <w:rFonts w:hint="default"/>
        </w:rPr>
        <w:t>udskom tele, jednotlivca z obyvateľ</w:t>
      </w:r>
      <w:r w:rsidRPr="003F10CA">
        <w:rPr>
          <w:rFonts w:hint="default"/>
        </w:rPr>
        <w:t>stva alebo pracovní</w:t>
      </w:r>
      <w:r w:rsidRPr="003F10CA">
        <w:rPr>
          <w:rFonts w:hint="default"/>
        </w:rPr>
        <w:t>ka, ktorí</w:t>
      </w:r>
      <w:r w:rsidRPr="003F10CA">
        <w:rPr>
          <w:rFonts w:hint="default"/>
        </w:rPr>
        <w:t xml:space="preserve"> nie sú</w:t>
      </w:r>
      <w:r w:rsidRPr="003F10CA">
        <w:rPr>
          <w:rFonts w:hint="default"/>
        </w:rPr>
        <w:t xml:space="preserve"> č</w:t>
      </w:r>
      <w:r w:rsidRPr="003F10CA">
        <w:rPr>
          <w:rFonts w:hint="default"/>
        </w:rPr>
        <w:t>lenmi posá</w:t>
      </w:r>
      <w:r w:rsidRPr="003F10CA">
        <w:rPr>
          <w:rFonts w:hint="default"/>
        </w:rPr>
        <w:t>dky lietadla alebo kozmickej lode, kozmický</w:t>
      </w:r>
      <w:r w:rsidRPr="003F10CA">
        <w:rPr>
          <w:rFonts w:hint="default"/>
        </w:rPr>
        <w:t>m ž</w:t>
      </w:r>
      <w:r w:rsidRPr="003F10CA">
        <w:rPr>
          <w:rFonts w:hint="default"/>
        </w:rPr>
        <w:t>iarení</w:t>
      </w:r>
      <w:r w:rsidRPr="003F10CA">
        <w:rPr>
          <w:rFonts w:hint="default"/>
        </w:rPr>
        <w:t>m poč</w:t>
      </w:r>
      <w:r w:rsidRPr="003F10CA">
        <w:rPr>
          <w:rFonts w:hint="default"/>
        </w:rPr>
        <w:t>as letu alebo po</w:t>
      </w:r>
      <w:r w:rsidRPr="003F10CA">
        <w:rPr>
          <w:rFonts w:hint="default"/>
        </w:rPr>
        <w:t>b</w:t>
      </w:r>
      <w:r w:rsidRPr="003F10CA">
        <w:rPr>
          <w:rFonts w:hint="default"/>
        </w:rPr>
        <w:t>ytu v kozmickom priestore, ná</w:t>
      </w:r>
      <w:r w:rsidRPr="003F10CA">
        <w:rPr>
          <w:rFonts w:hint="default"/>
        </w:rPr>
        <w:t>vš</w:t>
      </w:r>
      <w:r w:rsidRPr="003F10CA">
        <w:rPr>
          <w:rFonts w:hint="default"/>
        </w:rPr>
        <w:t>tevní</w:t>
      </w:r>
      <w:r w:rsidRPr="003F10CA">
        <w:rPr>
          <w:rFonts w:hint="default"/>
        </w:rPr>
        <w:t>ka jaskyne a </w:t>
      </w:r>
      <w:r w:rsidRPr="003F10CA">
        <w:rPr>
          <w:rFonts w:hint="default"/>
        </w:rPr>
        <w:t>pacienta podrobujú</w:t>
      </w:r>
      <w:r w:rsidRPr="003F10CA">
        <w:rPr>
          <w:rFonts w:hint="default"/>
        </w:rPr>
        <w:t>ceho sa lieč</w:t>
      </w:r>
      <w:r w:rsidRPr="003F10CA">
        <w:rPr>
          <w:rFonts w:hint="default"/>
        </w:rPr>
        <w:t>ebné</w:t>
      </w:r>
      <w:r w:rsidRPr="003F10CA">
        <w:rPr>
          <w:rFonts w:hint="default"/>
        </w:rPr>
        <w:t>mu procesu v jaskyni, z </w:t>
      </w:r>
      <w:r w:rsidRPr="003F10CA">
        <w:rPr>
          <w:rFonts w:hint="default"/>
        </w:rPr>
        <w:t>prí</w:t>
      </w:r>
      <w:r w:rsidRPr="003F10CA">
        <w:rPr>
          <w:rFonts w:hint="default"/>
        </w:rPr>
        <w:t>rodnej lieč</w:t>
      </w:r>
      <w:r w:rsidRPr="003F10CA">
        <w:rPr>
          <w:rFonts w:hint="default"/>
        </w:rPr>
        <w:t>iv</w:t>
      </w:r>
      <w:r>
        <w:rPr>
          <w:rFonts w:hint="default"/>
        </w:rPr>
        <w:t>ej vody uznanej podľ</w:t>
      </w:r>
      <w:r>
        <w:rPr>
          <w:rFonts w:hint="default"/>
        </w:rPr>
        <w:t>a osobitné</w:t>
      </w:r>
      <w:r>
        <w:rPr>
          <w:rFonts w:hint="default"/>
        </w:rPr>
        <w:t>ho predpisu.</w:t>
      </w:r>
    </w:p>
    <w:p w:rsidR="0015154A" w:rsidP="0015154A">
      <w:pPr>
        <w:tabs>
          <w:tab w:val="num" w:pos="426"/>
        </w:tabs>
        <w:bidi w:val="0"/>
        <w:jc w:val="both"/>
        <w:rPr>
          <w:bCs/>
        </w:rPr>
      </w:pPr>
      <w:r>
        <w:rPr>
          <w:bCs/>
        </w:rPr>
        <w:tab/>
      </w:r>
    </w:p>
    <w:p w:rsidR="0015154A" w:rsidP="0015154A">
      <w:pPr>
        <w:pStyle w:val="NormalWeb"/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 w:rsidR="00557E51">
        <w:rPr>
          <w:rFonts w:hint="default"/>
        </w:rPr>
        <w:t>Č</w:t>
      </w:r>
      <w:r>
        <w:t>innosti</w:t>
      </w:r>
      <w:r w:rsidR="006E6399">
        <w:rPr>
          <w:rFonts w:hint="default"/>
        </w:rPr>
        <w:t>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uvedené</w:t>
      </w:r>
      <w:r>
        <w:rPr>
          <w:rFonts w:hint="default"/>
        </w:rPr>
        <w:t xml:space="preserve"> v </w:t>
      </w:r>
      <w:r>
        <w:rPr>
          <w:rFonts w:hint="default"/>
        </w:rPr>
        <w:t>platný</w:t>
      </w:r>
      <w:r>
        <w:rPr>
          <w:rFonts w:hint="default"/>
        </w:rPr>
        <w:t>ch prá</w:t>
      </w:r>
      <w:r>
        <w:rPr>
          <w:rFonts w:hint="default"/>
        </w:rPr>
        <w:t>vnych predpisoch a</w:t>
      </w:r>
      <w:r w:rsidR="00557E51">
        <w:t> </w:t>
      </w:r>
      <w:r w:rsidR="00557E51">
        <w:t>v </w:t>
      </w:r>
      <w:r w:rsidR="00557E51">
        <w:rPr>
          <w:rFonts w:hint="default"/>
        </w:rPr>
        <w:t>sú</w:t>
      </w:r>
      <w:r w:rsidR="00557E51">
        <w:rPr>
          <w:rFonts w:hint="default"/>
        </w:rPr>
        <w:t>vislosti s </w:t>
      </w:r>
      <w:r w:rsidR="00557E51">
        <w:rPr>
          <w:rFonts w:hint="default"/>
        </w:rPr>
        <w:t>ich  vykoná</w:t>
      </w:r>
      <w:r w:rsidR="00557E51">
        <w:rPr>
          <w:rFonts w:hint="default"/>
        </w:rPr>
        <w:t>va</w:t>
      </w:r>
      <w:r w:rsidR="00557E51">
        <w:rPr>
          <w:rFonts w:hint="default"/>
        </w:rPr>
        <w:t>ní</w:t>
      </w:r>
      <w:r w:rsidR="00557E51">
        <w:rPr>
          <w:rFonts w:hint="default"/>
        </w:rPr>
        <w:t xml:space="preserve">m </w:t>
      </w:r>
      <w:r>
        <w:t> </w:t>
      </w:r>
      <w:r>
        <w:t xml:space="preserve"> sa </w:t>
      </w:r>
      <w:r w:rsidR="00557E51">
        <w:rPr>
          <w:rFonts w:hint="default"/>
        </w:rPr>
        <w:t>neoč</w:t>
      </w:r>
      <w:r w:rsidR="00557E51">
        <w:rPr>
          <w:rFonts w:hint="default"/>
        </w:rPr>
        <w:t>aká</w:t>
      </w:r>
      <w:r w:rsidR="00557E51">
        <w:rPr>
          <w:rFonts w:hint="default"/>
        </w:rPr>
        <w:t xml:space="preserve">va </w:t>
      </w:r>
      <w:r>
        <w:rPr>
          <w:rFonts w:hint="default"/>
        </w:rPr>
        <w:t>zvýš</w:t>
      </w:r>
      <w:r>
        <w:rPr>
          <w:rFonts w:hint="default"/>
        </w:rPr>
        <w:t>enie finanč</w:t>
      </w:r>
      <w:r>
        <w:rPr>
          <w:rFonts w:hint="default"/>
        </w:rPr>
        <w:t>ný</w:t>
      </w:r>
      <w:r>
        <w:rPr>
          <w:rFonts w:hint="default"/>
        </w:rPr>
        <w:t>ch ná</w:t>
      </w:r>
      <w:r>
        <w:rPr>
          <w:rFonts w:hint="default"/>
        </w:rPr>
        <w:t>kladov: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</w:pPr>
      <w:r>
        <w:rPr>
          <w:rFonts w:hint="default"/>
        </w:rPr>
        <w:t>povinnosť</w:t>
      </w:r>
      <w:r>
        <w:rPr>
          <w:rFonts w:hint="default"/>
        </w:rPr>
        <w:t xml:space="preserve"> mať</w:t>
      </w:r>
      <w:r>
        <w:rPr>
          <w:rFonts w:hint="default"/>
        </w:rPr>
        <w:t xml:space="preserve"> odborné</w:t>
      </w:r>
      <w:r>
        <w:rPr>
          <w:rFonts w:hint="default"/>
        </w:rPr>
        <w:t>ho zá</w:t>
      </w:r>
      <w:r>
        <w:rPr>
          <w:rFonts w:hint="default"/>
        </w:rPr>
        <w:t>stupcu alebo odborné</w:t>
      </w:r>
      <w:r>
        <w:rPr>
          <w:rFonts w:hint="default"/>
        </w:rPr>
        <w:t>ho garanta a </w:t>
      </w:r>
      <w:r>
        <w:rPr>
          <w:rFonts w:hint="default"/>
        </w:rPr>
        <w:t>zabezpeč</w:t>
      </w:r>
      <w:r>
        <w:rPr>
          <w:rFonts w:hint="default"/>
        </w:rPr>
        <w:t>iť</w:t>
      </w:r>
      <w:r>
        <w:rPr>
          <w:rFonts w:hint="default"/>
        </w:rPr>
        <w:t xml:space="preserve"> im potrebné</w:t>
      </w:r>
      <w:r>
        <w:rPr>
          <w:rFonts w:hint="default"/>
        </w:rPr>
        <w:t xml:space="preserve"> prostriedky a ich š</w:t>
      </w:r>
      <w:r>
        <w:rPr>
          <w:rFonts w:hint="default"/>
        </w:rPr>
        <w:t xml:space="preserve">kolenie </w:t>
      </w:r>
      <w:r w:rsidR="006E6399">
        <w:t>jeden raz</w:t>
      </w:r>
      <w:r>
        <w:t xml:space="preserve"> za </w:t>
      </w:r>
      <w:r w:rsidR="006E6399">
        <w:rPr>
          <w:rFonts w:hint="default"/>
        </w:rPr>
        <w:t>päť</w:t>
      </w:r>
      <w:r>
        <w:t xml:space="preserve"> rokov,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</w:pPr>
      <w:r>
        <w:rPr>
          <w:rFonts w:hint="default"/>
        </w:rPr>
        <w:t>š</w:t>
      </w:r>
      <w:r>
        <w:rPr>
          <w:rFonts w:hint="default"/>
        </w:rPr>
        <w:t>kolenie pracovní</w:t>
      </w:r>
      <w:r>
        <w:rPr>
          <w:rFonts w:hint="default"/>
        </w:rPr>
        <w:t>kov v </w:t>
      </w:r>
      <w:r>
        <w:rPr>
          <w:rFonts w:hint="default"/>
        </w:rPr>
        <w:t>radiač</w:t>
      </w:r>
      <w:r>
        <w:rPr>
          <w:rFonts w:hint="default"/>
        </w:rPr>
        <w:t xml:space="preserve">nej ochrane </w:t>
      </w:r>
      <w:r w:rsidR="006E6399">
        <w:t>jeden raz</w:t>
      </w:r>
      <w:r>
        <w:t xml:space="preserve"> </w:t>
      </w:r>
      <w:r w:rsidR="006E6399">
        <w:t>za rok,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komplexné</w:t>
      </w:r>
      <w:r>
        <w:rPr>
          <w:rFonts w:hint="default"/>
        </w:rPr>
        <w:t xml:space="preserve"> hodnotenie radiač</w:t>
      </w:r>
      <w:r>
        <w:rPr>
          <w:rFonts w:hint="default"/>
        </w:rPr>
        <w:t>nej ochrany v </w:t>
      </w:r>
      <w:r>
        <w:rPr>
          <w:rFonts w:hint="default"/>
        </w:rPr>
        <w:t>rá</w:t>
      </w:r>
      <w:r>
        <w:rPr>
          <w:rFonts w:hint="default"/>
        </w:rPr>
        <w:t>mci periodické</w:t>
      </w:r>
      <w:r>
        <w:rPr>
          <w:rFonts w:hint="default"/>
        </w:rPr>
        <w:t>ho hodnotenia bezpeč</w:t>
      </w:r>
      <w:r>
        <w:rPr>
          <w:rFonts w:hint="default"/>
        </w:rPr>
        <w:t>nosti,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zabezpeč</w:t>
      </w:r>
      <w:r w:rsidR="00557E51">
        <w:t>enie</w:t>
      </w:r>
      <w:r>
        <w:rPr>
          <w:rFonts w:hint="default"/>
        </w:rPr>
        <w:t xml:space="preserve"> osobné</w:t>
      </w:r>
      <w:r w:rsidR="00557E51">
        <w:t>ho</w:t>
      </w:r>
      <w:r>
        <w:t xml:space="preserve"> monitorovani</w:t>
      </w:r>
      <w:r w:rsidR="00557E51">
        <w:t>a</w:t>
      </w:r>
      <w:r>
        <w:t xml:space="preserve"> a vyhodnocovani</w:t>
      </w:r>
      <w:r w:rsidR="00557E51">
        <w:t>a</w:t>
      </w:r>
      <w:r>
        <w:rPr>
          <w:rFonts w:hint="default"/>
        </w:rPr>
        <w:t xml:space="preserve"> dá</w:t>
      </w:r>
      <w:r>
        <w:rPr>
          <w:rFonts w:hint="default"/>
        </w:rPr>
        <w:t>vok pracovní</w:t>
      </w:r>
      <w:r>
        <w:rPr>
          <w:rFonts w:hint="default"/>
        </w:rPr>
        <w:t>kov,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zriad</w:t>
      </w:r>
      <w:r w:rsidR="00557E51">
        <w:t>enie</w:t>
      </w:r>
      <w:r>
        <w:rPr>
          <w:rFonts w:hint="default"/>
        </w:rPr>
        <w:t xml:space="preserve"> sledované</w:t>
      </w:r>
      <w:r w:rsidR="00557E51">
        <w:t>ho</w:t>
      </w:r>
      <w:r>
        <w:rPr>
          <w:rFonts w:hint="default"/>
        </w:rPr>
        <w:t xml:space="preserve"> a kontrolované</w:t>
      </w:r>
      <w:r w:rsidR="00557E51">
        <w:rPr>
          <w:rFonts w:hint="default"/>
        </w:rPr>
        <w:t>ho pá</w:t>
      </w:r>
      <w:r w:rsidR="00557E51">
        <w:rPr>
          <w:rFonts w:hint="default"/>
        </w:rPr>
        <w:t>sma a </w:t>
      </w:r>
      <w:r w:rsidR="00557E51">
        <w:rPr>
          <w:rFonts w:hint="default"/>
        </w:rPr>
        <w:t>pá</w:t>
      </w:r>
      <w:r w:rsidR="00557E51">
        <w:rPr>
          <w:rFonts w:hint="default"/>
        </w:rPr>
        <w:t>sma</w:t>
      </w:r>
      <w:r>
        <w:t xml:space="preserve"> s </w:t>
      </w:r>
      <w:r>
        <w:rPr>
          <w:rFonts w:hint="default"/>
        </w:rPr>
        <w:t>obmedzený</w:t>
      </w:r>
      <w:r>
        <w:rPr>
          <w:rFonts w:hint="default"/>
        </w:rPr>
        <w:t>m prí</w:t>
      </w:r>
      <w:r>
        <w:rPr>
          <w:rFonts w:hint="default"/>
        </w:rPr>
        <w:t xml:space="preserve">stupom, </w:t>
      </w:r>
      <w:r w:rsidR="00557E51">
        <w:rPr>
          <w:rFonts w:hint="default"/>
        </w:rPr>
        <w:t>ich zabezpeč</w:t>
      </w:r>
      <w:r w:rsidR="00557E51">
        <w:rPr>
          <w:rFonts w:hint="default"/>
        </w:rPr>
        <w:t>enie</w:t>
      </w:r>
      <w:r>
        <w:rPr>
          <w:rFonts w:hint="default"/>
        </w:rPr>
        <w:t xml:space="preserve"> technický</w:t>
      </w:r>
      <w:r>
        <w:rPr>
          <w:rFonts w:hint="default"/>
        </w:rPr>
        <w:t>mi prostriedkami a </w:t>
      </w:r>
      <w:r>
        <w:rPr>
          <w:rFonts w:hint="default"/>
        </w:rPr>
        <w:t>prevá</w:t>
      </w:r>
      <w:r>
        <w:rPr>
          <w:rFonts w:hint="default"/>
        </w:rPr>
        <w:t>dzkový</w:t>
      </w:r>
      <w:r>
        <w:rPr>
          <w:rFonts w:hint="default"/>
        </w:rPr>
        <w:t>mi predpismi,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vý</w:t>
      </w:r>
      <w:r>
        <w:rPr>
          <w:rFonts w:hint="default"/>
        </w:rPr>
        <w:t>kon dozimetrickej služ</w:t>
      </w:r>
      <w:r>
        <w:rPr>
          <w:rFonts w:hint="default"/>
        </w:rPr>
        <w:t>by, prí</w:t>
      </w:r>
      <w:r>
        <w:rPr>
          <w:rFonts w:hint="default"/>
        </w:rPr>
        <w:t>strojové</w:t>
      </w:r>
      <w:r>
        <w:rPr>
          <w:rFonts w:hint="default"/>
        </w:rPr>
        <w:t xml:space="preserve"> a </w:t>
      </w:r>
      <w:r>
        <w:rPr>
          <w:rFonts w:hint="default"/>
        </w:rPr>
        <w:t>materiá</w:t>
      </w:r>
      <w:r>
        <w:rPr>
          <w:rFonts w:hint="default"/>
        </w:rPr>
        <w:t>lne vybavenie, predpisy, skúš</w:t>
      </w:r>
      <w:r>
        <w:rPr>
          <w:rFonts w:hint="default"/>
        </w:rPr>
        <w:t>ky a </w:t>
      </w:r>
      <w:r>
        <w:rPr>
          <w:rFonts w:hint="default"/>
        </w:rPr>
        <w:t>kalibrá</w:t>
      </w:r>
      <w:r>
        <w:rPr>
          <w:rFonts w:hint="default"/>
        </w:rPr>
        <w:t>cie,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</w:pPr>
      <w:r>
        <w:rPr>
          <w:rFonts w:hint="default"/>
        </w:rPr>
        <w:t>preventí</w:t>
      </w:r>
      <w:r>
        <w:rPr>
          <w:rFonts w:hint="default"/>
        </w:rPr>
        <w:t>vne prehliadky pracovní</w:t>
      </w:r>
      <w:r>
        <w:rPr>
          <w:rFonts w:hint="default"/>
        </w:rPr>
        <w:t>kov kategó</w:t>
      </w:r>
      <w:r>
        <w:rPr>
          <w:rFonts w:hint="default"/>
        </w:rPr>
        <w:t>rie A</w:t>
      </w:r>
      <w:r w:rsidR="006E6399">
        <w:t> </w:t>
      </w:r>
      <w:r w:rsidR="006E6399">
        <w:t>jeden raz za rok</w:t>
      </w:r>
      <w:r>
        <w:t>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monitorovanie vý</w:t>
      </w:r>
      <w:r>
        <w:rPr>
          <w:rFonts w:hint="default"/>
        </w:rPr>
        <w:t>pustí,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</w:pPr>
      <w:r>
        <w:rPr>
          <w:rFonts w:hint="default"/>
        </w:rPr>
        <w:t>s</w:t>
      </w:r>
      <w:r w:rsidRPr="00F55C44">
        <w:rPr>
          <w:rFonts w:hint="default"/>
        </w:rPr>
        <w:t>ledovanie ú</w:t>
      </w:r>
      <w:r w:rsidRPr="00F55C44">
        <w:rPr>
          <w:rFonts w:hint="default"/>
        </w:rPr>
        <w:t>rovne radiač</w:t>
      </w:r>
      <w:r w:rsidRPr="00F55C44">
        <w:rPr>
          <w:rFonts w:hint="default"/>
        </w:rPr>
        <w:t>nej ochrany, meranie a hodnotenie ož</w:t>
      </w:r>
      <w:r w:rsidRPr="00F55C44">
        <w:rPr>
          <w:rFonts w:hint="default"/>
        </w:rPr>
        <w:t>iarenia obyvateľ</w:t>
      </w:r>
      <w:r w:rsidRPr="00F55C44">
        <w:rPr>
          <w:rFonts w:hint="default"/>
        </w:rPr>
        <w:t>ov alebo na posudzovanie kontaminá</w:t>
      </w:r>
      <w:r w:rsidRPr="00F55C44">
        <w:rPr>
          <w:rFonts w:hint="default"/>
        </w:rPr>
        <w:t>cie prostredia</w:t>
      </w:r>
      <w:r>
        <w:t>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</w:pPr>
      <w:r>
        <w:t>hodnot</w:t>
      </w:r>
      <w:r w:rsidR="00557E51">
        <w:t>enie</w:t>
      </w:r>
      <w:r>
        <w:t xml:space="preserve"> vplyv</w:t>
      </w:r>
      <w:r w:rsidR="00557E51">
        <w:t>u</w:t>
      </w:r>
      <w:r>
        <w:rPr>
          <w:rFonts w:hint="default"/>
        </w:rPr>
        <w:t xml:space="preserve"> na ž</w:t>
      </w:r>
      <w:r>
        <w:rPr>
          <w:rFonts w:hint="default"/>
        </w:rPr>
        <w:t>ivotné</w:t>
      </w:r>
      <w:r>
        <w:rPr>
          <w:rFonts w:hint="default"/>
        </w:rPr>
        <w:t xml:space="preserve"> prostredie</w:t>
      </w:r>
      <w:r w:rsidRPr="00557E51" w:rsidR="00557E51">
        <w:t xml:space="preserve"> </w:t>
      </w:r>
      <w:r w:rsidR="00557E51">
        <w:t>jeden raz za rok</w:t>
      </w:r>
      <w:r>
        <w:t>,</w:t>
      </w:r>
    </w:p>
    <w:p w:rsidR="0015154A" w:rsidP="00557E51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t>kontroly a </w:t>
      </w:r>
      <w:r>
        <w:rPr>
          <w:rFonts w:hint="default"/>
        </w:rPr>
        <w:t>skúš</w:t>
      </w:r>
      <w:r>
        <w:rPr>
          <w:rFonts w:hint="default"/>
        </w:rPr>
        <w:t>ky ž</w:t>
      </w:r>
      <w:r>
        <w:rPr>
          <w:rFonts w:hint="default"/>
        </w:rPr>
        <w:t>iarič</w:t>
      </w:r>
      <w:r>
        <w:rPr>
          <w:rFonts w:hint="default"/>
        </w:rPr>
        <w:t>ov,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 w:rsidRPr="00F55C44">
        <w:rPr>
          <w:rFonts w:hint="default"/>
        </w:rPr>
        <w:t>ú</w:t>
      </w:r>
      <w:r w:rsidRPr="00F55C44">
        <w:rPr>
          <w:rFonts w:hint="default"/>
        </w:rPr>
        <w:t>prav</w:t>
      </w:r>
      <w:r>
        <w:t>a</w:t>
      </w:r>
      <w:r w:rsidRPr="00F55C44">
        <w:rPr>
          <w:rFonts w:hint="default"/>
        </w:rPr>
        <w:t xml:space="preserve"> pracovný</w:t>
      </w:r>
      <w:r w:rsidRPr="00F55C44">
        <w:rPr>
          <w:rFonts w:hint="default"/>
        </w:rPr>
        <w:t>ch podmienok tehotnej pracovníč</w:t>
      </w:r>
      <w:r w:rsidRPr="00F55C44">
        <w:rPr>
          <w:rFonts w:hint="default"/>
        </w:rPr>
        <w:t>ky</w:t>
      </w:r>
      <w:r w:rsidRPr="00337CF7">
        <w:t xml:space="preserve"> </w:t>
      </w:r>
      <w:r>
        <w:t>a </w:t>
      </w:r>
      <w:r>
        <w:rPr>
          <w:rFonts w:hint="default"/>
        </w:rPr>
        <w:t>dojč</w:t>
      </w:r>
      <w:r>
        <w:rPr>
          <w:rFonts w:hint="default"/>
        </w:rPr>
        <w:t>iacej pracovníč</w:t>
      </w:r>
      <w:r>
        <w:rPr>
          <w:rFonts w:hint="default"/>
        </w:rPr>
        <w:t>ky,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vedenie evidencie zdrojov ionizujú</w:t>
      </w:r>
      <w:r>
        <w:rPr>
          <w:rFonts w:hint="default"/>
        </w:rPr>
        <w:t>ceho ž</w:t>
      </w:r>
      <w:r>
        <w:rPr>
          <w:rFonts w:hint="default"/>
        </w:rPr>
        <w:t>iarenia,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</w:pPr>
      <w:r>
        <w:rPr>
          <w:rFonts w:hint="default"/>
        </w:rPr>
        <w:t>vedenie evidencie rá</w:t>
      </w:r>
      <w:r>
        <w:rPr>
          <w:rFonts w:hint="default"/>
        </w:rPr>
        <w:t>dioaktí</w:t>
      </w:r>
      <w:r>
        <w:rPr>
          <w:rFonts w:hint="default"/>
        </w:rPr>
        <w:t>vn</w:t>
      </w:r>
      <w:r w:rsidR="00274748">
        <w:t>y</w:t>
      </w:r>
      <w:r>
        <w:t>ch odpadov,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vedenie evidencie dá</w:t>
      </w:r>
      <w:r>
        <w:rPr>
          <w:rFonts w:hint="default"/>
        </w:rPr>
        <w:t>vok pracovní</w:t>
      </w:r>
      <w:r>
        <w:rPr>
          <w:rFonts w:hint="default"/>
        </w:rPr>
        <w:t>kov,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oznamovanie organizač</w:t>
      </w:r>
      <w:r>
        <w:rPr>
          <w:rFonts w:hint="default"/>
        </w:rPr>
        <w:t>ný</w:t>
      </w:r>
      <w:r>
        <w:rPr>
          <w:rFonts w:hint="default"/>
        </w:rPr>
        <w:t>ch zmien s </w:t>
      </w:r>
      <w:r>
        <w:rPr>
          <w:rFonts w:hint="default"/>
        </w:rPr>
        <w:t>vplyvom na radiač</w:t>
      </w:r>
      <w:r>
        <w:rPr>
          <w:rFonts w:hint="default"/>
        </w:rPr>
        <w:t>nú</w:t>
      </w:r>
      <w:r>
        <w:rPr>
          <w:rFonts w:hint="default"/>
        </w:rPr>
        <w:t xml:space="preserve"> ochranu,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vedenie evidencie rá</w:t>
      </w:r>
      <w:r>
        <w:rPr>
          <w:rFonts w:hint="default"/>
        </w:rPr>
        <w:t>dioaktí</w:t>
      </w:r>
      <w:r>
        <w:rPr>
          <w:rFonts w:hint="default"/>
        </w:rPr>
        <w:t>vnyc</w:t>
      </w:r>
      <w:r>
        <w:rPr>
          <w:rFonts w:hint="default"/>
        </w:rPr>
        <w:t>h lá</w:t>
      </w:r>
      <w:r>
        <w:rPr>
          <w:rFonts w:hint="default"/>
        </w:rPr>
        <w:t>tok vypúšť</w:t>
      </w:r>
      <w:r>
        <w:rPr>
          <w:rFonts w:hint="default"/>
        </w:rPr>
        <w:t>aný</w:t>
      </w:r>
      <w:r>
        <w:rPr>
          <w:rFonts w:hint="default"/>
        </w:rPr>
        <w:t>ch do ž</w:t>
      </w:r>
      <w:r>
        <w:rPr>
          <w:rFonts w:hint="default"/>
        </w:rPr>
        <w:t>ivotné</w:t>
      </w:r>
      <w:r>
        <w:rPr>
          <w:rFonts w:hint="default"/>
        </w:rPr>
        <w:t>ho prostredia,</w:t>
      </w:r>
    </w:p>
    <w:p w:rsidR="0015154A" w:rsidP="0015154A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administratí</w:t>
      </w:r>
      <w:r>
        <w:rPr>
          <w:rFonts w:hint="default"/>
        </w:rPr>
        <w:t>vne ná</w:t>
      </w:r>
      <w:r>
        <w:rPr>
          <w:rFonts w:hint="default"/>
        </w:rPr>
        <w:t>klady spojené</w:t>
      </w:r>
      <w:r>
        <w:rPr>
          <w:rFonts w:hint="default"/>
        </w:rPr>
        <w:t xml:space="preserve"> s </w:t>
      </w:r>
      <w:r>
        <w:rPr>
          <w:rFonts w:hint="default"/>
        </w:rPr>
        <w:t>predkladaní</w:t>
      </w:r>
      <w:r>
        <w:rPr>
          <w:rFonts w:hint="default"/>
        </w:rPr>
        <w:t>m ž</w:t>
      </w:r>
      <w:r>
        <w:rPr>
          <w:rFonts w:hint="default"/>
        </w:rPr>
        <w:t>iadostí,</w:t>
      </w:r>
    </w:p>
    <w:p w:rsidR="00557E51" w:rsidP="00557E51">
      <w:pPr>
        <w:pStyle w:val="NormalWeb"/>
        <w:numPr>
          <w:numId w:val="4"/>
        </w:numPr>
        <w:bidi w:val="0"/>
        <w:spacing w:before="0" w:beforeAutospacing="0" w:after="0" w:afterAutospacing="0"/>
        <w:jc w:val="both"/>
        <w:outlineLvl w:val="0"/>
      </w:pPr>
      <w:r w:rsidR="0015154A">
        <w:t>oznamovacie povinnosti</w:t>
      </w:r>
      <w:r>
        <w:t>.</w:t>
      </w:r>
      <w:r w:rsidRPr="00557E51">
        <w:t xml:space="preserve"> </w:t>
      </w:r>
    </w:p>
    <w:p w:rsidR="00557E51" w:rsidP="00557E51">
      <w:pPr>
        <w:pStyle w:val="NormalWeb"/>
        <w:bidi w:val="0"/>
        <w:spacing w:before="0" w:beforeAutospacing="0" w:after="0" w:afterAutospacing="0"/>
        <w:ind w:left="360"/>
        <w:jc w:val="both"/>
        <w:outlineLvl w:val="0"/>
      </w:pPr>
    </w:p>
    <w:p w:rsidR="00557E51" w:rsidP="00557E51">
      <w:pPr>
        <w:pStyle w:val="NormalWeb"/>
        <w:bidi w:val="0"/>
        <w:spacing w:before="0" w:beforeAutospacing="0" w:after="0" w:afterAutospacing="0"/>
        <w:jc w:val="both"/>
        <w:outlineLvl w:val="0"/>
        <w:rPr>
          <w:rFonts w:hint="default"/>
        </w:rPr>
      </w:pPr>
      <w:r>
        <w:rPr>
          <w:rFonts w:hint="default"/>
        </w:rPr>
        <w:t>Nezvyš</w:t>
      </w:r>
      <w:r>
        <w:rPr>
          <w:rFonts w:hint="default"/>
        </w:rPr>
        <w:t>ujú</w:t>
      </w:r>
      <w:r>
        <w:rPr>
          <w:rFonts w:hint="default"/>
        </w:rPr>
        <w:t xml:space="preserve"> sa poplatky za vydanie a </w:t>
      </w:r>
      <w:r>
        <w:rPr>
          <w:rFonts w:hint="default"/>
        </w:rPr>
        <w:t>zmenu povolenia ani za vydanie osvedč</w:t>
      </w:r>
      <w:r>
        <w:rPr>
          <w:rFonts w:hint="default"/>
        </w:rPr>
        <w:t>enia o </w:t>
      </w:r>
      <w:r>
        <w:rPr>
          <w:rFonts w:hint="default"/>
        </w:rPr>
        <w:t>odbornej spô</w:t>
      </w:r>
      <w:r>
        <w:rPr>
          <w:rFonts w:hint="default"/>
        </w:rPr>
        <w:t>sobilosti.</w:t>
      </w:r>
    </w:p>
    <w:p w:rsidR="0015154A" w:rsidP="00557E51">
      <w:pPr>
        <w:pStyle w:val="NormalWeb"/>
        <w:bidi w:val="0"/>
        <w:spacing w:before="0" w:beforeAutospacing="0" w:after="0" w:afterAutospacing="0"/>
        <w:ind w:left="720"/>
        <w:jc w:val="both"/>
        <w:outlineLvl w:val="0"/>
      </w:pPr>
    </w:p>
    <w:p w:rsidR="0015154A" w:rsidP="0015154A">
      <w:pPr>
        <w:tabs>
          <w:tab w:val="num" w:pos="426"/>
        </w:tabs>
        <w:bidi w:val="0"/>
        <w:jc w:val="both"/>
        <w:rPr>
          <w:bCs/>
        </w:rPr>
      </w:pPr>
    </w:p>
    <w:p w:rsidR="0015154A" w:rsidP="0015154A">
      <w:pPr>
        <w:bidi w:val="0"/>
        <w:jc w:val="both"/>
        <w:rPr>
          <w:rFonts w:hint="default"/>
        </w:rPr>
      </w:pPr>
      <w:r>
        <w:rPr>
          <w:rFonts w:hint="default"/>
        </w:rPr>
        <w:t>Nový</w:t>
      </w:r>
      <w:r>
        <w:rPr>
          <w:rFonts w:hint="default"/>
        </w:rPr>
        <w:t>mi pož</w:t>
      </w:r>
      <w:r>
        <w:rPr>
          <w:rFonts w:hint="default"/>
        </w:rPr>
        <w:t>iadavkami sú</w:t>
      </w:r>
      <w:r>
        <w:rPr>
          <w:rFonts w:hint="default"/>
        </w:rPr>
        <w:t xml:space="preserve">: </w:t>
      </w:r>
    </w:p>
    <w:p w:rsidR="0015154A" w:rsidRPr="003B78B5" w:rsidP="0015154A">
      <w:pPr>
        <w:numPr>
          <w:numId w:val="5"/>
        </w:numPr>
        <w:bidi w:val="0"/>
        <w:jc w:val="both"/>
        <w:rPr>
          <w:bCs/>
        </w:rPr>
      </w:pPr>
      <w:r w:rsidRPr="003F10CA">
        <w:rPr>
          <w:rFonts w:hint="default"/>
        </w:rPr>
        <w:t>zaistenie bezpeč</w:t>
      </w:r>
      <w:r w:rsidRPr="003F10CA">
        <w:rPr>
          <w:rFonts w:hint="default"/>
        </w:rPr>
        <w:t>nosti </w:t>
      </w:r>
      <w:r w:rsidRPr="003F10CA">
        <w:rPr>
          <w:rFonts w:hint="default"/>
        </w:rPr>
        <w:t>rá</w:t>
      </w:r>
      <w:r w:rsidRPr="003F10CA">
        <w:rPr>
          <w:rFonts w:hint="default"/>
        </w:rPr>
        <w:t>dioaktí</w:t>
      </w:r>
      <w:r w:rsidRPr="003F10CA">
        <w:rPr>
          <w:rFonts w:hint="default"/>
        </w:rPr>
        <w:t>vn</w:t>
      </w:r>
      <w:r>
        <w:t>ych</w:t>
      </w:r>
      <w:r w:rsidRPr="003F10CA">
        <w:t xml:space="preserve"> </w:t>
      </w:r>
      <w:r>
        <w:rPr>
          <w:rFonts w:hint="default"/>
        </w:rPr>
        <w:t>ž</w:t>
      </w:r>
      <w:r>
        <w:rPr>
          <w:rFonts w:hint="default"/>
        </w:rPr>
        <w:t>iarič</w:t>
      </w:r>
      <w:r>
        <w:rPr>
          <w:rFonts w:hint="default"/>
        </w:rPr>
        <w:t>ov, aby sa zamedzilo ich ú</w:t>
      </w:r>
      <w:r>
        <w:rPr>
          <w:rFonts w:hint="default"/>
        </w:rPr>
        <w:t>myselné</w:t>
      </w:r>
      <w:r>
        <w:rPr>
          <w:rFonts w:hint="default"/>
        </w:rPr>
        <w:t>mu zneuž</w:t>
      </w:r>
      <w:r>
        <w:rPr>
          <w:rFonts w:hint="default"/>
        </w:rPr>
        <w:t>itiu (napr</w:t>
      </w:r>
      <w:r w:rsidR="006E6399">
        <w:rPr>
          <w:rFonts w:hint="default"/>
        </w:rPr>
        <w:t>í</w:t>
      </w:r>
      <w:r w:rsidR="006E6399">
        <w:rPr>
          <w:rFonts w:hint="default"/>
        </w:rPr>
        <w:t>klad</w:t>
      </w:r>
      <w:r>
        <w:rPr>
          <w:rFonts w:hint="default"/>
        </w:rPr>
        <w:t xml:space="preserve"> terorizmus, sabotáž</w:t>
      </w:r>
      <w:r>
        <w:rPr>
          <w:rFonts w:hint="default"/>
        </w:rPr>
        <w:t>),</w:t>
      </w:r>
      <w:r w:rsidRPr="003F10CA">
        <w:t xml:space="preserve"> </w:t>
      </w:r>
    </w:p>
    <w:p w:rsidR="0015154A" w:rsidRPr="003B78B5" w:rsidP="0015154A">
      <w:pPr>
        <w:numPr>
          <w:numId w:val="5"/>
        </w:numPr>
        <w:bidi w:val="0"/>
        <w:jc w:val="both"/>
        <w:rPr>
          <w:bCs/>
        </w:rPr>
      </w:pPr>
      <w:r>
        <w:rPr>
          <w:rFonts w:hint="default"/>
        </w:rPr>
        <w:t>zabezpeč</w:t>
      </w:r>
      <w:r>
        <w:rPr>
          <w:rFonts w:hint="default"/>
        </w:rPr>
        <w:t xml:space="preserve">enie </w:t>
      </w:r>
      <w:r w:rsidRPr="003F10CA">
        <w:t>ochran</w:t>
      </w:r>
      <w:r>
        <w:t>y</w:t>
      </w:r>
      <w:r w:rsidRPr="003F10CA">
        <w:rPr>
          <w:rFonts w:hint="default"/>
        </w:rPr>
        <w:t xml:space="preserve"> pracovní</w:t>
      </w:r>
      <w:r w:rsidRPr="003F10CA">
        <w:rPr>
          <w:rFonts w:hint="default"/>
        </w:rPr>
        <w:t>kov a obyvateľ</w:t>
      </w:r>
      <w:r w:rsidRPr="003F10CA">
        <w:rPr>
          <w:rFonts w:hint="default"/>
        </w:rPr>
        <w:t>ov pred ož</w:t>
      </w:r>
      <w:r w:rsidRPr="003F10CA">
        <w:rPr>
          <w:rFonts w:hint="default"/>
        </w:rPr>
        <w:t>iarení</w:t>
      </w:r>
      <w:r w:rsidRPr="003F10CA">
        <w:rPr>
          <w:rFonts w:hint="default"/>
        </w:rPr>
        <w:t>m radó</w:t>
      </w:r>
      <w:r w:rsidRPr="003F10CA">
        <w:rPr>
          <w:rFonts w:hint="default"/>
        </w:rPr>
        <w:t>nom vo vnú</w:t>
      </w:r>
      <w:r w:rsidRPr="003F10CA">
        <w:rPr>
          <w:rFonts w:hint="default"/>
        </w:rPr>
        <w:t>tornom ovzduší</w:t>
      </w:r>
      <w:r w:rsidRPr="003F10CA">
        <w:rPr>
          <w:rFonts w:hint="default"/>
        </w:rPr>
        <w:t xml:space="preserve"> budov</w:t>
      </w:r>
      <w:r>
        <w:t xml:space="preserve"> v oblastiach so zv</w:t>
      </w:r>
      <w:r>
        <w:rPr>
          <w:rFonts w:hint="default"/>
        </w:rPr>
        <w:t>ýš</w:t>
      </w:r>
      <w:r>
        <w:rPr>
          <w:rFonts w:hint="default"/>
        </w:rPr>
        <w:t>ený</w:t>
      </w:r>
      <w:r>
        <w:rPr>
          <w:rFonts w:hint="default"/>
        </w:rPr>
        <w:t>m vý</w:t>
      </w:r>
      <w:r>
        <w:rPr>
          <w:rFonts w:hint="default"/>
        </w:rPr>
        <w:t>skytom radó</w:t>
      </w:r>
      <w:r>
        <w:rPr>
          <w:rFonts w:hint="default"/>
        </w:rPr>
        <w:t>nu, ú</w:t>
      </w:r>
      <w:r>
        <w:rPr>
          <w:rFonts w:hint="default"/>
        </w:rPr>
        <w:t>plná</w:t>
      </w:r>
      <w:r>
        <w:rPr>
          <w:rFonts w:hint="default"/>
        </w:rPr>
        <w:t xml:space="preserve"> transpozí</w:t>
      </w:r>
      <w:r>
        <w:rPr>
          <w:rFonts w:hint="default"/>
        </w:rPr>
        <w:t>cia smernice Rady 2013/59/Euratom ukladá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vykonať</w:t>
      </w:r>
      <w:r>
        <w:rPr>
          <w:rFonts w:hint="default"/>
        </w:rPr>
        <w:t xml:space="preserve"> merania na vš</w:t>
      </w:r>
      <w:r>
        <w:rPr>
          <w:rFonts w:hint="default"/>
        </w:rPr>
        <w:t>etký</w:t>
      </w:r>
      <w:r>
        <w:rPr>
          <w:rFonts w:hint="default"/>
        </w:rPr>
        <w:t>ch pracoviská</w:t>
      </w:r>
      <w:r>
        <w:rPr>
          <w:rFonts w:hint="default"/>
        </w:rPr>
        <w:t>ch na prvom nadzemnom a </w:t>
      </w:r>
      <w:r>
        <w:rPr>
          <w:rFonts w:hint="default"/>
        </w:rPr>
        <w:t>podzemnom podlaží</w:t>
      </w:r>
      <w:r>
        <w:rPr>
          <w:rFonts w:hint="default"/>
        </w:rPr>
        <w:t>. Úč</w:t>
      </w:r>
      <w:r>
        <w:rPr>
          <w:rFonts w:hint="default"/>
        </w:rPr>
        <w:t>innosť</w:t>
      </w:r>
      <w:r>
        <w:rPr>
          <w:rFonts w:hint="default"/>
        </w:rPr>
        <w:t xml:space="preserve"> </w:t>
      </w:r>
      <w:r w:rsidR="000F580B">
        <w:t>na</w:t>
      </w:r>
      <w:r>
        <w:rPr>
          <w:rFonts w:hint="default"/>
        </w:rPr>
        <w:t xml:space="preserve"> splnenie niektorý</w:t>
      </w:r>
      <w:r>
        <w:rPr>
          <w:rFonts w:hint="default"/>
        </w:rPr>
        <w:t>ch povinností</w:t>
      </w:r>
      <w:r>
        <w:rPr>
          <w:rFonts w:hint="default"/>
        </w:rPr>
        <w:t xml:space="preserve"> sa navrhuje posunúť</w:t>
      </w:r>
      <w:r>
        <w:rPr>
          <w:rFonts w:hint="default"/>
        </w:rPr>
        <w:t xml:space="preserve"> na rok 2024 z </w:t>
      </w:r>
      <w:r>
        <w:rPr>
          <w:rFonts w:hint="default"/>
        </w:rPr>
        <w:t>dô</w:t>
      </w:r>
      <w:r>
        <w:rPr>
          <w:rFonts w:hint="default"/>
        </w:rPr>
        <w:t xml:space="preserve">vodu, </w:t>
      </w:r>
      <w:r>
        <w:rPr>
          <w:rFonts w:hint="default"/>
        </w:rPr>
        <w:t>aby bolo mož</w:t>
      </w:r>
      <w:r>
        <w:rPr>
          <w:rFonts w:hint="default"/>
        </w:rPr>
        <w:t>né</w:t>
      </w:r>
      <w:r>
        <w:rPr>
          <w:rFonts w:hint="default"/>
        </w:rPr>
        <w:t xml:space="preserve"> navrhnúť</w:t>
      </w:r>
      <w:r>
        <w:rPr>
          <w:rFonts w:hint="default"/>
        </w:rPr>
        <w:t xml:space="preserve"> a </w:t>
      </w:r>
      <w:r w:rsidR="006E6399">
        <w:t>vykona</w:t>
      </w:r>
      <w:r>
        <w:rPr>
          <w:rFonts w:hint="default"/>
        </w:rPr>
        <w:t>ť</w:t>
      </w:r>
      <w:r>
        <w:rPr>
          <w:rFonts w:hint="default"/>
        </w:rPr>
        <w:t xml:space="preserve"> celoš</w:t>
      </w:r>
      <w:r>
        <w:rPr>
          <w:rFonts w:hint="default"/>
        </w:rPr>
        <w:t>tá</w:t>
      </w:r>
      <w:r>
        <w:rPr>
          <w:rFonts w:hint="default"/>
        </w:rPr>
        <w:t>tny radó</w:t>
      </w:r>
      <w:r>
        <w:rPr>
          <w:rFonts w:hint="default"/>
        </w:rPr>
        <w:t>nový</w:t>
      </w:r>
      <w:r>
        <w:rPr>
          <w:rFonts w:hint="default"/>
        </w:rPr>
        <w:t xml:space="preserve"> prieskum s </w:t>
      </w:r>
      <w:r>
        <w:rPr>
          <w:rFonts w:hint="default"/>
        </w:rPr>
        <w:t>cieľ</w:t>
      </w:r>
      <w:r>
        <w:rPr>
          <w:rFonts w:hint="default"/>
        </w:rPr>
        <w:t>om vymedziť</w:t>
      </w:r>
      <w:r>
        <w:rPr>
          <w:rFonts w:hint="default"/>
        </w:rPr>
        <w:t xml:space="preserve"> ú</w:t>
      </w:r>
      <w:r>
        <w:rPr>
          <w:rFonts w:hint="default"/>
        </w:rPr>
        <w:t>zemia so zvýš</w:t>
      </w:r>
      <w:r>
        <w:rPr>
          <w:rFonts w:hint="default"/>
        </w:rPr>
        <w:t>ený</w:t>
      </w:r>
      <w:r>
        <w:rPr>
          <w:rFonts w:hint="default"/>
        </w:rPr>
        <w:t>m vý</w:t>
      </w:r>
      <w:r>
        <w:rPr>
          <w:rFonts w:hint="default"/>
        </w:rPr>
        <w:t>skytom radó</w:t>
      </w:r>
      <w:r>
        <w:rPr>
          <w:rFonts w:hint="default"/>
        </w:rPr>
        <w:t>nu</w:t>
      </w:r>
      <w:r w:rsidR="006E6399">
        <w:t>;</w:t>
      </w:r>
      <w:r>
        <w:t xml:space="preserve"> </w:t>
      </w:r>
      <w:r w:rsidR="006E6399">
        <w:t>v</w:t>
      </w:r>
      <w:r>
        <w:rPr>
          <w:rFonts w:hint="default"/>
        </w:rPr>
        <w:t>ymedzenie ú</w:t>
      </w:r>
      <w:r>
        <w:rPr>
          <w:rFonts w:hint="default"/>
        </w:rPr>
        <w:t>zemí</w:t>
      </w:r>
      <w:r>
        <w:rPr>
          <w:rFonts w:hint="default"/>
        </w:rPr>
        <w:t xml:space="preserve"> so zvýš</w:t>
      </w:r>
      <w:r>
        <w:rPr>
          <w:rFonts w:hint="default"/>
        </w:rPr>
        <w:t>ený</w:t>
      </w:r>
      <w:r>
        <w:rPr>
          <w:rFonts w:hint="default"/>
        </w:rPr>
        <w:t>m vý</w:t>
      </w:r>
      <w:r>
        <w:rPr>
          <w:rFonts w:hint="default"/>
        </w:rPr>
        <w:t>skytom radó</w:t>
      </w:r>
      <w:r>
        <w:rPr>
          <w:rFonts w:hint="default"/>
        </w:rPr>
        <w:t>nu umož</w:t>
      </w:r>
      <w:r>
        <w:rPr>
          <w:rFonts w:hint="default"/>
        </w:rPr>
        <w:t>ní</w:t>
      </w:r>
      <w:r>
        <w:rPr>
          <w:rFonts w:hint="default"/>
        </w:rPr>
        <w:t xml:space="preserve"> odô</w:t>
      </w:r>
      <w:r>
        <w:rPr>
          <w:rFonts w:hint="default"/>
        </w:rPr>
        <w:t>vodnené</w:t>
      </w:r>
      <w:r>
        <w:rPr>
          <w:rFonts w:hint="default"/>
        </w:rPr>
        <w:t xml:space="preserve"> uplatnenie pož</w:t>
      </w:r>
      <w:r>
        <w:rPr>
          <w:rFonts w:hint="default"/>
        </w:rPr>
        <w:t>iadaviek, ktoré</w:t>
      </w:r>
      <w:r>
        <w:rPr>
          <w:rFonts w:hint="default"/>
        </w:rPr>
        <w:t xml:space="preserve"> bude </w:t>
      </w:r>
      <w:r>
        <w:rPr>
          <w:rFonts w:hint="default"/>
        </w:rPr>
        <w:t>podlož</w:t>
      </w:r>
      <w:r>
        <w:rPr>
          <w:rFonts w:hint="default"/>
        </w:rPr>
        <w:t>ené</w:t>
      </w:r>
      <w:r>
        <w:rPr>
          <w:rFonts w:hint="default"/>
        </w:rPr>
        <w:t xml:space="preserve"> relevantný</w:t>
      </w:r>
      <w:r>
        <w:rPr>
          <w:rFonts w:hint="default"/>
        </w:rPr>
        <w:t>mi vý</w:t>
      </w:r>
      <w:r>
        <w:rPr>
          <w:rFonts w:hint="default"/>
        </w:rPr>
        <w:t>sledkami a </w:t>
      </w:r>
      <w:r>
        <w:rPr>
          <w:rFonts w:hint="default"/>
        </w:rPr>
        <w:t>merania bude mož</w:t>
      </w:r>
      <w:r>
        <w:rPr>
          <w:rFonts w:hint="default"/>
        </w:rPr>
        <w:t>né</w:t>
      </w:r>
      <w:r>
        <w:rPr>
          <w:rFonts w:hint="default"/>
        </w:rPr>
        <w:t xml:space="preserve"> </w:t>
      </w:r>
      <w:r w:rsidR="006E6399">
        <w:rPr>
          <w:rFonts w:hint="default"/>
        </w:rPr>
        <w:t>vykonať</w:t>
      </w:r>
      <w:r>
        <w:rPr>
          <w:rFonts w:hint="default"/>
        </w:rPr>
        <w:t xml:space="preserve"> len na ú</w:t>
      </w:r>
      <w:r>
        <w:rPr>
          <w:rFonts w:hint="default"/>
        </w:rPr>
        <w:t>zemiach, na ktorý</w:t>
      </w:r>
      <w:r>
        <w:rPr>
          <w:rFonts w:hint="default"/>
        </w:rPr>
        <w:t>ch bude mož</w:t>
      </w:r>
      <w:r>
        <w:rPr>
          <w:rFonts w:hint="default"/>
        </w:rPr>
        <w:t>né</w:t>
      </w:r>
      <w:r>
        <w:rPr>
          <w:rFonts w:hint="default"/>
        </w:rPr>
        <w:t xml:space="preserve"> oč</w:t>
      </w:r>
      <w:r>
        <w:rPr>
          <w:rFonts w:hint="default"/>
        </w:rPr>
        <w:t>aká</w:t>
      </w:r>
      <w:r>
        <w:rPr>
          <w:rFonts w:hint="default"/>
        </w:rPr>
        <w:t>vať</w:t>
      </w:r>
      <w:r>
        <w:rPr>
          <w:rFonts w:hint="default"/>
        </w:rPr>
        <w:t xml:space="preserve"> š</w:t>
      </w:r>
      <w:r>
        <w:rPr>
          <w:rFonts w:hint="default"/>
        </w:rPr>
        <w:t>kodlivý</w:t>
      </w:r>
      <w:r>
        <w:rPr>
          <w:rFonts w:hint="default"/>
        </w:rPr>
        <w:t xml:space="preserve"> vplyv radó</w:t>
      </w:r>
      <w:r>
        <w:rPr>
          <w:rFonts w:hint="default"/>
        </w:rPr>
        <w:t>nu na zdravie pracovní</w:t>
      </w:r>
      <w:r>
        <w:rPr>
          <w:rFonts w:hint="default"/>
        </w:rPr>
        <w:t>kov,</w:t>
      </w:r>
    </w:p>
    <w:p w:rsidR="0015154A" w:rsidRPr="006E6399" w:rsidP="0015154A">
      <w:pPr>
        <w:numPr>
          <w:numId w:val="5"/>
        </w:numPr>
        <w:bidi w:val="0"/>
        <w:jc w:val="both"/>
        <w:rPr>
          <w:bCs/>
        </w:rPr>
      </w:pPr>
      <w:r>
        <w:rPr>
          <w:rFonts w:hint="default"/>
        </w:rPr>
        <w:t>vypracovať</w:t>
      </w:r>
      <w:r>
        <w:rPr>
          <w:rFonts w:hint="default"/>
        </w:rPr>
        <w:t xml:space="preserve"> a </w:t>
      </w:r>
      <w:r>
        <w:rPr>
          <w:rFonts w:hint="default"/>
        </w:rPr>
        <w:t>vykoná</w:t>
      </w:r>
      <w:r>
        <w:rPr>
          <w:rFonts w:hint="default"/>
        </w:rPr>
        <w:t>vať</w:t>
      </w:r>
      <w:r>
        <w:rPr>
          <w:rFonts w:hint="default"/>
        </w:rPr>
        <w:t xml:space="preserve"> ú</w:t>
      </w:r>
      <w:r>
        <w:rPr>
          <w:rFonts w:hint="default"/>
        </w:rPr>
        <w:t>lohy vyplý</w:t>
      </w:r>
      <w:r>
        <w:rPr>
          <w:rFonts w:hint="default"/>
        </w:rPr>
        <w:t>vajú</w:t>
      </w:r>
      <w:r>
        <w:rPr>
          <w:rFonts w:hint="default"/>
        </w:rPr>
        <w:t>ce z </w:t>
      </w:r>
      <w:r w:rsidR="006E6399">
        <w:t>n</w:t>
      </w:r>
      <w:r>
        <w:rPr>
          <w:rFonts w:hint="default"/>
        </w:rPr>
        <w:t>á</w:t>
      </w:r>
      <w:r>
        <w:rPr>
          <w:rFonts w:hint="default"/>
        </w:rPr>
        <w:t>rodné</w:t>
      </w:r>
      <w:r>
        <w:rPr>
          <w:rFonts w:hint="default"/>
        </w:rPr>
        <w:t>ho akč</w:t>
      </w:r>
      <w:r>
        <w:rPr>
          <w:rFonts w:hint="default"/>
        </w:rPr>
        <w:t>né</w:t>
      </w:r>
      <w:r>
        <w:rPr>
          <w:rFonts w:hint="default"/>
        </w:rPr>
        <w:t>ho radó</w:t>
      </w:r>
      <w:r>
        <w:rPr>
          <w:rFonts w:hint="default"/>
        </w:rPr>
        <w:t>nové</w:t>
      </w:r>
      <w:r>
        <w:rPr>
          <w:rFonts w:hint="default"/>
        </w:rPr>
        <w:t>ho plá</w:t>
      </w:r>
      <w:r>
        <w:rPr>
          <w:rFonts w:hint="default"/>
        </w:rPr>
        <w:t>nu; plá</w:t>
      </w:r>
      <w:r>
        <w:rPr>
          <w:rFonts w:hint="default"/>
        </w:rPr>
        <w:t>n bude pripravený</w:t>
      </w:r>
      <w:r>
        <w:rPr>
          <w:rFonts w:hint="default"/>
        </w:rPr>
        <w:t xml:space="preserve"> a </w:t>
      </w:r>
      <w:r>
        <w:rPr>
          <w:rFonts w:hint="default"/>
        </w:rPr>
        <w:t>predlož</w:t>
      </w:r>
      <w:r>
        <w:rPr>
          <w:rFonts w:hint="default"/>
        </w:rPr>
        <w:t>ený</w:t>
      </w:r>
      <w:r>
        <w:rPr>
          <w:rFonts w:hint="default"/>
        </w:rPr>
        <w:t xml:space="preserve"> na schvá</w:t>
      </w:r>
      <w:r>
        <w:rPr>
          <w:rFonts w:hint="default"/>
        </w:rPr>
        <w:t xml:space="preserve">lenie </w:t>
      </w:r>
      <w:r w:rsidR="000F580B">
        <w:rPr>
          <w:rFonts w:hint="default"/>
        </w:rPr>
        <w:t xml:space="preserve"> vlá</w:t>
      </w:r>
      <w:r w:rsidR="000F580B">
        <w:rPr>
          <w:rFonts w:hint="default"/>
        </w:rPr>
        <w:t>dy</w:t>
      </w:r>
      <w:r w:rsidR="000F580B">
        <w:rPr>
          <w:rFonts w:hint="default"/>
        </w:rPr>
        <w:t xml:space="preserve"> Slovenskej republiky </w:t>
      </w:r>
      <w:r w:rsidRPr="006E6399">
        <w:rPr>
          <w:rFonts w:hint="default"/>
        </w:rPr>
        <w:t>ako nelegislatí</w:t>
      </w:r>
      <w:r w:rsidRPr="006E6399">
        <w:rPr>
          <w:rFonts w:hint="default"/>
        </w:rPr>
        <w:t>vny materiá</w:t>
      </w:r>
      <w:r w:rsidRPr="006E6399">
        <w:rPr>
          <w:rFonts w:hint="default"/>
        </w:rPr>
        <w:t>l,</w:t>
      </w:r>
    </w:p>
    <w:p w:rsidR="0015154A" w:rsidRPr="00337CF7" w:rsidP="0015154A">
      <w:pPr>
        <w:pStyle w:val="NormalWeb"/>
        <w:numPr>
          <w:numId w:val="5"/>
        </w:numPr>
        <w:bidi w:val="0"/>
        <w:spacing w:before="0" w:beforeAutospacing="0" w:after="0" w:afterAutospacing="0"/>
        <w:jc w:val="both"/>
        <w:outlineLvl w:val="0"/>
        <w:rPr>
          <w:bCs/>
        </w:rPr>
      </w:pPr>
      <w:r w:rsidRPr="006E6399">
        <w:rPr>
          <w:rFonts w:hint="default"/>
        </w:rPr>
        <w:t>pre poskytovateľ</w:t>
      </w:r>
      <w:r w:rsidRPr="006E6399">
        <w:rPr>
          <w:rFonts w:hint="default"/>
        </w:rPr>
        <w:t>ov registrovanej služ</w:t>
      </w:r>
      <w:r w:rsidRPr="006E6399">
        <w:rPr>
          <w:rFonts w:hint="default"/>
        </w:rPr>
        <w:t>by, ktorí</w:t>
      </w:r>
      <w:r w:rsidRPr="006E6399">
        <w:rPr>
          <w:rFonts w:hint="default"/>
        </w:rPr>
        <w:t xml:space="preserve"> vykoná</w:t>
      </w:r>
      <w:r w:rsidRPr="006E6399">
        <w:rPr>
          <w:rFonts w:hint="default"/>
        </w:rPr>
        <w:t>vajú</w:t>
      </w:r>
      <w:r w:rsidRPr="006E6399">
        <w:rPr>
          <w:rFonts w:hint="default"/>
        </w:rPr>
        <w:t xml:space="preserve"> stanovenie</w:t>
      </w:r>
      <w:r>
        <w:rPr>
          <w:rFonts w:hint="default"/>
        </w:rPr>
        <w:t xml:space="preserve"> rá</w:t>
      </w:r>
      <w:r>
        <w:rPr>
          <w:rFonts w:hint="default"/>
        </w:rPr>
        <w:t>diologický</w:t>
      </w:r>
      <w:r>
        <w:rPr>
          <w:rFonts w:hint="default"/>
        </w:rPr>
        <w:t>ch ukazovateľ</w:t>
      </w:r>
      <w:r>
        <w:rPr>
          <w:rFonts w:hint="default"/>
        </w:rPr>
        <w:t>ov kvality pitnej vody, prí</w:t>
      </w:r>
      <w:r>
        <w:rPr>
          <w:rFonts w:hint="default"/>
        </w:rPr>
        <w:t>rodnej minerá</w:t>
      </w:r>
      <w:r>
        <w:rPr>
          <w:rFonts w:hint="default"/>
        </w:rPr>
        <w:t>lnej vody a </w:t>
      </w:r>
      <w:r>
        <w:rPr>
          <w:rFonts w:hint="default"/>
        </w:rPr>
        <w:t>pramenitej vody, stanovenie obsahu prí</w:t>
      </w:r>
      <w:r>
        <w:rPr>
          <w:rFonts w:hint="default"/>
        </w:rPr>
        <w:t>rodný</w:t>
      </w:r>
      <w:r>
        <w:rPr>
          <w:rFonts w:hint="default"/>
        </w:rPr>
        <w:t>ch rá</w:t>
      </w:r>
      <w:r>
        <w:rPr>
          <w:rFonts w:hint="default"/>
        </w:rPr>
        <w:t>dionuklid</w:t>
      </w:r>
      <w:r>
        <w:rPr>
          <w:rFonts w:hint="default"/>
        </w:rPr>
        <w:t>ov v </w:t>
      </w:r>
      <w:r>
        <w:rPr>
          <w:rFonts w:hint="default"/>
        </w:rPr>
        <w:t>stavebnom materiá</w:t>
      </w:r>
      <w:r>
        <w:rPr>
          <w:rFonts w:hint="default"/>
        </w:rPr>
        <w:t>li, obsahu rá</w:t>
      </w:r>
      <w:r>
        <w:rPr>
          <w:rFonts w:hint="default"/>
        </w:rPr>
        <w:t>dionuklidov v </w:t>
      </w:r>
      <w:r>
        <w:rPr>
          <w:rFonts w:hint="default"/>
        </w:rPr>
        <w:t>zlož</w:t>
      </w:r>
      <w:r>
        <w:rPr>
          <w:rFonts w:hint="default"/>
        </w:rPr>
        <w:t>ká</w:t>
      </w:r>
      <w:r>
        <w:rPr>
          <w:rFonts w:hint="default"/>
        </w:rPr>
        <w:t>ch ž</w:t>
      </w:r>
      <w:r>
        <w:rPr>
          <w:rFonts w:hint="default"/>
        </w:rPr>
        <w:t>ivotné</w:t>
      </w:r>
      <w:r>
        <w:rPr>
          <w:rFonts w:hint="default"/>
        </w:rPr>
        <w:t>ho prostredia, potravinovom reť</w:t>
      </w:r>
      <w:r>
        <w:rPr>
          <w:rFonts w:hint="default"/>
        </w:rPr>
        <w:t>azci a </w:t>
      </w:r>
      <w:r>
        <w:rPr>
          <w:rFonts w:hint="default"/>
        </w:rPr>
        <w:t>iný</w:t>
      </w:r>
      <w:r>
        <w:rPr>
          <w:rFonts w:hint="default"/>
        </w:rPr>
        <w:t>ch materiá</w:t>
      </w:r>
      <w:r>
        <w:rPr>
          <w:rFonts w:hint="default"/>
        </w:rPr>
        <w:t>loch a </w:t>
      </w:r>
      <w:r>
        <w:rPr>
          <w:rFonts w:hint="default"/>
        </w:rPr>
        <w:t>predmetoch na hodnotenie ož</w:t>
      </w:r>
      <w:r>
        <w:rPr>
          <w:rFonts w:hint="default"/>
        </w:rPr>
        <w:t>iarenia osô</w:t>
      </w:r>
      <w:r>
        <w:rPr>
          <w:rFonts w:hint="default"/>
        </w:rPr>
        <w:t>b, stanovenie radó</w:t>
      </w:r>
      <w:r>
        <w:rPr>
          <w:rFonts w:hint="default"/>
        </w:rPr>
        <w:t>nové</w:t>
      </w:r>
      <w:r>
        <w:rPr>
          <w:rFonts w:hint="default"/>
        </w:rPr>
        <w:t>ho indexu pozemku a </w:t>
      </w:r>
      <w:r>
        <w:rPr>
          <w:rFonts w:hint="default"/>
        </w:rPr>
        <w:t>stanovenie ož</w:t>
      </w:r>
      <w:r>
        <w:rPr>
          <w:rFonts w:hint="default"/>
        </w:rPr>
        <w:t>iarenia z </w:t>
      </w:r>
      <w:r>
        <w:rPr>
          <w:rFonts w:hint="default"/>
        </w:rPr>
        <w:t>prí</w:t>
      </w:r>
      <w:r>
        <w:rPr>
          <w:rFonts w:hint="default"/>
        </w:rPr>
        <w:t>rodné</w:t>
      </w:r>
      <w:r>
        <w:rPr>
          <w:rFonts w:hint="default"/>
        </w:rPr>
        <w:t>ho zdroja v stavbe je</w:t>
      </w:r>
      <w:r>
        <w:rPr>
          <w:rFonts w:hint="default"/>
        </w:rPr>
        <w:t xml:space="preserve"> </w:t>
      </w:r>
      <w:r>
        <w:rPr>
          <w:rFonts w:hint="default"/>
        </w:rPr>
        <w:t>v </w:t>
      </w:r>
      <w:r>
        <w:rPr>
          <w:rFonts w:hint="default"/>
        </w:rPr>
        <w:t>ná</w:t>
      </w:r>
      <w:r>
        <w:rPr>
          <w:rFonts w:hint="default"/>
        </w:rPr>
        <w:t>vrhu povinnosť</w:t>
      </w:r>
      <w:r>
        <w:rPr>
          <w:rFonts w:hint="default"/>
        </w:rPr>
        <w:t xml:space="preserve"> vykonať</w:t>
      </w:r>
      <w:r>
        <w:rPr>
          <w:rFonts w:hint="default"/>
        </w:rPr>
        <w:t xml:space="preserve"> raz za </w:t>
      </w:r>
      <w:r w:rsidR="006E6399">
        <w:rPr>
          <w:rFonts w:hint="default"/>
        </w:rPr>
        <w:t>päť</w:t>
      </w:r>
      <w:r>
        <w:rPr>
          <w:rFonts w:hint="default"/>
        </w:rPr>
        <w:t xml:space="preserve"> rokov porovná</w:t>
      </w:r>
      <w:r>
        <w:rPr>
          <w:rFonts w:hint="default"/>
        </w:rPr>
        <w:t>vacie merania. Splnenie uvedenej pož</w:t>
      </w:r>
      <w:r>
        <w:rPr>
          <w:rFonts w:hint="default"/>
        </w:rPr>
        <w:t>iadavky zvýš</w:t>
      </w:r>
      <w:r>
        <w:rPr>
          <w:rFonts w:hint="default"/>
        </w:rPr>
        <w:t>i hodnovernosť</w:t>
      </w:r>
      <w:r>
        <w:rPr>
          <w:rFonts w:hint="default"/>
        </w:rPr>
        <w:t xml:space="preserve"> a </w:t>
      </w:r>
      <w:r>
        <w:rPr>
          <w:rFonts w:hint="default"/>
        </w:rPr>
        <w:t>spoľ</w:t>
      </w:r>
      <w:r>
        <w:rPr>
          <w:rFonts w:hint="default"/>
        </w:rPr>
        <w:t>ahlivosť</w:t>
      </w:r>
      <w:r>
        <w:rPr>
          <w:rFonts w:hint="default"/>
        </w:rPr>
        <w:t xml:space="preserve"> vý</w:t>
      </w:r>
      <w:r>
        <w:rPr>
          <w:rFonts w:hint="default"/>
        </w:rPr>
        <w:t>sledkov, ktoré</w:t>
      </w:r>
      <w:r>
        <w:rPr>
          <w:rFonts w:hint="default"/>
        </w:rPr>
        <w:t xml:space="preserve"> sa použí</w:t>
      </w:r>
      <w:r>
        <w:rPr>
          <w:rFonts w:hint="default"/>
        </w:rPr>
        <w:t>vajú</w:t>
      </w:r>
      <w:r>
        <w:rPr>
          <w:rFonts w:hint="default"/>
        </w:rPr>
        <w:t xml:space="preserve"> na hodnotenie ož</w:t>
      </w:r>
      <w:r>
        <w:rPr>
          <w:rFonts w:hint="default"/>
        </w:rPr>
        <w:t>iarenia obyvateľ</w:t>
      </w:r>
      <w:r>
        <w:rPr>
          <w:rFonts w:hint="default"/>
        </w:rPr>
        <w:t>ov. Finanč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klady na úč</w:t>
      </w:r>
      <w:r>
        <w:rPr>
          <w:rFonts w:hint="default"/>
        </w:rPr>
        <w:t>asť</w:t>
      </w:r>
      <w:r>
        <w:rPr>
          <w:rFonts w:hint="default"/>
        </w:rPr>
        <w:t xml:space="preserve"> v </w:t>
      </w:r>
      <w:r>
        <w:rPr>
          <w:rFonts w:hint="default"/>
        </w:rPr>
        <w:t>porovná</w:t>
      </w:r>
      <w:r>
        <w:rPr>
          <w:rFonts w:hint="default"/>
        </w:rPr>
        <w:t>vací</w:t>
      </w:r>
      <w:r>
        <w:rPr>
          <w:rFonts w:hint="default"/>
        </w:rPr>
        <w:t>ch meraniach nie sú</w:t>
      </w:r>
      <w:r>
        <w:rPr>
          <w:rFonts w:hint="default"/>
        </w:rPr>
        <w:t xml:space="preserve"> vy</w:t>
      </w:r>
      <w:r>
        <w:rPr>
          <w:rFonts w:hint="default"/>
        </w:rPr>
        <w:t>soké</w:t>
      </w:r>
      <w:r>
        <w:rPr>
          <w:rFonts w:hint="default"/>
        </w:rPr>
        <w:t xml:space="preserve"> a nepredstavujú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zvýš</w:t>
      </w:r>
      <w:r>
        <w:rPr>
          <w:rFonts w:hint="default"/>
        </w:rPr>
        <w:t>enie prevá</w:t>
      </w:r>
      <w:r>
        <w:rPr>
          <w:rFonts w:hint="default"/>
        </w:rPr>
        <w:t>dzkovaný</w:t>
      </w:r>
      <w:r>
        <w:rPr>
          <w:rFonts w:hint="default"/>
        </w:rPr>
        <w:t>ch ná</w:t>
      </w:r>
      <w:r>
        <w:rPr>
          <w:rFonts w:hint="default"/>
        </w:rPr>
        <w:t>kladov poskytovateľ</w:t>
      </w:r>
      <w:r>
        <w:rPr>
          <w:rFonts w:hint="default"/>
        </w:rPr>
        <w:t>a registrovanej služ</w:t>
      </w:r>
      <w:r>
        <w:rPr>
          <w:rFonts w:hint="default"/>
        </w:rPr>
        <w:t xml:space="preserve">by. </w:t>
      </w:r>
    </w:p>
    <w:p w:rsidR="0015154A" w:rsidRPr="00352AF6" w:rsidP="0015154A">
      <w:pPr>
        <w:bidi w:val="0"/>
        <w:jc w:val="both"/>
        <w:rPr>
          <w:bCs/>
        </w:rPr>
      </w:pPr>
    </w:p>
    <w:p w:rsidR="0015154A" w:rsidP="0015154A">
      <w:pPr>
        <w:tabs>
          <w:tab w:val="num" w:pos="426"/>
        </w:tabs>
        <w:bidi w:val="0"/>
        <w:jc w:val="both"/>
        <w:rPr>
          <w:bCs/>
        </w:rPr>
      </w:pPr>
    </w:p>
    <w:p w:rsidR="0015154A" w:rsidP="0015154A">
      <w:pPr>
        <w:tabs>
          <w:tab w:val="num" w:pos="426"/>
        </w:tabs>
        <w:bidi w:val="0"/>
        <w:jc w:val="both"/>
        <w:rPr>
          <w:rFonts w:hint="default"/>
          <w:bCs/>
        </w:rPr>
      </w:pPr>
      <w:r>
        <w:rPr>
          <w:bCs/>
        </w:rPr>
        <w:tab/>
      </w:r>
      <w:r>
        <w:rPr>
          <w:bCs/>
        </w:rPr>
        <w:t>Z </w:t>
      </w:r>
      <w:r>
        <w:rPr>
          <w:rFonts w:hint="default"/>
          <w:bCs/>
        </w:rPr>
        <w:t>dô</w:t>
      </w:r>
      <w:r>
        <w:rPr>
          <w:rFonts w:hint="default"/>
          <w:bCs/>
        </w:rPr>
        <w:t xml:space="preserve">vodu </w:t>
      </w:r>
      <w:r w:rsidRPr="00D91F04">
        <w:rPr>
          <w:bCs/>
        </w:rPr>
        <w:t xml:space="preserve">prijatia </w:t>
      </w:r>
      <w:r w:rsidR="006D5141">
        <w:rPr>
          <w:rFonts w:hint="default"/>
          <w:bCs/>
        </w:rPr>
        <w:t>ná</w:t>
      </w:r>
      <w:r w:rsidR="006D5141">
        <w:rPr>
          <w:rFonts w:hint="default"/>
          <w:bCs/>
        </w:rPr>
        <w:t xml:space="preserve">vrhu </w:t>
      </w:r>
      <w:r w:rsidRPr="00D91F04">
        <w:rPr>
          <w:rFonts w:hint="default"/>
          <w:bCs/>
        </w:rPr>
        <w:t>zá</w:t>
      </w:r>
      <w:r w:rsidRPr="00D91F04">
        <w:rPr>
          <w:rFonts w:hint="default"/>
          <w:bCs/>
        </w:rPr>
        <w:t>kona o </w:t>
      </w:r>
      <w:r w:rsidRPr="00D91F04">
        <w:rPr>
          <w:rFonts w:hint="default"/>
          <w:bCs/>
        </w:rPr>
        <w:t>radiač</w:t>
      </w:r>
      <w:r w:rsidRPr="00D91F04">
        <w:rPr>
          <w:rFonts w:hint="default"/>
          <w:bCs/>
        </w:rPr>
        <w:t>nej ochrane</w:t>
      </w:r>
      <w:r>
        <w:rPr>
          <w:bCs/>
        </w:rPr>
        <w:t xml:space="preserve"> o zmene a </w:t>
      </w:r>
      <w:r>
        <w:rPr>
          <w:rFonts w:hint="default"/>
          <w:bCs/>
        </w:rPr>
        <w:t>doplnení</w:t>
      </w:r>
      <w:r>
        <w:rPr>
          <w:rFonts w:hint="default"/>
          <w:bCs/>
        </w:rPr>
        <w:t xml:space="preserve"> niektorý</w:t>
      </w:r>
      <w:r>
        <w:rPr>
          <w:rFonts w:hint="default"/>
          <w:bCs/>
        </w:rPr>
        <w:t>ch zá</w:t>
      </w:r>
      <w:r>
        <w:rPr>
          <w:rFonts w:hint="default"/>
          <w:bCs/>
        </w:rPr>
        <w:t>konov bude potrebné</w:t>
      </w:r>
      <w:r>
        <w:rPr>
          <w:rFonts w:hint="default"/>
          <w:bCs/>
        </w:rPr>
        <w:t xml:space="preserve"> navýš</w:t>
      </w:r>
      <w:r>
        <w:rPr>
          <w:rFonts w:hint="default"/>
          <w:bCs/>
        </w:rPr>
        <w:t>iť</w:t>
      </w:r>
      <w:r>
        <w:rPr>
          <w:rFonts w:hint="default"/>
          <w:bCs/>
        </w:rPr>
        <w:t xml:space="preserve"> poč</w:t>
      </w:r>
      <w:r>
        <w:rPr>
          <w:rFonts w:hint="default"/>
          <w:bCs/>
        </w:rPr>
        <w:t>et pracovný</w:t>
      </w:r>
      <w:r>
        <w:rPr>
          <w:rFonts w:hint="default"/>
          <w:bCs/>
        </w:rPr>
        <w:t>ch miest so š</w:t>
      </w:r>
      <w:r>
        <w:rPr>
          <w:rFonts w:hint="default"/>
          <w:bCs/>
        </w:rPr>
        <w:t>pecializá</w:t>
      </w:r>
      <w:r>
        <w:rPr>
          <w:rFonts w:hint="default"/>
          <w:bCs/>
        </w:rPr>
        <w:t xml:space="preserve">ciou </w:t>
      </w:r>
      <w:r>
        <w:rPr>
          <w:rFonts w:hint="default"/>
          <w:bCs/>
        </w:rPr>
        <w:t>klinický</w:t>
      </w:r>
      <w:r>
        <w:rPr>
          <w:rFonts w:hint="default"/>
          <w:bCs/>
        </w:rPr>
        <w:t xml:space="preserve"> fyzik o</w:t>
      </w:r>
      <w:r w:rsidR="006E6399">
        <w:rPr>
          <w:bCs/>
        </w:rPr>
        <w:t> </w:t>
      </w:r>
      <w:r>
        <w:rPr>
          <w:bCs/>
        </w:rPr>
        <w:t>20</w:t>
      </w:r>
      <w:r w:rsidR="006E6399">
        <w:rPr>
          <w:rFonts w:hint="default"/>
          <w:bCs/>
        </w:rPr>
        <w:t xml:space="preserve"> klinický</w:t>
      </w:r>
      <w:r w:rsidR="006E6399">
        <w:rPr>
          <w:rFonts w:hint="default"/>
          <w:bCs/>
        </w:rPr>
        <w:t>ch fyzikov</w:t>
      </w:r>
      <w:r>
        <w:rPr>
          <w:rFonts w:hint="default"/>
          <w:bCs/>
        </w:rPr>
        <w:t xml:space="preserve"> oproti súč</w:t>
      </w:r>
      <w:r>
        <w:rPr>
          <w:rFonts w:hint="default"/>
          <w:bCs/>
        </w:rPr>
        <w:t>asnosti. V </w:t>
      </w:r>
      <w:r>
        <w:rPr>
          <w:rFonts w:hint="default"/>
          <w:bCs/>
        </w:rPr>
        <w:t>zmysle prá</w:t>
      </w:r>
      <w:r>
        <w:rPr>
          <w:rFonts w:hint="default"/>
          <w:bCs/>
        </w:rPr>
        <w:t>vnych predpisov je pož</w:t>
      </w:r>
      <w:r>
        <w:rPr>
          <w:rFonts w:hint="default"/>
          <w:bCs/>
        </w:rPr>
        <w:t>iadavka zabezpeč</w:t>
      </w:r>
      <w:r>
        <w:rPr>
          <w:rFonts w:hint="default"/>
          <w:bCs/>
        </w:rPr>
        <w:t>iť</w:t>
      </w:r>
      <w:r>
        <w:rPr>
          <w:rFonts w:hint="default"/>
          <w:bCs/>
        </w:rPr>
        <w:t xml:space="preserve"> asi 50 klinický</w:t>
      </w:r>
      <w:r>
        <w:rPr>
          <w:rFonts w:hint="default"/>
          <w:bCs/>
        </w:rPr>
        <w:t>ch fyzikov na Slovensku. Z </w:t>
      </w:r>
      <w:r>
        <w:rPr>
          <w:rFonts w:hint="default"/>
          <w:bCs/>
        </w:rPr>
        <w:t>dô</w:t>
      </w:r>
      <w:r>
        <w:rPr>
          <w:rFonts w:hint="default"/>
          <w:bCs/>
        </w:rPr>
        <w:t>vodu vyšš</w:t>
      </w:r>
      <w:r>
        <w:rPr>
          <w:rFonts w:hint="default"/>
          <w:bCs/>
        </w:rPr>
        <w:t>ieho poč</w:t>
      </w:r>
      <w:r>
        <w:rPr>
          <w:rFonts w:hint="default"/>
          <w:bCs/>
        </w:rPr>
        <w:t>tu rá</w:t>
      </w:r>
      <w:r>
        <w:rPr>
          <w:rFonts w:hint="default"/>
          <w:bCs/>
        </w:rPr>
        <w:t>diodiagnostický</w:t>
      </w:r>
      <w:r>
        <w:rPr>
          <w:rFonts w:hint="default"/>
          <w:bCs/>
        </w:rPr>
        <w:t>ch a </w:t>
      </w:r>
      <w:r>
        <w:rPr>
          <w:rFonts w:hint="default"/>
          <w:bCs/>
        </w:rPr>
        <w:t>rá</w:t>
      </w:r>
      <w:r>
        <w:rPr>
          <w:rFonts w:hint="default"/>
          <w:bCs/>
        </w:rPr>
        <w:t>dioterapeutický</w:t>
      </w:r>
      <w:r>
        <w:rPr>
          <w:rFonts w:hint="default"/>
          <w:bCs/>
        </w:rPr>
        <w:t>ch ú</w:t>
      </w:r>
      <w:r>
        <w:rPr>
          <w:rFonts w:hint="default"/>
          <w:bCs/>
        </w:rPr>
        <w:t>konov, vyšš</w:t>
      </w:r>
      <w:r>
        <w:rPr>
          <w:rFonts w:hint="default"/>
          <w:bCs/>
        </w:rPr>
        <w:t>ieho poč</w:t>
      </w:r>
      <w:r>
        <w:rPr>
          <w:rFonts w:hint="default"/>
          <w:bCs/>
        </w:rPr>
        <w:t>tu pacientov a </w:t>
      </w:r>
      <w:r>
        <w:rPr>
          <w:rFonts w:hint="default"/>
          <w:bCs/>
        </w:rPr>
        <w:t>vyšš</w:t>
      </w:r>
      <w:r>
        <w:rPr>
          <w:rFonts w:hint="default"/>
          <w:bCs/>
        </w:rPr>
        <w:t>ieho poč</w:t>
      </w:r>
      <w:r>
        <w:rPr>
          <w:rFonts w:hint="default"/>
          <w:bCs/>
        </w:rPr>
        <w:t>tu ož</w:t>
      </w:r>
      <w:r>
        <w:rPr>
          <w:rFonts w:hint="default"/>
          <w:bCs/>
        </w:rPr>
        <w:t>iarený</w:t>
      </w:r>
      <w:r>
        <w:rPr>
          <w:rFonts w:hint="default"/>
          <w:bCs/>
        </w:rPr>
        <w:t>ch tehotný</w:t>
      </w:r>
      <w:r>
        <w:rPr>
          <w:rFonts w:hint="default"/>
          <w:bCs/>
        </w:rPr>
        <w:t>ch ž</w:t>
      </w:r>
      <w:r>
        <w:rPr>
          <w:rFonts w:hint="default"/>
          <w:bCs/>
        </w:rPr>
        <w:t>ien, pri ktorý</w:t>
      </w:r>
      <w:r>
        <w:rPr>
          <w:rFonts w:hint="default"/>
          <w:bCs/>
        </w:rPr>
        <w:t>ch je potrebné</w:t>
      </w:r>
      <w:r>
        <w:rPr>
          <w:rFonts w:hint="default"/>
          <w:bCs/>
        </w:rPr>
        <w:t xml:space="preserve"> posú</w:t>
      </w:r>
      <w:r>
        <w:rPr>
          <w:rFonts w:hint="default"/>
          <w:bCs/>
        </w:rPr>
        <w:t>diť</w:t>
      </w:r>
      <w:r>
        <w:rPr>
          <w:rFonts w:hint="default"/>
          <w:bCs/>
        </w:rPr>
        <w:t xml:space="preserve"> riziko z </w:t>
      </w:r>
      <w:r>
        <w:rPr>
          <w:rFonts w:hint="default"/>
          <w:bCs/>
        </w:rPr>
        <w:t>ož</w:t>
      </w:r>
      <w:r>
        <w:rPr>
          <w:rFonts w:hint="default"/>
          <w:bCs/>
        </w:rPr>
        <w:t>iarenia, je potrebné</w:t>
      </w:r>
      <w:r>
        <w:rPr>
          <w:rFonts w:hint="default"/>
          <w:bCs/>
        </w:rPr>
        <w:t xml:space="preserve"> navýš</w:t>
      </w:r>
      <w:r>
        <w:rPr>
          <w:rFonts w:hint="default"/>
          <w:bCs/>
        </w:rPr>
        <w:t>iť</w:t>
      </w:r>
      <w:r>
        <w:rPr>
          <w:rFonts w:hint="default"/>
          <w:bCs/>
        </w:rPr>
        <w:t xml:space="preserve"> poč</w:t>
      </w:r>
      <w:r>
        <w:rPr>
          <w:rFonts w:hint="default"/>
          <w:bCs/>
        </w:rPr>
        <w:t>et klinický</w:t>
      </w:r>
      <w:r>
        <w:rPr>
          <w:rFonts w:hint="default"/>
          <w:bCs/>
        </w:rPr>
        <w:t xml:space="preserve">ch fyzikov o 20.  </w:t>
      </w:r>
    </w:p>
    <w:p w:rsidR="00BA6726" w:rsidP="00BA6726">
      <w:pPr>
        <w:tabs>
          <w:tab w:val="num" w:pos="426"/>
        </w:tabs>
        <w:bidi w:val="0"/>
        <w:spacing w:line="276" w:lineRule="auto"/>
        <w:jc w:val="both"/>
        <w:rPr>
          <w:bCs/>
        </w:rPr>
      </w:pPr>
      <w:r w:rsidR="004D5DB7">
        <w:rPr>
          <w:bCs/>
        </w:rPr>
        <w:br w:type="page"/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E3363B" w:rsidRPr="00440CC5" w:rsidP="00E3363B">
            <w:pPr>
              <w:bidi w:val="0"/>
              <w:jc w:val="center"/>
              <w:rPr>
                <w:b/>
                <w:szCs w:val="20"/>
              </w:rPr>
            </w:pPr>
            <w:r w:rsidR="00BA6726">
              <w:rPr>
                <w:bCs/>
              </w:rPr>
              <w:t xml:space="preserve"> </w:t>
            </w:r>
            <w:r w:rsidRPr="00440CC5">
              <w:rPr>
                <w:rFonts w:hint="default"/>
                <w:b/>
                <w:sz w:val="28"/>
                <w:szCs w:val="20"/>
              </w:rPr>
              <w:t>Analý</w:t>
            </w:r>
            <w:r w:rsidRPr="00440CC5">
              <w:rPr>
                <w:rFonts w:hint="default"/>
                <w:b/>
                <w:sz w:val="28"/>
                <w:szCs w:val="20"/>
              </w:rPr>
              <w:t>za vplyvov na podnikateľ</w:t>
            </w:r>
            <w:r w:rsidRPr="00440CC5">
              <w:rPr>
                <w:rFonts w:hint="default"/>
                <w:b/>
                <w:sz w:val="28"/>
                <w:szCs w:val="20"/>
              </w:rPr>
              <w:t>ské</w:t>
            </w:r>
            <w:r w:rsidRPr="00440CC5">
              <w:rPr>
                <w:rFonts w:hint="default"/>
                <w:b/>
                <w:sz w:val="28"/>
                <w:szCs w:val="20"/>
              </w:rPr>
              <w:t xml:space="preserve"> prostredie </w:t>
            </w:r>
          </w:p>
          <w:p w:rsidR="00E3363B" w:rsidRPr="00440CC5" w:rsidP="00E3363B">
            <w:pPr>
              <w:bidi w:val="0"/>
              <w:jc w:val="center"/>
              <w:rPr>
                <w:b/>
                <w:sz w:val="20"/>
                <w:szCs w:val="20"/>
              </w:rPr>
            </w:pPr>
            <w:r w:rsidRPr="00440CC5">
              <w:rPr>
                <w:rFonts w:hint="default"/>
                <w:b/>
                <w:szCs w:val="20"/>
              </w:rPr>
              <w:t>(vrá</w:t>
            </w:r>
            <w:r w:rsidRPr="00440CC5">
              <w:rPr>
                <w:rFonts w:hint="default"/>
                <w:b/>
                <w:szCs w:val="20"/>
              </w:rPr>
              <w:t>tane testu 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E3363B" w:rsidRPr="00440CC5" w:rsidP="00E3363B">
            <w:pPr>
              <w:bidi w:val="0"/>
              <w:rPr>
                <w:rFonts w:hint="default"/>
                <w:b/>
                <w:szCs w:val="20"/>
              </w:rPr>
            </w:pPr>
            <w:r w:rsidRPr="00440CC5">
              <w:rPr>
                <w:rFonts w:hint="default"/>
                <w:b/>
                <w:szCs w:val="20"/>
              </w:rPr>
              <w:t>Materiá</w:t>
            </w:r>
            <w:r w:rsidRPr="00440CC5">
              <w:rPr>
                <w:rFonts w:hint="default"/>
                <w:b/>
                <w:szCs w:val="20"/>
              </w:rPr>
              <w:t>l bude mať</w:t>
            </w:r>
            <w:r w:rsidRPr="00440CC5">
              <w:rPr>
                <w:rFonts w:hint="default"/>
                <w:b/>
                <w:szCs w:val="20"/>
              </w:rPr>
              <w:t xml:space="preserve"> vplyv s </w:t>
            </w:r>
            <w:r w:rsidRPr="00440CC5">
              <w:rPr>
                <w:rFonts w:hint="default"/>
                <w:b/>
                <w:szCs w:val="20"/>
              </w:rPr>
              <w:t>ohľ</w:t>
            </w:r>
            <w:r w:rsidRPr="00440CC5">
              <w:rPr>
                <w:rFonts w:hint="default"/>
                <w:b/>
                <w:szCs w:val="20"/>
              </w:rPr>
              <w:t>adom na veľ</w:t>
            </w:r>
            <w:r w:rsidRPr="00440CC5">
              <w:rPr>
                <w:rFonts w:hint="default"/>
                <w:b/>
                <w:szCs w:val="20"/>
              </w:rPr>
              <w:t>kostnú</w:t>
            </w:r>
            <w:r w:rsidRPr="00440CC5">
              <w:rPr>
                <w:rFonts w:hint="default"/>
                <w:b/>
                <w:szCs w:val="20"/>
              </w:rPr>
              <w:t xml:space="preserve"> kategó</w:t>
            </w:r>
            <w:r w:rsidRPr="00440CC5">
              <w:rPr>
                <w:rFonts w:hint="default"/>
                <w:b/>
                <w:szCs w:val="20"/>
              </w:rPr>
              <w:t>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E3363B" w:rsidRPr="00440CC5" w:rsidP="00E3363B">
                  <w:pPr>
                    <w:bidi w:val="0"/>
                    <w:jc w:val="center"/>
                    <w:rPr>
                      <w:sz w:val="20"/>
                      <w:szCs w:val="20"/>
                    </w:rPr>
                  </w:pPr>
                  <w:r w:rsidRPr="00440CC5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E3363B" w:rsidRPr="00440CC5" w:rsidP="00E3363B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  <w:r w:rsidRPr="00440CC5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E3363B" w:rsidRPr="00440CC5" w:rsidP="00E3363B">
                  <w:pPr>
                    <w:bidi w:val="0"/>
                    <w:jc w:val="center"/>
                    <w:rPr>
                      <w:sz w:val="20"/>
                      <w:szCs w:val="20"/>
                    </w:rPr>
                  </w:pPr>
                  <w:r w:rsidRPr="00440CC5" w:rsidR="0080670F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E3363B" w:rsidRPr="00440CC5" w:rsidP="00E3363B">
                  <w:pPr>
                    <w:bidi w:val="0"/>
                    <w:rPr>
                      <w:rFonts w:hint="default"/>
                      <w:b/>
                      <w:sz w:val="20"/>
                      <w:szCs w:val="20"/>
                    </w:rPr>
                  </w:pPr>
                  <w:r w:rsidRPr="00440CC5">
                    <w:rPr>
                      <w:rFonts w:hint="default"/>
                      <w:b/>
                      <w:sz w:val="20"/>
                      <w:szCs w:val="20"/>
                    </w:rPr>
                    <w:t>iba na veľ</w:t>
                  </w:r>
                  <w:r w:rsidRPr="00440CC5">
                    <w:rPr>
                      <w:rFonts w:hint="default"/>
                      <w:b/>
                      <w:sz w:val="20"/>
                      <w:szCs w:val="20"/>
                    </w:rPr>
                    <w:t>ké</w:t>
                  </w:r>
                  <w:r w:rsidRPr="00440CC5">
                    <w:rPr>
                      <w:rFonts w:hint="default"/>
                      <w:b/>
                      <w:sz w:val="20"/>
                      <w:szCs w:val="20"/>
                    </w:rPr>
                    <w:t xml:space="preserve">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E3363B" w:rsidRPr="00440CC5" w:rsidP="00E3363B">
                  <w:pPr>
                    <w:bidi w:val="0"/>
                    <w:jc w:val="center"/>
                    <w:rPr>
                      <w:sz w:val="20"/>
                      <w:szCs w:val="20"/>
                    </w:rPr>
                  </w:pPr>
                  <w:r w:rsidR="00DF7DCF">
                    <w:rPr>
                      <w:rFonts w:ascii="MS Mincho" w:hAnsi="MS Mincho" w:cs="MS Minch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E3363B" w:rsidRPr="00440CC5" w:rsidP="00E3363B">
                  <w:pPr>
                    <w:bidi w:val="0"/>
                    <w:rPr>
                      <w:sz w:val="20"/>
                      <w:szCs w:val="20"/>
                    </w:rPr>
                  </w:pPr>
                  <w:r w:rsidRPr="00440CC5">
                    <w:rPr>
                      <w:rFonts w:hint="default"/>
                      <w:b/>
                      <w:sz w:val="20"/>
                      <w:szCs w:val="20"/>
                    </w:rPr>
                    <w:t>na vš</w:t>
                  </w:r>
                  <w:r w:rsidRPr="00440CC5">
                    <w:rPr>
                      <w:rFonts w:hint="default"/>
                      <w:b/>
                      <w:sz w:val="20"/>
                      <w:szCs w:val="20"/>
                    </w:rPr>
                    <w:t>etky kategó</w:t>
                  </w:r>
                  <w:r w:rsidRPr="00440CC5">
                    <w:rPr>
                      <w:rFonts w:hint="default"/>
                      <w:b/>
                      <w:sz w:val="20"/>
                      <w:szCs w:val="20"/>
                    </w:rPr>
                    <w:t>rie podnikov</w:t>
                  </w:r>
                </w:p>
              </w:tc>
            </w:tr>
          </w:tbl>
          <w:p w:rsidR="00E3363B" w:rsidRPr="00440CC5" w:rsidP="00E3363B">
            <w:pPr>
              <w:bidi w:val="0"/>
              <w:rPr>
                <w:b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E3363B" w:rsidRPr="00440CC5" w:rsidP="00E3363B">
            <w:pPr>
              <w:bidi w:val="0"/>
              <w:rPr>
                <w:rFonts w:hint="default"/>
                <w:b/>
                <w:szCs w:val="20"/>
              </w:rPr>
            </w:pPr>
            <w:r w:rsidRPr="00440CC5">
              <w:rPr>
                <w:rFonts w:hint="default"/>
                <w:b/>
                <w:szCs w:val="20"/>
              </w:rPr>
              <w:t>3.1 Dotknuté</w:t>
            </w:r>
            <w:r w:rsidRPr="00440CC5">
              <w:rPr>
                <w:rFonts w:hint="default"/>
                <w:b/>
                <w:szCs w:val="20"/>
              </w:rPr>
              <w:t xml:space="preserve"> podnikateľ</w:t>
            </w:r>
            <w:r w:rsidRPr="00440CC5">
              <w:rPr>
                <w:rFonts w:hint="default"/>
                <w:b/>
                <w:szCs w:val="20"/>
              </w:rPr>
              <w:t>ské</w:t>
            </w:r>
            <w:r w:rsidRPr="00440CC5">
              <w:rPr>
                <w:rFonts w:hint="default"/>
                <w:b/>
                <w:szCs w:val="20"/>
              </w:rPr>
              <w:t xml:space="preserve"> subjekty</w:t>
            </w:r>
          </w:p>
          <w:p w:rsidR="00E3363B" w:rsidRPr="00440CC5" w:rsidP="00E3363B">
            <w:pPr>
              <w:bidi w:val="0"/>
              <w:ind w:left="284"/>
              <w:rPr>
                <w:b/>
                <w:sz w:val="20"/>
                <w:szCs w:val="20"/>
              </w:rPr>
            </w:pPr>
            <w:r w:rsidRPr="00440CC5">
              <w:rPr>
                <w:szCs w:val="20"/>
              </w:rPr>
              <w:t xml:space="preserve"> - </w:t>
            </w:r>
            <w:r w:rsidRPr="00440CC5">
              <w:rPr>
                <w:b/>
                <w:szCs w:val="20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440CC5" w:rsidP="00E3363B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Uveď</w:t>
            </w:r>
            <w:r w:rsidRPr="00440CC5">
              <w:rPr>
                <w:rFonts w:hint="default"/>
                <w:i/>
                <w:sz w:val="20"/>
                <w:szCs w:val="20"/>
              </w:rPr>
              <w:t>te, aké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podnikateľ</w:t>
            </w:r>
            <w:r w:rsidRPr="00440CC5">
              <w:rPr>
                <w:rFonts w:hint="default"/>
                <w:i/>
                <w:sz w:val="20"/>
                <w:szCs w:val="20"/>
              </w:rPr>
              <w:t>ské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subjekty budú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predkladaný</w:t>
            </w:r>
            <w:r w:rsidRPr="00440CC5">
              <w:rPr>
                <w:rFonts w:hint="default"/>
                <w:i/>
                <w:sz w:val="20"/>
                <w:szCs w:val="20"/>
              </w:rPr>
              <w:t>m ná</w:t>
            </w:r>
            <w:r w:rsidRPr="00440CC5">
              <w:rPr>
                <w:rFonts w:hint="default"/>
                <w:i/>
                <w:sz w:val="20"/>
                <w:szCs w:val="20"/>
              </w:rPr>
              <w:t>vrhom ovplyvnené.</w:t>
            </w:r>
          </w:p>
          <w:p w:rsidR="00E3363B" w:rsidRPr="00440CC5" w:rsidP="00E3363B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Aký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je ich poč</w:t>
            </w:r>
            <w:r w:rsidRPr="00440CC5">
              <w:rPr>
                <w:rFonts w:hint="default"/>
                <w:i/>
                <w:sz w:val="20"/>
                <w:szCs w:val="20"/>
              </w:rPr>
              <w:t>et?</w:t>
            </w:r>
          </w:p>
        </w:tc>
      </w:tr>
      <w:tr>
        <w:tblPrEx>
          <w:tblW w:w="0" w:type="auto"/>
          <w:tblLook w:val="04A0"/>
        </w:tblPrEx>
        <w:trPr>
          <w:trHeight w:val="8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  <w:r w:rsidRPr="00377BCA">
              <w:rPr>
                <w:rFonts w:hint="default"/>
              </w:rPr>
              <w:t>Predkladaný</w:t>
            </w:r>
            <w:r w:rsidRPr="00377BCA">
              <w:rPr>
                <w:rFonts w:hint="default"/>
              </w:rPr>
              <w:t xml:space="preserve"> ná</w:t>
            </w:r>
            <w:r w:rsidRPr="00377BCA">
              <w:rPr>
                <w:rFonts w:hint="default"/>
              </w:rPr>
              <w:t>vrh</w:t>
            </w:r>
            <w:r w:rsidR="007D1264">
              <w:rPr>
                <w:rFonts w:hint="default"/>
              </w:rPr>
              <w:t xml:space="preserve"> zá</w:t>
            </w:r>
            <w:r w:rsidR="007D1264">
              <w:rPr>
                <w:rFonts w:hint="default"/>
              </w:rPr>
              <w:t>kona</w:t>
            </w:r>
            <w:r w:rsidRPr="00377BCA">
              <w:rPr>
                <w:rFonts w:hint="default"/>
              </w:rPr>
              <w:t xml:space="preserve"> sa dotý</w:t>
            </w:r>
            <w:r w:rsidRPr="00377BCA">
              <w:rPr>
                <w:rFonts w:hint="default"/>
              </w:rPr>
              <w:t>ka vš</w:t>
            </w:r>
            <w:r w:rsidRPr="00377BCA">
              <w:rPr>
                <w:rFonts w:hint="default"/>
              </w:rPr>
              <w:t>etký</w:t>
            </w:r>
            <w:r w:rsidRPr="00377BCA">
              <w:rPr>
                <w:rFonts w:hint="default"/>
              </w:rPr>
              <w:t>ch subjektov využí</w:t>
            </w:r>
            <w:r w:rsidRPr="00377BCA">
              <w:rPr>
                <w:rFonts w:hint="default"/>
              </w:rPr>
              <w:t>vajú</w:t>
            </w:r>
            <w:r w:rsidRPr="00377BCA">
              <w:rPr>
                <w:rFonts w:hint="default"/>
              </w:rPr>
              <w:t>cich zdroje ionizujú</w:t>
            </w:r>
            <w:r w:rsidRPr="00377BCA">
              <w:rPr>
                <w:rFonts w:hint="default"/>
              </w:rPr>
              <w:t>ceho ž</w:t>
            </w:r>
            <w:r w:rsidRPr="00377BCA">
              <w:rPr>
                <w:rFonts w:hint="default"/>
              </w:rPr>
              <w:t>iarenia. Uvedený</w:t>
            </w:r>
            <w:r w:rsidRPr="00377BCA">
              <w:rPr>
                <w:rFonts w:hint="default"/>
              </w:rPr>
              <w:t xml:space="preserve"> rež</w:t>
            </w:r>
            <w:r w:rsidRPr="00377BCA">
              <w:rPr>
                <w:rFonts w:hint="default"/>
              </w:rPr>
              <w:t>im oproti platnej legislatí</w:t>
            </w:r>
            <w:r w:rsidRPr="00377BCA">
              <w:rPr>
                <w:rFonts w:hint="default"/>
              </w:rPr>
              <w:t>ve nesprí</w:t>
            </w:r>
            <w:r w:rsidRPr="00377BCA">
              <w:rPr>
                <w:rFonts w:hint="default"/>
              </w:rPr>
              <w:t>sň</w:t>
            </w:r>
            <w:r w:rsidRPr="00377BCA">
              <w:rPr>
                <w:rFonts w:hint="default"/>
              </w:rPr>
              <w:t>uje a </w:t>
            </w:r>
            <w:r w:rsidRPr="00377BCA">
              <w:rPr>
                <w:rFonts w:hint="default"/>
              </w:rPr>
              <w:t>nová</w:t>
            </w:r>
            <w:r w:rsidRPr="00377BCA">
              <w:rPr>
                <w:rFonts w:hint="default"/>
              </w:rPr>
              <w:t xml:space="preserve"> kategó</w:t>
            </w:r>
            <w:r w:rsidRPr="00377BCA">
              <w:rPr>
                <w:rFonts w:hint="default"/>
              </w:rPr>
              <w:t>ria registrá</w:t>
            </w:r>
            <w:r w:rsidRPr="00377BCA">
              <w:rPr>
                <w:rFonts w:hint="default"/>
              </w:rPr>
              <w:t>cia bola zavedená</w:t>
            </w:r>
            <w:r w:rsidRPr="00377BCA">
              <w:rPr>
                <w:rFonts w:hint="default"/>
              </w:rPr>
              <w:t xml:space="preserve"> na zjednoduš</w:t>
            </w:r>
            <w:r w:rsidRPr="00377BCA">
              <w:rPr>
                <w:rFonts w:hint="default"/>
              </w:rPr>
              <w:t>enie komuniká</w:t>
            </w:r>
            <w:r w:rsidRPr="00377BCA">
              <w:rPr>
                <w:rFonts w:hint="default"/>
              </w:rPr>
              <w:t>cie medzi podnikateľ</w:t>
            </w:r>
            <w:r w:rsidRPr="00377BCA">
              <w:rPr>
                <w:rFonts w:hint="default"/>
              </w:rPr>
              <w:t>ský</w:t>
            </w:r>
            <w:r w:rsidRPr="00377BCA">
              <w:rPr>
                <w:rFonts w:hint="default"/>
              </w:rPr>
              <w:t>m subjektom a </w:t>
            </w:r>
            <w:r w:rsidRPr="00377BCA">
              <w:rPr>
                <w:rFonts w:hint="default"/>
              </w:rPr>
              <w:t>prí</w:t>
            </w:r>
            <w:r w:rsidRPr="00377BCA">
              <w:rPr>
                <w:rFonts w:hint="default"/>
              </w:rPr>
              <w:t>sluš</w:t>
            </w:r>
            <w:r w:rsidRPr="00377BCA">
              <w:rPr>
                <w:rFonts w:hint="default"/>
              </w:rPr>
              <w:t>ný</w:t>
            </w:r>
            <w:r w:rsidRPr="00377BCA">
              <w:rPr>
                <w:rFonts w:hint="default"/>
              </w:rPr>
              <w:t>m orgá</w:t>
            </w:r>
            <w:r w:rsidRPr="00377BCA">
              <w:rPr>
                <w:rFonts w:hint="default"/>
              </w:rPr>
              <w:t>nom radiač</w:t>
            </w:r>
            <w:r w:rsidRPr="00377BCA">
              <w:rPr>
                <w:rFonts w:hint="default"/>
              </w:rPr>
              <w:t xml:space="preserve">nej ochrany. Zavedenie </w:t>
            </w:r>
            <w:r w:rsidR="003C57E5">
              <w:rPr>
                <w:rFonts w:hint="default"/>
              </w:rPr>
              <w:t>sprá</w:t>
            </w:r>
            <w:r w:rsidR="003C57E5">
              <w:rPr>
                <w:rFonts w:hint="default"/>
              </w:rPr>
              <w:t>vnych</w:t>
            </w:r>
            <w:r w:rsidRPr="00377BCA">
              <w:rPr>
                <w:rFonts w:hint="default"/>
              </w:rPr>
              <w:t xml:space="preserve"> poplatkov registrovaný</w:t>
            </w:r>
            <w:r w:rsidRPr="00377BCA">
              <w:rPr>
                <w:rFonts w:hint="default"/>
              </w:rPr>
              <w:t>ch subjektov nepredstavuje zvýš</w:t>
            </w:r>
            <w:r w:rsidRPr="00377BCA">
              <w:rPr>
                <w:rFonts w:hint="default"/>
              </w:rPr>
              <w:t>enie finanč</w:t>
            </w:r>
            <w:r w:rsidRPr="00377BCA">
              <w:rPr>
                <w:rFonts w:hint="default"/>
              </w:rPr>
              <w:t>ný</w:t>
            </w:r>
            <w:r w:rsidRPr="00377BCA">
              <w:rPr>
                <w:rFonts w:hint="default"/>
              </w:rPr>
              <w:t>ch ná</w:t>
            </w:r>
            <w:r w:rsidRPr="00377BCA">
              <w:rPr>
                <w:rFonts w:hint="default"/>
              </w:rPr>
              <w:t>kladov pre ž</w:t>
            </w:r>
            <w:r w:rsidRPr="00377BCA">
              <w:rPr>
                <w:rFonts w:hint="default"/>
              </w:rPr>
              <w:t>iadateľ</w:t>
            </w:r>
            <w:r w:rsidRPr="00377BCA">
              <w:rPr>
                <w:rFonts w:hint="default"/>
              </w:rPr>
              <w:t>a oproti platnej prá</w:t>
            </w:r>
            <w:r w:rsidRPr="00377BCA">
              <w:rPr>
                <w:rFonts w:hint="default"/>
              </w:rPr>
              <w:t>vnej ú</w:t>
            </w:r>
            <w:r w:rsidRPr="00377BCA">
              <w:rPr>
                <w:rFonts w:hint="default"/>
              </w:rPr>
              <w:t>prave.</w:t>
            </w: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  <w:r w:rsidRPr="00377BCA">
              <w:rPr>
                <w:rFonts w:hint="default"/>
              </w:rPr>
              <w:t>Povolenia vydané</w:t>
            </w:r>
            <w:r w:rsidRPr="00377BCA">
              <w:rPr>
                <w:rFonts w:hint="default"/>
              </w:rPr>
              <w:t xml:space="preserve"> podľ</w:t>
            </w:r>
            <w:r w:rsidRPr="00377BCA">
              <w:rPr>
                <w:rFonts w:hint="default"/>
              </w:rPr>
              <w:t xml:space="preserve">a </w:t>
            </w:r>
            <w:r>
              <w:rPr>
                <w:rFonts w:hint="default"/>
              </w:rPr>
              <w:t>platný</w:t>
            </w:r>
            <w:r>
              <w:rPr>
                <w:rFonts w:hint="default"/>
              </w:rPr>
              <w:t>ch prá</w:t>
            </w:r>
            <w:r>
              <w:rPr>
                <w:rFonts w:hint="default"/>
              </w:rPr>
              <w:t>vn</w:t>
            </w:r>
            <w:r>
              <w:rPr>
                <w:rFonts w:hint="default"/>
              </w:rPr>
              <w:t>ych</w:t>
            </w:r>
            <w:r w:rsidRPr="00377BCA">
              <w:rPr>
                <w:rFonts w:hint="default"/>
              </w:rPr>
              <w:t xml:space="preserve"> predpisov sú</w:t>
            </w:r>
            <w:r w:rsidRPr="00377BCA">
              <w:rPr>
                <w:rFonts w:hint="default"/>
              </w:rPr>
              <w:t xml:space="preserve"> vydané</w:t>
            </w:r>
            <w:r w:rsidRPr="00377BCA">
              <w:rPr>
                <w:rFonts w:hint="default"/>
              </w:rPr>
              <w:t xml:space="preserve"> na neurč</w:t>
            </w:r>
            <w:r w:rsidRPr="00377BCA">
              <w:rPr>
                <w:rFonts w:hint="default"/>
              </w:rPr>
              <w:t>itý</w:t>
            </w:r>
            <w:r w:rsidRPr="00377BCA">
              <w:rPr>
                <w:rFonts w:hint="default"/>
              </w:rPr>
              <w:t xml:space="preserve"> č</w:t>
            </w:r>
            <w:r w:rsidRPr="00377BCA">
              <w:rPr>
                <w:rFonts w:hint="default"/>
              </w:rPr>
              <w:t xml:space="preserve">as. </w:t>
            </w: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  <w:r w:rsidRPr="00377BCA">
              <w:rPr>
                <w:rFonts w:hint="default"/>
              </w:rPr>
              <w:t>Prevá</w:t>
            </w:r>
            <w:r w:rsidRPr="00377BCA">
              <w:rPr>
                <w:rFonts w:hint="default"/>
              </w:rPr>
              <w:t>dzkovatelia celotelový</w:t>
            </w:r>
            <w:r w:rsidRPr="00377BCA">
              <w:rPr>
                <w:rFonts w:hint="default"/>
              </w:rPr>
              <w:t>ch denzitometrov budú</w:t>
            </w:r>
            <w:r w:rsidRPr="00377BCA">
              <w:rPr>
                <w:rFonts w:hint="default"/>
              </w:rPr>
              <w:t xml:space="preserve"> musieť</w:t>
            </w:r>
            <w:r w:rsidRPr="00377BCA">
              <w:rPr>
                <w:rFonts w:hint="default"/>
              </w:rPr>
              <w:t xml:space="preserve"> pož</w:t>
            </w:r>
            <w:r w:rsidRPr="00377BCA">
              <w:rPr>
                <w:rFonts w:hint="default"/>
              </w:rPr>
              <w:t>iadať</w:t>
            </w:r>
            <w:r w:rsidRPr="00377BCA">
              <w:rPr>
                <w:rFonts w:hint="default"/>
              </w:rPr>
              <w:t xml:space="preserve"> o </w:t>
            </w:r>
            <w:r w:rsidRPr="00377BCA">
              <w:rPr>
                <w:rFonts w:hint="default"/>
              </w:rPr>
              <w:t>registrá</w:t>
            </w:r>
            <w:r w:rsidRPr="00377BCA">
              <w:rPr>
                <w:rFonts w:hint="default"/>
              </w:rPr>
              <w:t>ciu v </w:t>
            </w:r>
            <w:r w:rsidRPr="00377BCA">
              <w:rPr>
                <w:rFonts w:hint="default"/>
              </w:rPr>
              <w:t>termí</w:t>
            </w:r>
            <w:r w:rsidRPr="00377BCA">
              <w:rPr>
                <w:rFonts w:hint="default"/>
              </w:rPr>
              <w:t>ne najneskô</w:t>
            </w:r>
            <w:r w:rsidRPr="00377BCA">
              <w:rPr>
                <w:rFonts w:hint="default"/>
              </w:rPr>
              <w:t>r do 31.12.2019.</w:t>
            </w: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  <w:r w:rsidRPr="00377BCA">
              <w:rPr>
                <w:rFonts w:hint="default"/>
              </w:rPr>
              <w:t>Predkladaný</w:t>
            </w:r>
            <w:r w:rsidRPr="00377BCA">
              <w:rPr>
                <w:rFonts w:hint="default"/>
              </w:rPr>
              <w:t xml:space="preserve"> </w:t>
            </w:r>
            <w:r w:rsidR="00274748">
              <w:rPr>
                <w:rFonts w:hint="default"/>
              </w:rPr>
              <w:t>ná</w:t>
            </w:r>
            <w:r w:rsidR="00274748">
              <w:rPr>
                <w:rFonts w:hint="default"/>
              </w:rPr>
              <w:t>vrh zá</w:t>
            </w:r>
            <w:r w:rsidR="00274748">
              <w:rPr>
                <w:rFonts w:hint="default"/>
              </w:rPr>
              <w:t xml:space="preserve">kona </w:t>
            </w:r>
            <w:r w:rsidRPr="00377BCA">
              <w:rPr>
                <w:rFonts w:hint="default"/>
              </w:rPr>
              <w:t>predstavuje zvýš</w:t>
            </w:r>
            <w:r w:rsidRPr="00377BCA">
              <w:rPr>
                <w:rFonts w:hint="default"/>
              </w:rPr>
              <w:t>enie finanč</w:t>
            </w:r>
            <w:r w:rsidRPr="00377BCA">
              <w:rPr>
                <w:rFonts w:hint="default"/>
              </w:rPr>
              <w:t>ný</w:t>
            </w:r>
            <w:r w:rsidRPr="00377BCA">
              <w:rPr>
                <w:rFonts w:hint="default"/>
              </w:rPr>
              <w:t>ch ná</w:t>
            </w:r>
            <w:r w:rsidRPr="00377BCA">
              <w:rPr>
                <w:rFonts w:hint="default"/>
              </w:rPr>
              <w:t>kladov na zabezpeč</w:t>
            </w:r>
            <w:r w:rsidRPr="00377BCA">
              <w:rPr>
                <w:rFonts w:hint="default"/>
              </w:rPr>
              <w:t>enie osobitné</w:t>
            </w:r>
            <w:r w:rsidRPr="00377BCA">
              <w:rPr>
                <w:rFonts w:hint="default"/>
              </w:rPr>
              <w:t>ho monit</w:t>
            </w:r>
            <w:r w:rsidRPr="00377BCA">
              <w:rPr>
                <w:rFonts w:hint="default"/>
              </w:rPr>
              <w:t>orovania dá</w:t>
            </w:r>
            <w:r w:rsidRPr="00377BCA">
              <w:rPr>
                <w:rFonts w:hint="default"/>
              </w:rPr>
              <w:t>vok v </w:t>
            </w:r>
            <w:r w:rsidRPr="00377BCA">
              <w:rPr>
                <w:rFonts w:hint="default"/>
              </w:rPr>
              <w:t>oč</w:t>
            </w:r>
            <w:r w:rsidRPr="00377BCA">
              <w:rPr>
                <w:rFonts w:hint="default"/>
              </w:rPr>
              <w:t>nej š</w:t>
            </w:r>
            <w:r w:rsidRPr="00377BCA">
              <w:rPr>
                <w:rFonts w:hint="default"/>
              </w:rPr>
              <w:t>oš</w:t>
            </w:r>
            <w:r w:rsidRPr="00377BCA">
              <w:rPr>
                <w:rFonts w:hint="default"/>
              </w:rPr>
              <w:t>ovke na jej ochranu.</w:t>
            </w: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  <w:r w:rsidRPr="00377BCA">
              <w:rPr>
                <w:rFonts w:hint="default"/>
              </w:rPr>
              <w:t>Ná</w:t>
            </w:r>
            <w:r w:rsidRPr="00377BCA">
              <w:rPr>
                <w:rFonts w:hint="default"/>
              </w:rPr>
              <w:t>vrh</w:t>
            </w:r>
            <w:r w:rsidR="007D1264">
              <w:rPr>
                <w:rFonts w:hint="default"/>
              </w:rPr>
              <w:t xml:space="preserve"> zá</w:t>
            </w:r>
            <w:r w:rsidR="007D1264">
              <w:rPr>
                <w:rFonts w:hint="default"/>
              </w:rPr>
              <w:t>kona</w:t>
            </w:r>
            <w:r w:rsidRPr="00377BCA">
              <w:rPr>
                <w:rFonts w:hint="default"/>
              </w:rPr>
              <w:t xml:space="preserve"> predpokladá</w:t>
            </w:r>
            <w:r w:rsidRPr="00377BCA">
              <w:rPr>
                <w:rFonts w:hint="default"/>
              </w:rPr>
              <w:t xml:space="preserve"> pozití</w:t>
            </w:r>
            <w:r w:rsidRPr="00377BCA">
              <w:rPr>
                <w:rFonts w:hint="default"/>
              </w:rPr>
              <w:t>vny vplyv v </w:t>
            </w:r>
            <w:r w:rsidRPr="00377BCA">
              <w:rPr>
                <w:rFonts w:hint="default"/>
              </w:rPr>
              <w:t>oblasti vybavenia zdravotní</w:t>
            </w:r>
            <w:r w:rsidRPr="00377BCA">
              <w:rPr>
                <w:rFonts w:hint="default"/>
              </w:rPr>
              <w:t>ckych zariadení</w:t>
            </w:r>
            <w:r w:rsidRPr="00377BCA">
              <w:rPr>
                <w:rFonts w:hint="default"/>
              </w:rPr>
              <w:t>, ktoré</w:t>
            </w:r>
            <w:r w:rsidRPr="00377BCA">
              <w:rPr>
                <w:rFonts w:hint="default"/>
              </w:rPr>
              <w:t xml:space="preserve"> využí</w:t>
            </w:r>
            <w:r w:rsidRPr="00377BCA">
              <w:rPr>
                <w:rFonts w:hint="default"/>
              </w:rPr>
              <w:t>vajú</w:t>
            </w:r>
            <w:r w:rsidRPr="00377BCA">
              <w:rPr>
                <w:rFonts w:hint="default"/>
              </w:rPr>
              <w:t xml:space="preserve"> zdroje ionizujú</w:t>
            </w:r>
            <w:r w:rsidRPr="00377BCA">
              <w:rPr>
                <w:rFonts w:hint="default"/>
              </w:rPr>
              <w:t>ceho ž</w:t>
            </w:r>
            <w:r w:rsidRPr="00377BCA">
              <w:rPr>
                <w:rFonts w:hint="default"/>
              </w:rPr>
              <w:t>iarenia z </w:t>
            </w:r>
            <w:r w:rsidRPr="00377BCA">
              <w:rPr>
                <w:rFonts w:hint="default"/>
              </w:rPr>
              <w:t>dô</w:t>
            </w:r>
            <w:r w:rsidRPr="00377BCA">
              <w:rPr>
                <w:rFonts w:hint="default"/>
              </w:rPr>
              <w:t>vodu zá</w:t>
            </w:r>
            <w:r w:rsidRPr="00377BCA">
              <w:rPr>
                <w:rFonts w:hint="default"/>
              </w:rPr>
              <w:t>kazu inš</w:t>
            </w:r>
            <w:r w:rsidRPr="00377BCA">
              <w:rPr>
                <w:rFonts w:hint="default"/>
              </w:rPr>
              <w:t>talá</w:t>
            </w:r>
            <w:r w:rsidRPr="00377BCA">
              <w:rPr>
                <w:rFonts w:hint="default"/>
              </w:rPr>
              <w:t>cie a použí</w:t>
            </w:r>
            <w:r w:rsidRPr="00377BCA">
              <w:rPr>
                <w:rFonts w:hint="default"/>
              </w:rPr>
              <w:t>vania technologicky zastaraný</w:t>
            </w:r>
            <w:r w:rsidRPr="00377BCA">
              <w:rPr>
                <w:rFonts w:hint="default"/>
              </w:rPr>
              <w:t>ch zariadení.</w:t>
            </w: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  <w:r w:rsidRPr="00377BCA">
              <w:rPr>
                <w:rFonts w:hint="default"/>
              </w:rPr>
              <w:t>Zavedenie experta na radiač</w:t>
            </w:r>
            <w:r w:rsidRPr="00377BCA">
              <w:rPr>
                <w:rFonts w:hint="default"/>
              </w:rPr>
              <w:t>nú</w:t>
            </w:r>
            <w:r w:rsidRPr="00377BCA">
              <w:rPr>
                <w:rFonts w:hint="default"/>
              </w:rPr>
              <w:t xml:space="preserve"> ochranu umož</w:t>
            </w:r>
            <w:r w:rsidRPr="00377BCA">
              <w:rPr>
                <w:rFonts w:hint="default"/>
              </w:rPr>
              <w:t>ní</w:t>
            </w:r>
            <w:r w:rsidRPr="00377BCA">
              <w:rPr>
                <w:rFonts w:hint="default"/>
              </w:rPr>
              <w:t xml:space="preserve"> subjektom prí</w:t>
            </w:r>
            <w:r w:rsidRPr="00377BCA">
              <w:rPr>
                <w:rFonts w:hint="default"/>
              </w:rPr>
              <w:t>stup k </w:t>
            </w:r>
            <w:r w:rsidRPr="00377BCA">
              <w:rPr>
                <w:rFonts w:hint="default"/>
              </w:rPr>
              <w:t>odborný</w:t>
            </w:r>
            <w:r w:rsidRPr="00377BCA">
              <w:rPr>
                <w:rFonts w:hint="default"/>
              </w:rPr>
              <w:t>m informá</w:t>
            </w:r>
            <w:r w:rsidRPr="00377BCA">
              <w:rPr>
                <w:rFonts w:hint="default"/>
              </w:rPr>
              <w:t>ciá</w:t>
            </w:r>
            <w:r w:rsidRPr="00377BCA">
              <w:rPr>
                <w:rFonts w:hint="default"/>
              </w:rPr>
              <w:t>m vo vš</w:t>
            </w:r>
            <w:r w:rsidRPr="00377BCA">
              <w:rPr>
                <w:rFonts w:hint="default"/>
              </w:rPr>
              <w:t>etký</w:t>
            </w:r>
            <w:r w:rsidRPr="00377BCA">
              <w:rPr>
                <w:rFonts w:hint="default"/>
              </w:rPr>
              <w:t>ch oblastiach radiač</w:t>
            </w:r>
            <w:r w:rsidRPr="00377BCA">
              <w:rPr>
                <w:rFonts w:hint="default"/>
              </w:rPr>
              <w:t xml:space="preserve">nej ochrany.  </w:t>
            </w: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  <w:r w:rsidRPr="00377BCA">
              <w:rPr>
                <w:rFonts w:hint="default"/>
              </w:rPr>
              <w:t>Zaistenie bezpeč</w:t>
            </w:r>
            <w:r w:rsidRPr="00377BCA">
              <w:rPr>
                <w:rFonts w:hint="default"/>
              </w:rPr>
              <w:t>nosti </w:t>
            </w:r>
            <w:r w:rsidRPr="00377BCA">
              <w:rPr>
                <w:rFonts w:hint="default"/>
              </w:rPr>
              <w:t>rá</w:t>
            </w:r>
            <w:r w:rsidRPr="00377BCA">
              <w:rPr>
                <w:rFonts w:hint="default"/>
              </w:rPr>
              <w:t>dioaktí</w:t>
            </w:r>
            <w:r w:rsidRPr="00377BCA">
              <w:rPr>
                <w:rFonts w:hint="default"/>
              </w:rPr>
              <w:t>vnych ž</w:t>
            </w:r>
            <w:r w:rsidRPr="00377BCA">
              <w:rPr>
                <w:rFonts w:hint="default"/>
              </w:rPr>
              <w:t>iarič</w:t>
            </w:r>
            <w:r w:rsidRPr="00377BCA">
              <w:rPr>
                <w:rFonts w:hint="default"/>
              </w:rPr>
              <w:t>ov bude mať</w:t>
            </w:r>
            <w:r w:rsidRPr="00377BCA">
              <w:rPr>
                <w:rFonts w:hint="default"/>
              </w:rPr>
              <w:t xml:space="preserve"> vplyv </w:t>
            </w:r>
            <w:r>
              <w:t>na</w:t>
            </w:r>
            <w:r w:rsidRPr="00377BCA">
              <w:rPr>
                <w:rFonts w:hint="default"/>
              </w:rPr>
              <w:t xml:space="preserve"> subjekty, ktoré</w:t>
            </w:r>
            <w:r w:rsidRPr="00377BCA">
              <w:rPr>
                <w:rFonts w:hint="default"/>
              </w:rPr>
              <w:t xml:space="preserve"> použí</w:t>
            </w:r>
            <w:r w:rsidRPr="00377BCA">
              <w:rPr>
                <w:rFonts w:hint="default"/>
              </w:rPr>
              <w:t>vajú</w:t>
            </w:r>
            <w:r w:rsidRPr="00377BCA">
              <w:rPr>
                <w:rFonts w:hint="default"/>
              </w:rPr>
              <w:t xml:space="preserve"> pri svojej č</w:t>
            </w:r>
            <w:r w:rsidRPr="00377BCA">
              <w:rPr>
                <w:rFonts w:hint="default"/>
              </w:rPr>
              <w:t>innosti rá</w:t>
            </w:r>
            <w:r w:rsidRPr="00377BCA">
              <w:rPr>
                <w:rFonts w:hint="default"/>
              </w:rPr>
              <w:t>dioaktí</w:t>
            </w:r>
            <w:r w:rsidRPr="00377BCA">
              <w:rPr>
                <w:rFonts w:hint="default"/>
              </w:rPr>
              <w:t xml:space="preserve">vne </w:t>
            </w:r>
            <w:r w:rsidRPr="00377BCA">
              <w:rPr>
                <w:rFonts w:hint="default"/>
              </w:rPr>
              <w:t>ž</w:t>
            </w:r>
            <w:r w:rsidRPr="00377BCA">
              <w:rPr>
                <w:rFonts w:hint="default"/>
              </w:rPr>
              <w:t>iarič</w:t>
            </w:r>
            <w:r w:rsidRPr="00377BCA">
              <w:rPr>
                <w:rFonts w:hint="default"/>
              </w:rPr>
              <w:t>e, aby sa zamedzilo ich ú</w:t>
            </w:r>
            <w:r w:rsidRPr="00377BCA">
              <w:rPr>
                <w:rFonts w:hint="default"/>
              </w:rPr>
              <w:t>myselné</w:t>
            </w:r>
            <w:r w:rsidRPr="00377BCA">
              <w:rPr>
                <w:rFonts w:hint="default"/>
              </w:rPr>
              <w:t>mu zneuž</w:t>
            </w:r>
            <w:r w:rsidRPr="00377BCA">
              <w:rPr>
                <w:rFonts w:hint="default"/>
              </w:rPr>
              <w:t>itiu (napr</w:t>
            </w:r>
            <w:r>
              <w:rPr>
                <w:rFonts w:hint="default"/>
              </w:rPr>
              <w:t>í</w:t>
            </w:r>
            <w:r>
              <w:rPr>
                <w:rFonts w:hint="default"/>
              </w:rPr>
              <w:t>klad</w:t>
            </w:r>
            <w:r w:rsidRPr="00377BCA">
              <w:rPr>
                <w:rFonts w:hint="default"/>
              </w:rPr>
              <w:t xml:space="preserve"> terorizmus, sabotáž</w:t>
            </w:r>
            <w:r w:rsidRPr="00377BCA">
              <w:rPr>
                <w:rFonts w:hint="default"/>
              </w:rPr>
              <w:t>). Pož</w:t>
            </w:r>
            <w:r w:rsidRPr="00377BCA">
              <w:rPr>
                <w:rFonts w:hint="default"/>
              </w:rPr>
              <w:t>iadavky a </w:t>
            </w:r>
            <w:r w:rsidRPr="00377BCA">
              <w:rPr>
                <w:rFonts w:hint="default"/>
              </w:rPr>
              <w:t>zá</w:t>
            </w:r>
            <w:r w:rsidRPr="00377BCA">
              <w:rPr>
                <w:rFonts w:hint="default"/>
              </w:rPr>
              <w:t>roveň</w:t>
            </w:r>
            <w:r w:rsidRPr="00377BCA">
              <w:rPr>
                <w:rFonts w:hint="default"/>
              </w:rPr>
              <w:t xml:space="preserve"> finanč</w:t>
            </w:r>
            <w:r w:rsidRPr="00377BCA">
              <w:rPr>
                <w:rFonts w:hint="default"/>
              </w:rPr>
              <w:t>né</w:t>
            </w:r>
            <w:r w:rsidRPr="00377BCA">
              <w:rPr>
                <w:rFonts w:hint="default"/>
              </w:rPr>
              <w:t xml:space="preserve"> ná</w:t>
            </w:r>
            <w:r w:rsidRPr="00377BCA">
              <w:rPr>
                <w:rFonts w:hint="default"/>
              </w:rPr>
              <w:t>klady budú</w:t>
            </w:r>
            <w:r w:rsidRPr="00377BCA">
              <w:rPr>
                <w:rFonts w:hint="default"/>
              </w:rPr>
              <w:t xml:space="preserve"> odstupň</w:t>
            </w:r>
            <w:r w:rsidRPr="00377BCA">
              <w:rPr>
                <w:rFonts w:hint="default"/>
              </w:rPr>
              <w:t>ované</w:t>
            </w:r>
            <w:r w:rsidRPr="00377BCA">
              <w:rPr>
                <w:rFonts w:hint="default"/>
              </w:rPr>
              <w:t xml:space="preserve"> od kategó</w:t>
            </w:r>
            <w:r w:rsidRPr="00377BCA">
              <w:rPr>
                <w:rFonts w:hint="default"/>
              </w:rPr>
              <w:t>rie rá</w:t>
            </w:r>
            <w:r w:rsidRPr="00377BCA">
              <w:rPr>
                <w:rFonts w:hint="default"/>
              </w:rPr>
              <w:t>dioaktí</w:t>
            </w:r>
            <w:r w:rsidRPr="00377BCA">
              <w:rPr>
                <w:rFonts w:hint="default"/>
              </w:rPr>
              <w:t>vneho ž</w:t>
            </w:r>
            <w:r w:rsidRPr="00377BCA">
              <w:rPr>
                <w:rFonts w:hint="default"/>
              </w:rPr>
              <w:t>iarič</w:t>
            </w:r>
            <w:r w:rsidRPr="00377BCA">
              <w:rPr>
                <w:rFonts w:hint="default"/>
              </w:rPr>
              <w:t>a.</w:t>
            </w:r>
          </w:p>
          <w:p w:rsidR="00377BCA" w:rsidRPr="00377BCA" w:rsidP="00377BCA">
            <w:pPr>
              <w:bidi w:val="0"/>
              <w:jc w:val="both"/>
              <w:rPr>
                <w:rFonts w:hint="default"/>
              </w:rPr>
            </w:pPr>
          </w:p>
          <w:p w:rsidR="00E26981" w:rsidRPr="00377BCA" w:rsidP="003C57E5">
            <w:pPr>
              <w:bidi w:val="0"/>
              <w:jc w:val="both"/>
            </w:pPr>
            <w:r w:rsidRPr="00377BCA" w:rsidR="00377BCA">
              <w:rPr>
                <w:rFonts w:hint="default"/>
              </w:rPr>
              <w:t>Subjekty, ktoré</w:t>
            </w:r>
            <w:r w:rsidRPr="00377BCA" w:rsidR="00377BCA">
              <w:rPr>
                <w:rFonts w:hint="default"/>
              </w:rPr>
              <w:t xml:space="preserve"> projektujú</w:t>
            </w:r>
            <w:r w:rsidRPr="00377BCA" w:rsidR="00377BCA">
              <w:rPr>
                <w:rFonts w:hint="default"/>
              </w:rPr>
              <w:t xml:space="preserve"> a </w:t>
            </w:r>
            <w:r w:rsidR="00863EC8">
              <w:rPr>
                <w:rFonts w:hint="default"/>
              </w:rPr>
              <w:t>vykoná</w:t>
            </w:r>
            <w:r w:rsidR="00863EC8">
              <w:rPr>
                <w:rFonts w:hint="default"/>
              </w:rPr>
              <w:t>vajú</w:t>
            </w:r>
            <w:r w:rsidRPr="00377BCA" w:rsidR="00377BCA">
              <w:rPr>
                <w:rFonts w:hint="default"/>
              </w:rPr>
              <w:t xml:space="preserve"> vý</w:t>
            </w:r>
            <w:r w:rsidRPr="00377BCA" w:rsidR="00377BCA">
              <w:rPr>
                <w:rFonts w:hint="default"/>
              </w:rPr>
              <w:t>stavbu bytový</w:t>
            </w:r>
            <w:r w:rsidRPr="00377BCA" w:rsidR="00377BCA">
              <w:rPr>
                <w:rFonts w:hint="default"/>
              </w:rPr>
              <w:t>ch budov na predaj aleb</w:t>
            </w:r>
            <w:r w:rsidRPr="00377BCA" w:rsidR="00377BCA">
              <w:rPr>
                <w:rFonts w:hint="default"/>
              </w:rPr>
              <w:t>o prená</w:t>
            </w:r>
            <w:r w:rsidRPr="00377BCA" w:rsidR="00377BCA">
              <w:rPr>
                <w:rFonts w:hint="default"/>
              </w:rPr>
              <w:t>jom alebo na poskytovanie služ</w:t>
            </w:r>
            <w:r w:rsidRPr="00377BCA" w:rsidR="00377BCA">
              <w:rPr>
                <w:rFonts w:hint="default"/>
              </w:rPr>
              <w:t>ieb alebo vlastní</w:t>
            </w:r>
            <w:r w:rsidRPr="00377BCA" w:rsidR="00377BCA">
              <w:rPr>
                <w:rFonts w:hint="default"/>
              </w:rPr>
              <w:t>k budovy, ktorá</w:t>
            </w:r>
            <w:r w:rsidRPr="00377BCA" w:rsidR="00377BCA">
              <w:rPr>
                <w:rFonts w:hint="default"/>
              </w:rPr>
              <w:t xml:space="preserve"> slúž</w:t>
            </w:r>
            <w:r w:rsidRPr="00377BCA" w:rsidR="00377BCA">
              <w:rPr>
                <w:rFonts w:hint="default"/>
              </w:rPr>
              <w:t>i predš</w:t>
            </w:r>
            <w:r w:rsidRPr="00377BCA" w:rsidR="00377BCA">
              <w:rPr>
                <w:rFonts w:hint="default"/>
              </w:rPr>
              <w:t>kolské</w:t>
            </w:r>
            <w:r w:rsidRPr="00377BCA" w:rsidR="00377BCA">
              <w:rPr>
                <w:rFonts w:hint="default"/>
              </w:rPr>
              <w:t>mu zariadeniu alebo š</w:t>
            </w:r>
            <w:r w:rsidRPr="00377BCA" w:rsidR="00377BCA">
              <w:rPr>
                <w:rFonts w:hint="default"/>
              </w:rPr>
              <w:t>kolské</w:t>
            </w:r>
            <w:r w:rsidRPr="00377BCA" w:rsidR="00377BCA">
              <w:rPr>
                <w:rFonts w:hint="default"/>
              </w:rPr>
              <w:t>mu zariadeni</w:t>
            </w:r>
            <w:r w:rsidR="00D61F0D">
              <w:t>u</w:t>
            </w:r>
            <w:r w:rsidRPr="00377BCA" w:rsidR="00377BCA">
              <w:rPr>
                <w:rFonts w:hint="default"/>
              </w:rPr>
              <w:t xml:space="preserve"> na poskytovanie sociá</w:t>
            </w:r>
            <w:r w:rsidRPr="00377BCA" w:rsidR="00377BCA">
              <w:rPr>
                <w:rFonts w:hint="default"/>
              </w:rPr>
              <w:t>lnych</w:t>
            </w:r>
            <w:r w:rsidR="00D61F0D">
              <w:rPr>
                <w:rFonts w:hint="default"/>
              </w:rPr>
              <w:t xml:space="preserve"> služ</w:t>
            </w:r>
            <w:r w:rsidR="00D61F0D">
              <w:rPr>
                <w:rFonts w:hint="default"/>
              </w:rPr>
              <w:t>ieb</w:t>
            </w:r>
            <w:r w:rsidRPr="00377BCA" w:rsidR="00377BCA">
              <w:rPr>
                <w:rFonts w:hint="default"/>
              </w:rPr>
              <w:t xml:space="preserve"> alebo poskytovanie zdravotnej starostlivosti alebo na iné</w:t>
            </w:r>
            <w:r w:rsidRPr="00377BCA" w:rsidR="00377BCA">
              <w:rPr>
                <w:rFonts w:hint="default"/>
              </w:rPr>
              <w:t xml:space="preserve"> komerč</w:t>
            </w:r>
            <w:r w:rsidRPr="00377BCA" w:rsidR="00377BCA">
              <w:rPr>
                <w:rFonts w:hint="default"/>
              </w:rPr>
              <w:t>né</w:t>
            </w:r>
            <w:r w:rsidRPr="00377BCA" w:rsidR="00377BCA">
              <w:rPr>
                <w:rFonts w:hint="default"/>
              </w:rPr>
              <w:t xml:space="preserve"> úč</w:t>
            </w:r>
            <w:r w:rsidRPr="00377BCA" w:rsidR="00377BCA">
              <w:rPr>
                <w:rFonts w:hint="default"/>
              </w:rPr>
              <w:t>ely pri dlhodobom pobyte</w:t>
            </w:r>
            <w:r w:rsidRPr="00377BCA" w:rsidR="00377BCA">
              <w:rPr>
                <w:rFonts w:hint="default"/>
              </w:rPr>
              <w:t xml:space="preserve"> osô</w:t>
            </w:r>
            <w:r w:rsidRPr="00377BCA" w:rsidR="00377BCA">
              <w:rPr>
                <w:rFonts w:hint="default"/>
              </w:rPr>
              <w:t>b musia zabezpeč</w:t>
            </w:r>
            <w:r w:rsidRPr="00377BCA" w:rsidR="00377BCA">
              <w:rPr>
                <w:rFonts w:hint="default"/>
              </w:rPr>
              <w:t>iť</w:t>
            </w:r>
            <w:r w:rsidRPr="00377BCA" w:rsidR="00377BCA">
              <w:rPr>
                <w:rFonts w:hint="default"/>
              </w:rPr>
              <w:t>, aby nebola prekroč</w:t>
            </w:r>
            <w:r w:rsidRPr="00377BCA" w:rsidR="00377BCA">
              <w:rPr>
                <w:rFonts w:hint="default"/>
              </w:rPr>
              <w:t>ená</w:t>
            </w:r>
            <w:r w:rsidRPr="00377BCA" w:rsidR="00377BCA">
              <w:rPr>
                <w:rFonts w:hint="default"/>
              </w:rPr>
              <w:t xml:space="preserve"> referenč</w:t>
            </w:r>
            <w:r w:rsidRPr="00377BCA" w:rsidR="00377BCA">
              <w:rPr>
                <w:rFonts w:hint="default"/>
              </w:rPr>
              <w:t>ná</w:t>
            </w:r>
            <w:r w:rsidRPr="00377BCA" w:rsidR="00377BCA">
              <w:rPr>
                <w:rFonts w:hint="default"/>
              </w:rPr>
              <w:t xml:space="preserve"> ú</w:t>
            </w:r>
            <w:r w:rsidRPr="00377BCA" w:rsidR="00377BCA">
              <w:rPr>
                <w:rFonts w:hint="default"/>
              </w:rPr>
              <w:t>roveň</w:t>
            </w:r>
            <w:r w:rsidRPr="00377BCA" w:rsidR="00377BCA">
              <w:rPr>
                <w:rFonts w:hint="default"/>
              </w:rPr>
              <w:t xml:space="preserve"> objemovej aktivity radó</w:t>
            </w:r>
            <w:r w:rsidRPr="00377BCA" w:rsidR="00377BCA">
              <w:rPr>
                <w:rFonts w:hint="default"/>
              </w:rPr>
              <w:t>nu v </w:t>
            </w:r>
            <w:r w:rsidRPr="00377BCA" w:rsidR="00377BCA">
              <w:rPr>
                <w:rFonts w:hint="default"/>
              </w:rPr>
              <w:t>pobytový</w:t>
            </w:r>
            <w:r w:rsidRPr="00377BCA" w:rsidR="00377BCA">
              <w:rPr>
                <w:rFonts w:hint="default"/>
              </w:rPr>
              <w:t>ch priestoroch. Nepredpokladá</w:t>
            </w:r>
            <w:r w:rsidRPr="00377BCA" w:rsidR="00377BCA">
              <w:rPr>
                <w:rFonts w:hint="default"/>
              </w:rPr>
              <w:t xml:space="preserve"> sa, ž</w:t>
            </w:r>
            <w:r w:rsidRPr="00377BCA" w:rsidR="00377BCA">
              <w:rPr>
                <w:rFonts w:hint="default"/>
              </w:rPr>
              <w:t>e ná</w:t>
            </w:r>
            <w:r w:rsidRPr="00377BCA" w:rsidR="00377BCA">
              <w:rPr>
                <w:rFonts w:hint="default"/>
              </w:rPr>
              <w:t>klady na splnenie uvedenej po</w:t>
            </w:r>
            <w:r w:rsidR="003C57E5">
              <w:t>vinnosti</w:t>
            </w:r>
            <w:r w:rsidRPr="00377BCA" w:rsidR="00377BCA">
              <w:rPr>
                <w:rFonts w:hint="default"/>
              </w:rPr>
              <w:t xml:space="preserve"> budú</w:t>
            </w:r>
            <w:r w:rsidRPr="00377BCA" w:rsidR="00377BCA">
              <w:rPr>
                <w:rFonts w:hint="default"/>
              </w:rPr>
              <w:t xml:space="preserve"> vysoké</w:t>
            </w:r>
            <w:r w:rsidRPr="00377BCA" w:rsidR="00377BCA">
              <w:rPr>
                <w:rFonts w:hint="default"/>
              </w:rPr>
              <w:t>, no nie je mož</w:t>
            </w:r>
            <w:r w:rsidRPr="00377BCA" w:rsidR="00377BCA">
              <w:rPr>
                <w:rFonts w:hint="default"/>
              </w:rPr>
              <w:t>né</w:t>
            </w:r>
            <w:r w:rsidRPr="00377BCA" w:rsidR="00377BCA">
              <w:rPr>
                <w:rFonts w:hint="default"/>
              </w:rPr>
              <w:t xml:space="preserve"> ich vyčí</w:t>
            </w:r>
            <w:r w:rsidRPr="00377BCA" w:rsidR="00377BCA">
              <w:rPr>
                <w:rFonts w:hint="default"/>
              </w:rPr>
              <w:t>sliť</w:t>
            </w:r>
            <w:r w:rsidRPr="00377BCA" w:rsidR="00377BCA">
              <w:rPr>
                <w:rFonts w:hint="default"/>
              </w:rPr>
              <w:t>, ale vzhľ</w:t>
            </w:r>
            <w:r w:rsidRPr="00377BCA" w:rsidR="00377BCA">
              <w:rPr>
                <w:rFonts w:hint="default"/>
              </w:rPr>
              <w:t>adom na celkovú</w:t>
            </w:r>
            <w:r w:rsidRPr="00377BCA" w:rsidR="00377BCA">
              <w:rPr>
                <w:rFonts w:hint="default"/>
              </w:rPr>
              <w:t xml:space="preserve"> hodnotu proj</w:t>
            </w:r>
            <w:r w:rsidRPr="00377BCA" w:rsidR="00377BCA">
              <w:rPr>
                <w:rFonts w:hint="default"/>
              </w:rPr>
              <w:t xml:space="preserve">ektov stavieb a prestavieb </w:t>
            </w:r>
            <w:r w:rsidR="00B272E4">
              <w:t xml:space="preserve">a </w:t>
            </w:r>
            <w:r w:rsidRPr="00377BCA" w:rsidR="00377BCA">
              <w:t>v </w:t>
            </w:r>
            <w:r w:rsidRPr="00377BCA" w:rsidR="00377BCA">
              <w:rPr>
                <w:rFonts w:hint="default"/>
              </w:rPr>
              <w:t>porovnaní</w:t>
            </w:r>
            <w:r w:rsidRPr="00377BCA" w:rsidR="00377BCA">
              <w:rPr>
                <w:rFonts w:hint="default"/>
              </w:rPr>
              <w:t xml:space="preserve"> s </w:t>
            </w:r>
            <w:r w:rsidRPr="00377BCA" w:rsidR="00377BCA">
              <w:rPr>
                <w:rFonts w:hint="default"/>
              </w:rPr>
              <w:t>prí</w:t>
            </w:r>
            <w:r w:rsidRPr="00377BCA" w:rsidR="00377BCA">
              <w:rPr>
                <w:rFonts w:hint="default"/>
              </w:rPr>
              <w:t>nosom pre zdravie uží</w:t>
            </w:r>
            <w:r w:rsidRPr="00377BCA" w:rsidR="00377BCA">
              <w:rPr>
                <w:rFonts w:hint="default"/>
              </w:rPr>
              <w:t>vateľ</w:t>
            </w:r>
            <w:r w:rsidRPr="00377BCA" w:rsidR="00377BCA">
              <w:rPr>
                <w:rFonts w:hint="default"/>
              </w:rPr>
              <w:t>ov pobytový</w:t>
            </w:r>
            <w:r w:rsidRPr="00377BCA" w:rsidR="00377BCA">
              <w:rPr>
                <w:rFonts w:hint="default"/>
              </w:rPr>
              <w:t>ch priestorov je mož</w:t>
            </w:r>
            <w:r w:rsidRPr="00377BCA" w:rsidR="00377BCA">
              <w:rPr>
                <w:rFonts w:hint="default"/>
              </w:rPr>
              <w:t>né</w:t>
            </w:r>
            <w:r w:rsidRPr="00377BCA" w:rsidR="00377BCA">
              <w:rPr>
                <w:rFonts w:hint="default"/>
              </w:rPr>
              <w:t xml:space="preserve"> ich zanedbať</w:t>
            </w:r>
            <w:r w:rsidRPr="00377BCA" w:rsidR="00377BCA">
              <w:rPr>
                <w:rFonts w:hint="default"/>
              </w:rPr>
              <w:t>. Referenč</w:t>
            </w:r>
            <w:r w:rsidRPr="00377BCA" w:rsidR="00377BCA">
              <w:rPr>
                <w:rFonts w:hint="default"/>
              </w:rPr>
              <w:t>ná</w:t>
            </w:r>
            <w:r w:rsidRPr="00377BCA" w:rsidR="00377BCA">
              <w:rPr>
                <w:rFonts w:hint="default"/>
              </w:rPr>
              <w:t xml:space="preserve"> ú</w:t>
            </w:r>
            <w:r w:rsidRPr="00377BCA" w:rsidR="00377BCA">
              <w:rPr>
                <w:rFonts w:hint="default"/>
              </w:rPr>
              <w:t>roveň</w:t>
            </w:r>
            <w:r w:rsidRPr="00377BCA" w:rsidR="00377BCA">
              <w:rPr>
                <w:rFonts w:hint="default"/>
              </w:rPr>
              <w:t xml:space="preserve"> pre objemovú</w:t>
            </w:r>
            <w:r w:rsidRPr="00377BCA" w:rsidR="00377BCA">
              <w:rPr>
                <w:rFonts w:hint="default"/>
              </w:rPr>
              <w:t xml:space="preserve"> aktivitu radó</w:t>
            </w:r>
            <w:r w:rsidRPr="00377BCA" w:rsidR="00377BCA">
              <w:rPr>
                <w:rFonts w:hint="default"/>
              </w:rPr>
              <w:t>nu v </w:t>
            </w:r>
            <w:r w:rsidRPr="00377BCA" w:rsidR="00377BCA">
              <w:rPr>
                <w:rFonts w:hint="default"/>
              </w:rPr>
              <w:t>pobytový</w:t>
            </w:r>
            <w:r w:rsidRPr="00377BCA" w:rsidR="00377BCA">
              <w:rPr>
                <w:rFonts w:hint="default"/>
              </w:rPr>
              <w:t>ch priestoroch je 300 Bq/m</w:t>
            </w:r>
            <w:r w:rsidRPr="00377BCA" w:rsidR="00377BCA">
              <w:rPr>
                <w:vertAlign w:val="superscript"/>
              </w:rPr>
              <w:t xml:space="preserve">3 </w:t>
            </w:r>
            <w:r w:rsidRPr="00377BCA" w:rsidR="00377BCA">
              <w:rPr>
                <w:rFonts w:hint="default"/>
              </w:rPr>
              <w:t>za kalendá</w:t>
            </w:r>
            <w:r w:rsidRPr="00377BCA" w:rsidR="00377BCA">
              <w:rPr>
                <w:rFonts w:hint="default"/>
              </w:rPr>
              <w:t>rny rok (v platný</w:t>
            </w:r>
            <w:r w:rsidRPr="00377BCA" w:rsidR="00377BCA">
              <w:rPr>
                <w:rFonts w:hint="default"/>
              </w:rPr>
              <w:t>ch prá</w:t>
            </w:r>
            <w:r w:rsidRPr="00377BCA" w:rsidR="00377BCA">
              <w:rPr>
                <w:rFonts w:hint="default"/>
              </w:rPr>
              <w:t>vnych predpisoch j</w:t>
            </w:r>
            <w:r w:rsidRPr="00377BCA" w:rsidR="00377BCA">
              <w:rPr>
                <w:rFonts w:hint="default"/>
              </w:rPr>
              <w:t>e referenč</w:t>
            </w:r>
            <w:r w:rsidRPr="00377BCA" w:rsidR="00377BCA">
              <w:rPr>
                <w:rFonts w:hint="default"/>
              </w:rPr>
              <w:t>ná</w:t>
            </w:r>
            <w:r w:rsidRPr="00377BCA" w:rsidR="00377BCA">
              <w:rPr>
                <w:rFonts w:hint="default"/>
              </w:rPr>
              <w:t xml:space="preserve"> ú</w:t>
            </w:r>
            <w:r w:rsidRPr="00377BCA" w:rsidR="00377BCA">
              <w:rPr>
                <w:rFonts w:hint="default"/>
              </w:rPr>
              <w:t>roveň</w:t>
            </w:r>
            <w:r w:rsidRPr="00377BCA" w:rsidR="00377BCA">
              <w:rPr>
                <w:rFonts w:hint="default"/>
              </w:rPr>
              <w:t xml:space="preserve"> pre objemovú</w:t>
            </w:r>
            <w:r w:rsidRPr="00377BCA" w:rsidR="00377BCA">
              <w:rPr>
                <w:rFonts w:hint="default"/>
              </w:rPr>
              <w:t xml:space="preserve"> aktivitu radó</w:t>
            </w:r>
            <w:r w:rsidRPr="00377BCA" w:rsidR="00377BCA">
              <w:rPr>
                <w:rFonts w:hint="default"/>
              </w:rPr>
              <w:t>nu 200 Bq/m</w:t>
            </w:r>
            <w:r w:rsidRPr="00377BCA" w:rsidR="00377BCA">
              <w:rPr>
                <w:vertAlign w:val="superscript"/>
              </w:rPr>
              <w:t xml:space="preserve">3 </w:t>
            </w:r>
            <w:r w:rsidRPr="00377BCA" w:rsidR="00377BCA">
              <w:t>pre novostavby a 400 Bq/m</w:t>
            </w:r>
            <w:r w:rsidRPr="00377BCA" w:rsidR="00377BCA">
              <w:rPr>
                <w:vertAlign w:val="superscript"/>
              </w:rPr>
              <w:t xml:space="preserve">3 </w:t>
            </w:r>
            <w:r w:rsidRPr="00377BCA" w:rsidR="00377BCA">
              <w:rPr>
                <w:rFonts w:hint="default"/>
              </w:rPr>
              <w:t>pre existujú</w:t>
            </w:r>
            <w:r w:rsidRPr="00377BCA" w:rsidR="00377BCA">
              <w:rPr>
                <w:rFonts w:hint="default"/>
              </w:rPr>
              <w:t>ce stavby za kalendá</w:t>
            </w:r>
            <w:r w:rsidRPr="00377BCA" w:rsidR="00377BCA">
              <w:rPr>
                <w:rFonts w:hint="default"/>
              </w:rPr>
              <w:t>rny rok). Sú</w:t>
            </w:r>
            <w:r w:rsidRPr="00377BCA" w:rsidR="00377BCA">
              <w:rPr>
                <w:rFonts w:hint="default"/>
              </w:rPr>
              <w:t>vislosť</w:t>
            </w:r>
            <w:r w:rsidRPr="00377BCA" w:rsidR="00377BCA">
              <w:rPr>
                <w:rFonts w:hint="default"/>
              </w:rPr>
              <w:t xml:space="preserve"> medzi zvýš</w:t>
            </w:r>
            <w:r w:rsidRPr="00377BCA" w:rsidR="00377BCA">
              <w:rPr>
                <w:rFonts w:hint="default"/>
              </w:rPr>
              <w:t>ený</w:t>
            </w:r>
            <w:r w:rsidRPr="00377BCA" w:rsidR="00377BCA">
              <w:rPr>
                <w:rFonts w:hint="default"/>
              </w:rPr>
              <w:t>m vý</w:t>
            </w:r>
            <w:r w:rsidRPr="00377BCA" w:rsidR="00377BCA">
              <w:rPr>
                <w:rFonts w:hint="default"/>
              </w:rPr>
              <w:t>skytom rakoviny pľú</w:t>
            </w:r>
            <w:r w:rsidRPr="00377BCA" w:rsidR="00377BCA">
              <w:rPr>
                <w:rFonts w:hint="default"/>
              </w:rPr>
              <w:t>c a </w:t>
            </w:r>
            <w:r w:rsidRPr="00377BCA" w:rsidR="00377BCA">
              <w:rPr>
                <w:rFonts w:hint="default"/>
              </w:rPr>
              <w:t>radó</w:t>
            </w:r>
            <w:r w:rsidRPr="00377BCA" w:rsidR="00377BCA">
              <w:rPr>
                <w:rFonts w:hint="default"/>
              </w:rPr>
              <w:t>nom bola jednoznač</w:t>
            </w:r>
            <w:r w:rsidRPr="00377BCA" w:rsidR="00377BCA">
              <w:rPr>
                <w:rFonts w:hint="default"/>
              </w:rPr>
              <w:t>ne preuká</w:t>
            </w:r>
            <w:r w:rsidRPr="00377BCA" w:rsidR="00377BCA">
              <w:rPr>
                <w:rFonts w:hint="default"/>
              </w:rPr>
              <w:t>zaná</w:t>
            </w:r>
            <w:r w:rsidRPr="00377BCA" w:rsidR="00377BCA">
              <w:rPr>
                <w:rFonts w:hint="default"/>
              </w:rPr>
              <w:t xml:space="preserve"> epidemiologický</w:t>
            </w:r>
            <w:r w:rsidRPr="00377BCA" w:rsidR="00377BCA">
              <w:rPr>
                <w:rFonts w:hint="default"/>
              </w:rPr>
              <w:t>mi š</w:t>
            </w:r>
            <w:r w:rsidRPr="00377BCA" w:rsidR="00377BCA">
              <w:rPr>
                <w:rFonts w:hint="default"/>
              </w:rPr>
              <w:t>tú</w:t>
            </w:r>
            <w:r w:rsidRPr="00377BCA" w:rsidR="00377BCA">
              <w:rPr>
                <w:rFonts w:hint="default"/>
              </w:rPr>
              <w:t>diami na obyvateľ</w:t>
            </w:r>
            <w:r w:rsidRPr="00377BCA" w:rsidR="00377BCA">
              <w:rPr>
                <w:rFonts w:hint="default"/>
              </w:rPr>
              <w:t>ov v </w:t>
            </w:r>
            <w:r w:rsidRPr="00377BCA" w:rsidR="00377BCA">
              <w:rPr>
                <w:rFonts w:hint="default"/>
              </w:rPr>
              <w:t>oblasti s </w:t>
            </w:r>
            <w:r w:rsidRPr="00377BCA" w:rsidR="00377BCA">
              <w:rPr>
                <w:rFonts w:hint="default"/>
              </w:rPr>
              <w:t>vyšš</w:t>
            </w:r>
            <w:r w:rsidRPr="00377BCA" w:rsidR="00377BCA">
              <w:rPr>
                <w:rFonts w:hint="default"/>
              </w:rPr>
              <w:t>ou koncentrá</w:t>
            </w:r>
            <w:r w:rsidRPr="00377BCA" w:rsidR="00377BCA">
              <w:rPr>
                <w:rFonts w:hint="default"/>
              </w:rPr>
              <w:t>ciou radó</w:t>
            </w:r>
            <w:r w:rsidRPr="00377BCA" w:rsidR="00377BCA">
              <w:rPr>
                <w:rFonts w:hint="default"/>
              </w:rPr>
              <w:t>nu v</w:t>
            </w:r>
            <w:r w:rsidR="00863EC8">
              <w:t> </w:t>
            </w:r>
            <w:r w:rsidRPr="00377BCA" w:rsidR="00377BCA">
              <w:rPr>
                <w:rFonts w:hint="default"/>
              </w:rPr>
              <w:t>podloží</w:t>
            </w:r>
            <w:r w:rsidR="00863EC8">
              <w:t xml:space="preserve"> a</w:t>
            </w:r>
            <w:r w:rsidRPr="00377BCA" w:rsidR="00377BCA">
              <w:t xml:space="preserve"> v </w:t>
            </w:r>
            <w:r w:rsidRPr="00377BCA" w:rsidR="00377BCA">
              <w:rPr>
                <w:rFonts w:hint="default"/>
              </w:rPr>
              <w:t>pobytový</w:t>
            </w:r>
            <w:r w:rsidRPr="00377BCA" w:rsidR="00377BCA">
              <w:rPr>
                <w:rFonts w:hint="default"/>
              </w:rPr>
              <w:t>ch priestoroch.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E3363B" w:rsidRPr="00440CC5" w:rsidP="00E3363B">
            <w:pPr>
              <w:bidi w:val="0"/>
              <w:rPr>
                <w:rFonts w:hint="default"/>
                <w:b/>
                <w:szCs w:val="20"/>
              </w:rPr>
            </w:pPr>
            <w:r w:rsidRPr="00440CC5">
              <w:rPr>
                <w:rFonts w:hint="default"/>
                <w:b/>
                <w:szCs w:val="20"/>
              </w:rPr>
              <w:t>3.2 Vyhodnotenie konzultá</w:t>
            </w:r>
            <w:r w:rsidRPr="00440CC5">
              <w:rPr>
                <w:rFonts w:hint="default"/>
                <w:b/>
                <w:szCs w:val="20"/>
              </w:rPr>
              <w:t>cií</w:t>
            </w:r>
          </w:p>
          <w:p w:rsidR="00E3363B" w:rsidRPr="00440CC5" w:rsidP="00E3363B">
            <w:pPr>
              <w:bidi w:val="0"/>
              <w:rPr>
                <w:b/>
                <w:sz w:val="20"/>
                <w:szCs w:val="20"/>
              </w:rPr>
            </w:pPr>
            <w:r w:rsidRPr="00440CC5">
              <w:rPr>
                <w:szCs w:val="20"/>
              </w:rPr>
              <w:t xml:space="preserve">       - </w:t>
            </w:r>
            <w:r w:rsidRPr="00440CC5">
              <w:rPr>
                <w:b/>
                <w:szCs w:val="20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440CC5" w:rsidP="00E3363B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Uveď</w:t>
            </w:r>
            <w:r w:rsidRPr="00440CC5">
              <w:rPr>
                <w:rFonts w:hint="default"/>
                <w:i/>
                <w:sz w:val="20"/>
                <w:szCs w:val="20"/>
              </w:rPr>
              <w:t>te, akou formou (verejné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alebo cielené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konzultá</w:t>
            </w:r>
            <w:r w:rsidRPr="00440CC5">
              <w:rPr>
                <w:rFonts w:hint="default"/>
                <w:i/>
                <w:sz w:val="20"/>
                <w:szCs w:val="20"/>
              </w:rPr>
              <w:t>cie a preč</w:t>
            </w:r>
            <w:r w:rsidRPr="00440CC5">
              <w:rPr>
                <w:rFonts w:hint="default"/>
                <w:i/>
                <w:sz w:val="20"/>
                <w:szCs w:val="20"/>
              </w:rPr>
              <w:t>o) a s ký</w:t>
            </w:r>
            <w:r w:rsidRPr="00440CC5">
              <w:rPr>
                <w:rFonts w:hint="default"/>
                <w:i/>
                <w:sz w:val="20"/>
                <w:szCs w:val="20"/>
              </w:rPr>
              <w:t>m bol ná</w:t>
            </w:r>
            <w:r w:rsidRPr="00440CC5">
              <w:rPr>
                <w:rFonts w:hint="default"/>
                <w:i/>
                <w:sz w:val="20"/>
                <w:szCs w:val="20"/>
              </w:rPr>
              <w:t>vrh konzultovaný.</w:t>
            </w:r>
          </w:p>
          <w:p w:rsidR="00E3363B" w:rsidRPr="00440CC5" w:rsidP="00E3363B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Ako dlho trvali konzultá</w:t>
            </w:r>
            <w:r w:rsidRPr="00440CC5">
              <w:rPr>
                <w:rFonts w:hint="default"/>
                <w:i/>
                <w:sz w:val="20"/>
                <w:szCs w:val="20"/>
              </w:rPr>
              <w:t>cie?</w:t>
            </w:r>
          </w:p>
          <w:p w:rsidR="00E3363B" w:rsidRPr="00440CC5" w:rsidP="00E3363B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Uve</w:t>
            </w:r>
            <w:r w:rsidRPr="00440CC5">
              <w:rPr>
                <w:rFonts w:hint="default"/>
                <w:i/>
                <w:sz w:val="20"/>
                <w:szCs w:val="20"/>
              </w:rPr>
              <w:t>ď</w:t>
            </w:r>
            <w:r w:rsidRPr="00440CC5">
              <w:rPr>
                <w:rFonts w:hint="default"/>
                <w:i/>
                <w:sz w:val="20"/>
                <w:szCs w:val="20"/>
              </w:rPr>
              <w:t>te hlavné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body konzultá</w:t>
            </w:r>
            <w:r w:rsidRPr="00440CC5">
              <w:rPr>
                <w:rFonts w:hint="default"/>
                <w:i/>
                <w:sz w:val="20"/>
                <w:szCs w:val="20"/>
              </w:rPr>
              <w:t>cií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a vý</w:t>
            </w:r>
            <w:r w:rsidRPr="00440CC5">
              <w:rPr>
                <w:rFonts w:hint="default"/>
                <w:i/>
                <w:sz w:val="20"/>
                <w:szCs w:val="20"/>
              </w:rPr>
              <w:t>sledky konzultá</w:t>
            </w:r>
            <w:r w:rsidRPr="00440CC5">
              <w:rPr>
                <w:rFonts w:hint="default"/>
                <w:i/>
                <w:sz w:val="20"/>
                <w:szCs w:val="20"/>
              </w:rPr>
              <w:t>cií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863EC8" w:rsidP="00665915">
            <w:pPr>
              <w:bidi w:val="0"/>
              <w:jc w:val="both"/>
            </w:pPr>
            <w:r w:rsidRPr="00863EC8" w:rsidR="00CE3FD6">
              <w:rPr>
                <w:rFonts w:hint="default"/>
              </w:rPr>
              <w:t>Konzultá</w:t>
            </w:r>
            <w:r w:rsidRPr="00863EC8" w:rsidR="00CE3FD6">
              <w:rPr>
                <w:rFonts w:hint="default"/>
              </w:rPr>
              <w:t>cie so zubný</w:t>
            </w:r>
            <w:r w:rsidRPr="00863EC8" w:rsidR="00CE3FD6">
              <w:rPr>
                <w:rFonts w:hint="default"/>
              </w:rPr>
              <w:t>mi leká</w:t>
            </w:r>
            <w:r w:rsidRPr="00863EC8" w:rsidR="00CE3FD6">
              <w:rPr>
                <w:rFonts w:hint="default"/>
              </w:rPr>
              <w:t>rmi v </w:t>
            </w:r>
            <w:r w:rsidRPr="00863EC8" w:rsidR="00CE3FD6">
              <w:rPr>
                <w:rFonts w:hint="default"/>
              </w:rPr>
              <w:t>zastú</w:t>
            </w:r>
            <w:r w:rsidRPr="00863EC8" w:rsidR="00CE3FD6">
              <w:rPr>
                <w:rFonts w:hint="default"/>
              </w:rPr>
              <w:t>pení</w:t>
            </w:r>
            <w:r w:rsidRPr="00863EC8" w:rsidR="00CE3FD6">
              <w:rPr>
                <w:rFonts w:hint="default"/>
              </w:rPr>
              <w:t xml:space="preserve"> </w:t>
            </w:r>
            <w:r w:rsidRPr="00863EC8" w:rsidR="00665915">
              <w:rPr>
                <w:rFonts w:hint="default"/>
              </w:rPr>
              <w:t>s vedení</w:t>
            </w:r>
            <w:r w:rsidRPr="00863EC8" w:rsidR="00665915">
              <w:rPr>
                <w:rFonts w:hint="default"/>
              </w:rPr>
              <w:t>m Slovenskej komory zubný</w:t>
            </w:r>
            <w:r w:rsidRPr="00863EC8" w:rsidR="00665915">
              <w:rPr>
                <w:rFonts w:hint="default"/>
              </w:rPr>
              <w:t>ch leká</w:t>
            </w:r>
            <w:r w:rsidRPr="00863EC8" w:rsidR="00665915">
              <w:rPr>
                <w:rFonts w:hint="default"/>
              </w:rPr>
              <w:t>rov, ktorí</w:t>
            </w:r>
            <w:r w:rsidRPr="00863EC8" w:rsidR="00665915">
              <w:rPr>
                <w:rFonts w:hint="default"/>
              </w:rPr>
              <w:t xml:space="preserve"> </w:t>
            </w:r>
            <w:r w:rsidRPr="00863EC8" w:rsidR="00CE3FD6">
              <w:rPr>
                <w:rFonts w:hint="default"/>
              </w:rPr>
              <w:t>sú</w:t>
            </w:r>
            <w:r w:rsidRPr="00863EC8" w:rsidR="00CE3FD6">
              <w:rPr>
                <w:rFonts w:hint="default"/>
              </w:rPr>
              <w:t xml:space="preserve"> najväčš</w:t>
            </w:r>
            <w:r w:rsidRPr="00863EC8" w:rsidR="00CE3FD6">
              <w:rPr>
                <w:rFonts w:hint="default"/>
              </w:rPr>
              <w:t>ou skupinou subjektov, ktorý</w:t>
            </w:r>
            <w:r w:rsidRPr="00863EC8" w:rsidR="00CE3FD6">
              <w:rPr>
                <w:rFonts w:hint="default"/>
              </w:rPr>
              <w:t>ch sa dotý</w:t>
            </w:r>
            <w:r w:rsidRPr="00863EC8" w:rsidR="00CE3FD6">
              <w:rPr>
                <w:rFonts w:hint="default"/>
              </w:rPr>
              <w:t xml:space="preserve">ka </w:t>
            </w:r>
            <w:r w:rsidRPr="00863EC8" w:rsidR="00665915">
              <w:rPr>
                <w:rFonts w:hint="default"/>
              </w:rPr>
              <w:t>predkladaný</w:t>
            </w:r>
            <w:r w:rsidRPr="00863EC8" w:rsidR="00665915">
              <w:rPr>
                <w:rFonts w:hint="default"/>
              </w:rPr>
              <w:t xml:space="preserve"> </w:t>
            </w:r>
            <w:r w:rsidR="002A4CFF">
              <w:rPr>
                <w:rFonts w:hint="default"/>
              </w:rPr>
              <w:t>ná</w:t>
            </w:r>
            <w:r w:rsidR="002A4CFF">
              <w:rPr>
                <w:rFonts w:hint="default"/>
              </w:rPr>
              <w:t>vrh zá</w:t>
            </w:r>
            <w:r w:rsidR="002A4CFF">
              <w:rPr>
                <w:rFonts w:hint="default"/>
              </w:rPr>
              <w:t>kona</w:t>
            </w:r>
            <w:r w:rsidRPr="00863EC8" w:rsidR="00665915">
              <w:rPr>
                <w:rFonts w:hint="default"/>
              </w:rPr>
              <w:t>, sa uskutoč</w:t>
            </w:r>
            <w:r w:rsidRPr="00863EC8" w:rsidR="00665915">
              <w:rPr>
                <w:rFonts w:hint="default"/>
              </w:rPr>
              <w:t>nili v </w:t>
            </w:r>
            <w:r w:rsidRPr="00863EC8" w:rsidR="00665915">
              <w:rPr>
                <w:rFonts w:hint="default"/>
              </w:rPr>
              <w:t>rô</w:t>
            </w:r>
            <w:r w:rsidRPr="00863EC8" w:rsidR="00665915">
              <w:rPr>
                <w:rFonts w:hint="default"/>
              </w:rPr>
              <w:t>znych fá</w:t>
            </w:r>
            <w:r w:rsidRPr="00863EC8" w:rsidR="00665915">
              <w:rPr>
                <w:rFonts w:hint="default"/>
              </w:rPr>
              <w:t>zach prí</w:t>
            </w:r>
            <w:r w:rsidRPr="00863EC8" w:rsidR="00665915">
              <w:rPr>
                <w:rFonts w:hint="default"/>
              </w:rPr>
              <w:t xml:space="preserve">pravy </w:t>
            </w:r>
            <w:r w:rsidR="00863EC8">
              <w:rPr>
                <w:rFonts w:hint="default"/>
              </w:rPr>
              <w:t>ná</w:t>
            </w:r>
            <w:r w:rsidR="00863EC8">
              <w:rPr>
                <w:rFonts w:hint="default"/>
              </w:rPr>
              <w:t xml:space="preserve">vrh </w:t>
            </w:r>
            <w:r w:rsidRPr="00863EC8" w:rsidR="00665915">
              <w:rPr>
                <w:rFonts w:hint="default"/>
              </w:rPr>
              <w:t>zá</w:t>
            </w:r>
            <w:r w:rsidRPr="00863EC8" w:rsidR="00665915">
              <w:rPr>
                <w:rFonts w:hint="default"/>
              </w:rPr>
              <w:t>kona. Povinnosti zubný</w:t>
            </w:r>
            <w:r w:rsidRPr="00863EC8" w:rsidR="00665915">
              <w:rPr>
                <w:rFonts w:hint="default"/>
              </w:rPr>
              <w:t>ch leká</w:t>
            </w:r>
            <w:r w:rsidRPr="00863EC8" w:rsidR="00665915">
              <w:rPr>
                <w:rFonts w:hint="default"/>
              </w:rPr>
              <w:t>rov zjednoduš</w:t>
            </w:r>
            <w:r w:rsidRPr="00863EC8" w:rsidR="00665915">
              <w:rPr>
                <w:rFonts w:hint="default"/>
              </w:rPr>
              <w:t>ené</w:t>
            </w:r>
            <w:r w:rsidRPr="00863EC8" w:rsidR="00665915">
              <w:rPr>
                <w:rFonts w:hint="default"/>
              </w:rPr>
              <w:t xml:space="preserve"> vo forme registrá</w:t>
            </w:r>
            <w:r w:rsidRPr="00863EC8" w:rsidR="00665915">
              <w:rPr>
                <w:rFonts w:hint="default"/>
              </w:rPr>
              <w:t>cie č</w:t>
            </w:r>
            <w:r w:rsidRPr="00863EC8" w:rsidR="00665915">
              <w:rPr>
                <w:rFonts w:hint="default"/>
              </w:rPr>
              <w:t>innosti  oproti súč</w:t>
            </w:r>
            <w:r w:rsidRPr="00863EC8" w:rsidR="00665915">
              <w:rPr>
                <w:rFonts w:hint="default"/>
              </w:rPr>
              <w:t>asnej povinnosti ž</w:t>
            </w:r>
            <w:r w:rsidRPr="00863EC8" w:rsidR="00665915">
              <w:rPr>
                <w:rFonts w:hint="default"/>
              </w:rPr>
              <w:t>iadať</w:t>
            </w:r>
            <w:r w:rsidRPr="00863EC8" w:rsidR="00665915">
              <w:rPr>
                <w:rFonts w:hint="default"/>
              </w:rPr>
              <w:t xml:space="preserve"> o vydanie povolenia a </w:t>
            </w:r>
            <w:r w:rsidRPr="00863EC8" w:rsidR="00665915">
              <w:rPr>
                <w:rFonts w:hint="default"/>
              </w:rPr>
              <w:t>zá</w:t>
            </w:r>
            <w:r w:rsidRPr="00863EC8" w:rsidR="00665915">
              <w:rPr>
                <w:rFonts w:hint="default"/>
              </w:rPr>
              <w:t>roveň</w:t>
            </w:r>
            <w:r w:rsidRPr="00863EC8" w:rsidR="00665915">
              <w:rPr>
                <w:rFonts w:hint="default"/>
              </w:rPr>
              <w:t xml:space="preserve"> zjednoduš</w:t>
            </w:r>
            <w:r w:rsidRPr="00863EC8" w:rsidR="00665915">
              <w:rPr>
                <w:rFonts w:hint="default"/>
              </w:rPr>
              <w:t>enie povinnosti v </w:t>
            </w:r>
            <w:r w:rsidRPr="00863EC8" w:rsidR="00665915">
              <w:rPr>
                <w:rFonts w:hint="default"/>
              </w:rPr>
              <w:t>sú</w:t>
            </w:r>
            <w:r w:rsidRPr="00863EC8" w:rsidR="00665915">
              <w:rPr>
                <w:rFonts w:hint="default"/>
              </w:rPr>
              <w:t>vislosti s </w:t>
            </w:r>
            <w:r w:rsidRPr="00863EC8" w:rsidR="00665915">
              <w:rPr>
                <w:rFonts w:hint="default"/>
              </w:rPr>
              <w:t>odbornou spô</w:t>
            </w:r>
            <w:r w:rsidRPr="00863EC8" w:rsidR="00665915">
              <w:rPr>
                <w:rFonts w:hint="default"/>
              </w:rPr>
              <w:t>sobilosť</w:t>
            </w:r>
            <w:r w:rsidRPr="00863EC8" w:rsidR="00665915">
              <w:rPr>
                <w:rFonts w:hint="default"/>
              </w:rPr>
              <w:t>ou.</w:t>
            </w:r>
            <w:r w:rsidRPr="00863EC8" w:rsidR="00CE3FD6">
              <w:t xml:space="preserve">  </w:t>
            </w:r>
          </w:p>
          <w:p w:rsidR="00E26981" w:rsidRPr="00863EC8" w:rsidP="00665915">
            <w:pPr>
              <w:bidi w:val="0"/>
              <w:jc w:val="both"/>
              <w:rPr>
                <w:rFonts w:hint="default"/>
              </w:rPr>
            </w:pPr>
            <w:r w:rsidRPr="00863EC8">
              <w:rPr>
                <w:rFonts w:hint="default"/>
              </w:rPr>
              <w:t>Uskutoč</w:t>
            </w:r>
            <w:r w:rsidRPr="00863EC8">
              <w:rPr>
                <w:rFonts w:hint="default"/>
              </w:rPr>
              <w:t>nili sa konzultá</w:t>
            </w:r>
            <w:r w:rsidRPr="00863EC8">
              <w:rPr>
                <w:rFonts w:hint="default"/>
              </w:rPr>
              <w:t xml:space="preserve">cie </w:t>
            </w:r>
            <w:r w:rsidRPr="00863EC8">
              <w:rPr>
                <w:rFonts w:hint="default"/>
              </w:rPr>
              <w:t>s </w:t>
            </w:r>
            <w:r w:rsidRPr="00863EC8">
              <w:rPr>
                <w:rFonts w:hint="default"/>
              </w:rPr>
              <w:t>predstaviteľ</w:t>
            </w:r>
            <w:r w:rsidRPr="00863EC8">
              <w:rPr>
                <w:rFonts w:hint="default"/>
              </w:rPr>
              <w:t>mi Slovenský</w:t>
            </w:r>
            <w:r w:rsidRPr="00863EC8">
              <w:rPr>
                <w:rFonts w:hint="default"/>
              </w:rPr>
              <w:t>ch elektrá</w:t>
            </w:r>
            <w:r w:rsidRPr="00863EC8">
              <w:rPr>
                <w:rFonts w:hint="default"/>
              </w:rPr>
              <w:t>rní</w:t>
            </w:r>
            <w:r w:rsidRPr="00863EC8">
              <w:rPr>
                <w:rFonts w:hint="default"/>
              </w:rPr>
              <w:t xml:space="preserve">, a. s. </w:t>
            </w:r>
            <w:r w:rsidRPr="00863EC8">
              <w:rPr>
                <w:rFonts w:hint="default"/>
              </w:rPr>
              <w:t>–</w:t>
            </w:r>
            <w:r w:rsidRPr="00863EC8">
              <w:rPr>
                <w:rFonts w:hint="default"/>
              </w:rPr>
              <w:t xml:space="preserve"> Jaslovské</w:t>
            </w:r>
            <w:r w:rsidRPr="00863EC8">
              <w:rPr>
                <w:rFonts w:hint="default"/>
              </w:rPr>
              <w:t xml:space="preserve"> Bohunice a Mochovce a </w:t>
            </w:r>
            <w:r w:rsidRPr="00863EC8">
              <w:rPr>
                <w:rFonts w:hint="default"/>
              </w:rPr>
              <w:t>predstaviteľ</w:t>
            </w:r>
            <w:r w:rsidRPr="00863EC8">
              <w:rPr>
                <w:rFonts w:hint="default"/>
              </w:rPr>
              <w:t>mi spoloč</w:t>
            </w:r>
            <w:r w:rsidRPr="00863EC8">
              <w:rPr>
                <w:rFonts w:hint="default"/>
              </w:rPr>
              <w:t>nosti Jadrovej vyraď</w:t>
            </w:r>
            <w:r w:rsidRPr="00863EC8">
              <w:rPr>
                <w:rFonts w:hint="default"/>
              </w:rPr>
              <w:t>ovacej spoloč</w:t>
            </w:r>
            <w:r w:rsidRPr="00863EC8">
              <w:rPr>
                <w:rFonts w:hint="default"/>
              </w:rPr>
              <w:t>nosti.</w:t>
            </w:r>
          </w:p>
          <w:p w:rsidR="00E26981" w:rsidRPr="00CE3FD6" w:rsidP="00665915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E3363B" w:rsidRPr="00440CC5" w:rsidP="00E3363B">
            <w:pPr>
              <w:bidi w:val="0"/>
              <w:rPr>
                <w:rFonts w:hint="default"/>
                <w:b/>
                <w:szCs w:val="20"/>
              </w:rPr>
            </w:pPr>
            <w:r w:rsidRPr="00440CC5">
              <w:rPr>
                <w:rFonts w:hint="default"/>
                <w:b/>
                <w:szCs w:val="20"/>
              </w:rPr>
              <w:t>3.3 Ná</w:t>
            </w:r>
            <w:r w:rsidRPr="00440CC5">
              <w:rPr>
                <w:rFonts w:hint="default"/>
                <w:b/>
                <w:szCs w:val="20"/>
              </w:rPr>
              <w:t>klady regulá</w:t>
            </w:r>
            <w:r w:rsidRPr="00440CC5">
              <w:rPr>
                <w:rFonts w:hint="default"/>
                <w:b/>
                <w:szCs w:val="20"/>
              </w:rPr>
              <w:t>cie</w:t>
            </w:r>
          </w:p>
          <w:p w:rsidR="00E3363B" w:rsidRPr="00440CC5" w:rsidP="00E3363B">
            <w:pPr>
              <w:bidi w:val="0"/>
              <w:rPr>
                <w:b/>
                <w:sz w:val="20"/>
                <w:szCs w:val="20"/>
              </w:rPr>
            </w:pPr>
            <w:r w:rsidRPr="00440CC5">
              <w:rPr>
                <w:szCs w:val="20"/>
              </w:rPr>
              <w:t xml:space="preserve">      - </w:t>
            </w:r>
            <w:r w:rsidRPr="00440CC5">
              <w:rPr>
                <w:b/>
                <w:szCs w:val="20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440CC5" w:rsidP="00E3363B">
            <w:pPr>
              <w:bidi w:val="0"/>
              <w:rPr>
                <w:rFonts w:hint="default"/>
                <w:b/>
                <w:i/>
                <w:sz w:val="20"/>
                <w:szCs w:val="20"/>
              </w:rPr>
            </w:pPr>
            <w:r w:rsidRPr="00440CC5">
              <w:rPr>
                <w:rFonts w:hint="default"/>
                <w:b/>
                <w:i/>
                <w:sz w:val="20"/>
                <w:szCs w:val="20"/>
              </w:rPr>
              <w:t>3.3.1 Priame finanč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né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 xml:space="preserve"> ná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klady</w:t>
            </w:r>
          </w:p>
          <w:p w:rsidR="00E3363B" w:rsidRPr="00440CC5" w:rsidP="00E3363B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Dochá</w:t>
            </w:r>
            <w:r w:rsidRPr="00440CC5">
              <w:rPr>
                <w:rFonts w:hint="default"/>
                <w:i/>
                <w:sz w:val="20"/>
                <w:szCs w:val="20"/>
              </w:rPr>
              <w:t>dza k </w:t>
            </w:r>
            <w:r w:rsidRPr="00440CC5">
              <w:rPr>
                <w:rFonts w:hint="default"/>
                <w:i/>
                <w:sz w:val="20"/>
                <w:szCs w:val="20"/>
              </w:rPr>
              <w:t>zvýš</w:t>
            </w:r>
            <w:r w:rsidRPr="00440CC5">
              <w:rPr>
                <w:rFonts w:hint="default"/>
                <w:i/>
                <w:sz w:val="20"/>
                <w:szCs w:val="20"/>
              </w:rPr>
              <w:t>eniu/zníž</w:t>
            </w:r>
            <w:r w:rsidRPr="00440CC5">
              <w:rPr>
                <w:rFonts w:hint="default"/>
                <w:i/>
                <w:sz w:val="20"/>
                <w:szCs w:val="20"/>
              </w:rPr>
              <w:t>eniu priamych finanč</w:t>
            </w:r>
            <w:r w:rsidRPr="00440CC5">
              <w:rPr>
                <w:rFonts w:hint="default"/>
                <w:i/>
                <w:sz w:val="20"/>
                <w:szCs w:val="20"/>
              </w:rPr>
              <w:t>ný</w:t>
            </w:r>
            <w:r w:rsidRPr="00440CC5">
              <w:rPr>
                <w:rFonts w:hint="default"/>
                <w:i/>
                <w:sz w:val="20"/>
                <w:szCs w:val="20"/>
              </w:rPr>
              <w:t>ch ná</w:t>
            </w:r>
            <w:r w:rsidRPr="00440CC5">
              <w:rPr>
                <w:rFonts w:hint="default"/>
                <w:i/>
                <w:sz w:val="20"/>
                <w:szCs w:val="20"/>
              </w:rPr>
              <w:t>kladov (poplatky, odvody, dane clá</w:t>
            </w:r>
            <w:r w:rsidRPr="00440CC5">
              <w:rPr>
                <w:rFonts w:hint="default"/>
                <w:i/>
                <w:sz w:val="20"/>
                <w:szCs w:val="20"/>
              </w:rPr>
              <w:t>...)? Ak á</w:t>
            </w:r>
            <w:r w:rsidRPr="00440CC5">
              <w:rPr>
                <w:rFonts w:hint="default"/>
                <w:i/>
                <w:sz w:val="20"/>
                <w:szCs w:val="20"/>
              </w:rPr>
              <w:t>no, popíš</w:t>
            </w:r>
            <w:r w:rsidRPr="00440CC5">
              <w:rPr>
                <w:rFonts w:hint="default"/>
                <w:i/>
                <w:sz w:val="20"/>
                <w:szCs w:val="20"/>
              </w:rPr>
              <w:t>te a vyčí</w:t>
            </w:r>
            <w:r w:rsidRPr="00440CC5">
              <w:rPr>
                <w:rFonts w:hint="default"/>
                <w:i/>
                <w:sz w:val="20"/>
                <w:szCs w:val="20"/>
              </w:rPr>
              <w:t>slite ich. Uveď</w:t>
            </w:r>
            <w:r w:rsidRPr="00440CC5">
              <w:rPr>
                <w:rFonts w:hint="default"/>
                <w:i/>
                <w:sz w:val="20"/>
                <w:szCs w:val="20"/>
              </w:rPr>
              <w:t>te tiež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spô</w:t>
            </w:r>
            <w:r w:rsidRPr="00440CC5">
              <w:rPr>
                <w:rFonts w:hint="default"/>
                <w:i/>
                <w:sz w:val="20"/>
                <w:szCs w:val="20"/>
              </w:rPr>
              <w:t>sob ich vý</w:t>
            </w:r>
            <w:r w:rsidRPr="00440CC5">
              <w:rPr>
                <w:rFonts w:hint="default"/>
                <w:i/>
                <w:sz w:val="20"/>
                <w:szCs w:val="20"/>
              </w:rPr>
              <w:t>poč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863EC8" w:rsidP="00665915">
            <w:pPr>
              <w:bidi w:val="0"/>
              <w:jc w:val="both"/>
            </w:pPr>
            <w:r w:rsidRPr="00863EC8">
              <w:rPr>
                <w:rFonts w:hint="default"/>
              </w:rPr>
              <w:t>Predkladaný</w:t>
            </w:r>
            <w:r w:rsidRPr="00863EC8">
              <w:rPr>
                <w:rFonts w:hint="default"/>
              </w:rPr>
              <w:t xml:space="preserve"> ná</w:t>
            </w:r>
            <w:r w:rsidRPr="00863EC8">
              <w:rPr>
                <w:rFonts w:hint="default"/>
              </w:rPr>
              <w:t>vrh zá</w:t>
            </w:r>
            <w:r w:rsidRPr="00863EC8">
              <w:rPr>
                <w:rFonts w:hint="default"/>
              </w:rPr>
              <w:t xml:space="preserve">kona </w:t>
            </w:r>
            <w:r w:rsidRPr="00863EC8" w:rsidR="00665915">
              <w:rPr>
                <w:rFonts w:hint="default"/>
              </w:rPr>
              <w:t>obsahuje zmenu zá</w:t>
            </w:r>
            <w:r w:rsidRPr="00863EC8" w:rsidR="00665915">
              <w:rPr>
                <w:rFonts w:hint="default"/>
              </w:rPr>
              <w:t>kona o </w:t>
            </w:r>
            <w:r w:rsidRPr="00863EC8" w:rsidR="00665915">
              <w:rPr>
                <w:rFonts w:hint="default"/>
              </w:rPr>
              <w:t>sprá</w:t>
            </w:r>
            <w:r w:rsidRPr="00863EC8" w:rsidR="00665915">
              <w:rPr>
                <w:rFonts w:hint="default"/>
              </w:rPr>
              <w:t>vnych poplatkoch vzhľ</w:t>
            </w:r>
            <w:r w:rsidRPr="00863EC8" w:rsidR="00665915">
              <w:rPr>
                <w:rFonts w:hint="default"/>
              </w:rPr>
              <w:t>adom na novú</w:t>
            </w:r>
            <w:r w:rsidRPr="00863EC8" w:rsidR="00665915">
              <w:rPr>
                <w:rFonts w:hint="default"/>
              </w:rPr>
              <w:t xml:space="preserve"> š</w:t>
            </w:r>
            <w:r w:rsidRPr="00863EC8" w:rsidR="00665915">
              <w:rPr>
                <w:rFonts w:hint="default"/>
              </w:rPr>
              <w:t>truktú</w:t>
            </w:r>
            <w:r w:rsidRPr="00863EC8" w:rsidR="00665915">
              <w:rPr>
                <w:rFonts w:hint="default"/>
              </w:rPr>
              <w:t>ru povolení</w:t>
            </w:r>
            <w:r w:rsidRPr="00863EC8" w:rsidR="00665915">
              <w:rPr>
                <w:rFonts w:hint="default"/>
              </w:rPr>
              <w:t xml:space="preserve"> a </w:t>
            </w:r>
            <w:r w:rsidRPr="00863EC8" w:rsidR="00665915">
              <w:rPr>
                <w:rFonts w:hint="default"/>
              </w:rPr>
              <w:t>hodnoty sprá</w:t>
            </w:r>
            <w:r w:rsidRPr="00863EC8" w:rsidR="00665915">
              <w:rPr>
                <w:rFonts w:hint="default"/>
              </w:rPr>
              <w:t>vn</w:t>
            </w:r>
            <w:r w:rsidRPr="00863EC8" w:rsidR="00665915">
              <w:rPr>
                <w:rFonts w:hint="default"/>
              </w:rPr>
              <w:t>ych poplatkov majú</w:t>
            </w:r>
            <w:r w:rsidRPr="00863EC8" w:rsidR="00665915">
              <w:rPr>
                <w:rFonts w:hint="default"/>
              </w:rPr>
              <w:t xml:space="preserve"> marginá</w:t>
            </w:r>
            <w:r w:rsidRPr="00863EC8" w:rsidR="00665915">
              <w:rPr>
                <w:rFonts w:hint="default"/>
              </w:rPr>
              <w:t xml:space="preserve">lny vplyv. </w:t>
            </w:r>
            <w:r w:rsidR="00863EC8">
              <w:t>P</w:t>
            </w:r>
            <w:r w:rsidRPr="00863EC8" w:rsidR="00665915">
              <w:t>ovolenia</w:t>
            </w:r>
            <w:r w:rsidR="00863EC8">
              <w:t xml:space="preserve"> sa</w:t>
            </w:r>
            <w:r w:rsidRPr="00863EC8" w:rsidR="00665915">
              <w:rPr>
                <w:rFonts w:hint="default"/>
              </w:rPr>
              <w:t xml:space="preserve"> vydá</w:t>
            </w:r>
            <w:r w:rsidRPr="00863EC8" w:rsidR="00665915">
              <w:rPr>
                <w:rFonts w:hint="default"/>
              </w:rPr>
              <w:t>vajú</w:t>
            </w:r>
            <w:r w:rsidRPr="00863EC8" w:rsidR="00665915">
              <w:rPr>
                <w:rFonts w:hint="default"/>
              </w:rPr>
              <w:t xml:space="preserve"> na neurč</w:t>
            </w:r>
            <w:r w:rsidRPr="00863EC8" w:rsidR="00665915">
              <w:rPr>
                <w:rFonts w:hint="default"/>
              </w:rPr>
              <w:t>itý</w:t>
            </w:r>
            <w:r w:rsidRPr="00863EC8" w:rsidR="00665915">
              <w:rPr>
                <w:rFonts w:hint="default"/>
              </w:rPr>
              <w:t xml:space="preserve"> č</w:t>
            </w:r>
            <w:r w:rsidRPr="00863EC8" w:rsidR="00665915">
              <w:rPr>
                <w:rFonts w:hint="default"/>
              </w:rPr>
              <w:t>as a </w:t>
            </w:r>
            <w:r w:rsidRPr="00863EC8" w:rsidR="00665915">
              <w:rPr>
                <w:rFonts w:hint="default"/>
              </w:rPr>
              <w:t>zostá</w:t>
            </w:r>
            <w:r w:rsidRPr="00863EC8" w:rsidR="00665915">
              <w:rPr>
                <w:rFonts w:hint="default"/>
              </w:rPr>
              <w:t>vajú</w:t>
            </w:r>
            <w:r w:rsidRPr="00863EC8" w:rsidR="00665915">
              <w:rPr>
                <w:rFonts w:hint="default"/>
              </w:rPr>
              <w:t xml:space="preserve"> v platnosti</w:t>
            </w:r>
            <w:r w:rsidRPr="00863EC8">
              <w:t>.</w:t>
            </w:r>
            <w:r w:rsidRPr="00863EC8" w:rsidR="00665915">
              <w:rPr>
                <w:rFonts w:hint="default"/>
              </w:rPr>
              <w:t xml:space="preserve"> Materiá</w:t>
            </w:r>
            <w:r w:rsidRPr="00863EC8" w:rsidR="00665915">
              <w:rPr>
                <w:rFonts w:hint="default"/>
              </w:rPr>
              <w:t>l nepredpokladá</w:t>
            </w:r>
            <w:r w:rsidRPr="00863EC8" w:rsidR="00665915">
              <w:rPr>
                <w:rFonts w:hint="default"/>
              </w:rPr>
              <w:t xml:space="preserve"> vysoký</w:t>
            </w:r>
            <w:r w:rsidRPr="00863EC8" w:rsidR="00665915">
              <w:rPr>
                <w:rFonts w:hint="default"/>
              </w:rPr>
              <w:t xml:space="preserve"> ná</w:t>
            </w:r>
            <w:r w:rsidRPr="00863EC8" w:rsidR="00665915">
              <w:rPr>
                <w:rFonts w:hint="default"/>
              </w:rPr>
              <w:t>rast ž</w:t>
            </w:r>
            <w:r w:rsidRPr="00863EC8" w:rsidR="00665915">
              <w:rPr>
                <w:rFonts w:hint="default"/>
              </w:rPr>
              <w:t>iadostí</w:t>
            </w:r>
            <w:r w:rsidRPr="00863EC8" w:rsidR="00665915">
              <w:rPr>
                <w:rFonts w:hint="default"/>
              </w:rPr>
              <w:t xml:space="preserve"> a </w:t>
            </w:r>
            <w:r w:rsidRPr="00863EC8" w:rsidR="00665915">
              <w:rPr>
                <w:rFonts w:hint="default"/>
              </w:rPr>
              <w:t>prí</w:t>
            </w:r>
            <w:r w:rsidRPr="00863EC8" w:rsidR="00665915">
              <w:rPr>
                <w:rFonts w:hint="default"/>
              </w:rPr>
              <w:t>j</w:t>
            </w:r>
            <w:r w:rsidRPr="00863EC8" w:rsidR="00E26981">
              <w:t>e</w:t>
            </w:r>
            <w:r w:rsidRPr="00863EC8" w:rsidR="00665915">
              <w:t>m z</w:t>
            </w:r>
            <w:r w:rsidRPr="00863EC8" w:rsidR="00E26981">
              <w:t> </w:t>
            </w:r>
            <w:r w:rsidRPr="00863EC8" w:rsidR="00665915">
              <w:t>poplatkov</w:t>
            </w:r>
            <w:r w:rsidRPr="00863EC8" w:rsidR="00E26981">
              <w:rPr>
                <w:rFonts w:hint="default"/>
              </w:rPr>
              <w:t xml:space="preserve"> do š</w:t>
            </w:r>
            <w:r w:rsidRPr="00863EC8" w:rsidR="00E26981">
              <w:rPr>
                <w:rFonts w:hint="default"/>
              </w:rPr>
              <w:t>tá</w:t>
            </w:r>
            <w:r w:rsidRPr="00863EC8" w:rsidR="00E26981">
              <w:rPr>
                <w:rFonts w:hint="default"/>
              </w:rPr>
              <w:t>tneho rozpoč</w:t>
            </w:r>
            <w:r w:rsidRPr="00863EC8" w:rsidR="00E26981">
              <w:rPr>
                <w:rFonts w:hint="default"/>
              </w:rPr>
              <w:t>tu bude minimá</w:t>
            </w:r>
            <w:r w:rsidRPr="00863EC8" w:rsidR="00E26981">
              <w:rPr>
                <w:rFonts w:hint="default"/>
              </w:rPr>
              <w:t>lny.</w:t>
            </w:r>
          </w:p>
          <w:p w:rsidR="00E3363B" w:rsidRPr="00440CC5" w:rsidP="00E3363B">
            <w:pPr>
              <w:bidi w:val="0"/>
              <w:rPr>
                <w:b/>
                <w:i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440CC5" w:rsidP="00E3363B">
            <w:pPr>
              <w:bidi w:val="0"/>
              <w:rPr>
                <w:rFonts w:hint="default"/>
                <w:b/>
                <w:i/>
                <w:sz w:val="20"/>
                <w:szCs w:val="20"/>
              </w:rPr>
            </w:pPr>
            <w:r w:rsidRPr="00440CC5">
              <w:rPr>
                <w:rFonts w:hint="default"/>
                <w:b/>
                <w:i/>
                <w:sz w:val="20"/>
                <w:szCs w:val="20"/>
              </w:rPr>
              <w:t>3.3.2 Nepriame finanč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né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 xml:space="preserve"> ná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klady</w:t>
            </w:r>
          </w:p>
          <w:p w:rsidR="00E3363B" w:rsidRPr="00440CC5" w:rsidP="00E3363B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Vyž</w:t>
            </w:r>
            <w:r w:rsidRPr="00440CC5">
              <w:rPr>
                <w:rFonts w:hint="default"/>
                <w:i/>
                <w:sz w:val="20"/>
                <w:szCs w:val="20"/>
              </w:rPr>
              <w:t>aduje si predkladaný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ná</w:t>
            </w:r>
            <w:r w:rsidRPr="00440CC5">
              <w:rPr>
                <w:rFonts w:hint="default"/>
                <w:i/>
                <w:sz w:val="20"/>
                <w:szCs w:val="20"/>
              </w:rPr>
              <w:t>vrh dodatoč</w:t>
            </w:r>
            <w:r w:rsidRPr="00440CC5">
              <w:rPr>
                <w:rFonts w:hint="default"/>
                <w:i/>
                <w:sz w:val="20"/>
                <w:szCs w:val="20"/>
              </w:rPr>
              <w:t>né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ná</w:t>
            </w:r>
            <w:r w:rsidRPr="00440CC5">
              <w:rPr>
                <w:rFonts w:hint="default"/>
                <w:i/>
                <w:sz w:val="20"/>
                <w:szCs w:val="20"/>
              </w:rPr>
              <w:t>klady na ná</w:t>
            </w:r>
            <w:r w:rsidRPr="00440CC5">
              <w:rPr>
                <w:rFonts w:hint="default"/>
                <w:i/>
                <w:sz w:val="20"/>
                <w:szCs w:val="20"/>
              </w:rPr>
              <w:t>kup tovarov alebo služ</w:t>
            </w:r>
            <w:r w:rsidRPr="00440CC5">
              <w:rPr>
                <w:rFonts w:hint="default"/>
                <w:i/>
                <w:sz w:val="20"/>
                <w:szCs w:val="20"/>
              </w:rPr>
              <w:t>ieb? Zvyš</w:t>
            </w:r>
            <w:r w:rsidRPr="00440CC5">
              <w:rPr>
                <w:rFonts w:hint="default"/>
                <w:i/>
                <w:sz w:val="20"/>
                <w:szCs w:val="20"/>
              </w:rPr>
              <w:t>uje predkladaný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ná</w:t>
            </w:r>
            <w:r w:rsidRPr="00440CC5">
              <w:rPr>
                <w:rFonts w:hint="default"/>
                <w:i/>
                <w:sz w:val="20"/>
                <w:szCs w:val="20"/>
              </w:rPr>
              <w:t>vrh ná</w:t>
            </w:r>
            <w:r w:rsidRPr="00440CC5">
              <w:rPr>
                <w:rFonts w:hint="default"/>
                <w:i/>
                <w:sz w:val="20"/>
                <w:szCs w:val="20"/>
              </w:rPr>
              <w:t>klady sú</w:t>
            </w:r>
            <w:r w:rsidRPr="00440CC5">
              <w:rPr>
                <w:rFonts w:hint="default"/>
                <w:i/>
                <w:sz w:val="20"/>
                <w:szCs w:val="20"/>
              </w:rPr>
              <w:t>visiace so zamestná</w:t>
            </w:r>
            <w:r w:rsidRPr="00440CC5">
              <w:rPr>
                <w:rFonts w:hint="default"/>
                <w:i/>
                <w:sz w:val="20"/>
                <w:szCs w:val="20"/>
              </w:rPr>
              <w:t>vaní</w:t>
            </w:r>
            <w:r w:rsidRPr="00440CC5">
              <w:rPr>
                <w:rFonts w:hint="default"/>
                <w:i/>
                <w:sz w:val="20"/>
                <w:szCs w:val="20"/>
              </w:rPr>
              <w:t>m? Ak á</w:t>
            </w:r>
            <w:r w:rsidRPr="00440CC5">
              <w:rPr>
                <w:rFonts w:hint="default"/>
                <w:i/>
                <w:sz w:val="20"/>
                <w:szCs w:val="20"/>
              </w:rPr>
              <w:t>no, popíš</w:t>
            </w:r>
            <w:r w:rsidRPr="00440CC5">
              <w:rPr>
                <w:rFonts w:hint="default"/>
                <w:i/>
                <w:sz w:val="20"/>
                <w:szCs w:val="20"/>
              </w:rPr>
              <w:t>te a vyčí</w:t>
            </w:r>
            <w:r w:rsidRPr="00440CC5">
              <w:rPr>
                <w:rFonts w:hint="default"/>
                <w:i/>
                <w:sz w:val="20"/>
                <w:szCs w:val="20"/>
              </w:rPr>
              <w:t>slite ich. Uveď</w:t>
            </w:r>
            <w:r w:rsidRPr="00440CC5">
              <w:rPr>
                <w:rFonts w:hint="default"/>
                <w:i/>
                <w:sz w:val="20"/>
                <w:szCs w:val="20"/>
              </w:rPr>
              <w:t>te tiež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spô</w:t>
            </w:r>
            <w:r w:rsidRPr="00440CC5">
              <w:rPr>
                <w:rFonts w:hint="default"/>
                <w:i/>
                <w:sz w:val="20"/>
                <w:szCs w:val="20"/>
              </w:rPr>
              <w:t>sob ich vý</w:t>
            </w:r>
            <w:r w:rsidRPr="00440CC5">
              <w:rPr>
                <w:rFonts w:hint="default"/>
                <w:i/>
                <w:sz w:val="20"/>
                <w:szCs w:val="20"/>
              </w:rPr>
              <w:t>poč</w:t>
            </w:r>
            <w:r w:rsidRPr="00440CC5">
              <w:rPr>
                <w:rFonts w:hint="default"/>
                <w:i/>
                <w:sz w:val="20"/>
                <w:szCs w:val="20"/>
              </w:rPr>
              <w:t>tu.</w:t>
            </w:r>
          </w:p>
        </w:tc>
      </w:tr>
      <w:tr>
        <w:tblPrEx>
          <w:tblW w:w="0" w:type="auto"/>
          <w:tblLook w:val="04A0"/>
        </w:tblPrEx>
        <w:trPr>
          <w:trHeight w:val="587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EC8" w:rsidRPr="007D1264" w:rsidP="00863EC8">
            <w:pPr>
              <w:bidi w:val="0"/>
              <w:jc w:val="both"/>
              <w:rPr>
                <w:rFonts w:hint="default"/>
              </w:rPr>
            </w:pPr>
            <w:r w:rsidRPr="007D1264">
              <w:rPr>
                <w:rFonts w:hint="default"/>
              </w:rPr>
              <w:t>Predkladaný</w:t>
            </w:r>
            <w:r w:rsidRPr="007D1264">
              <w:rPr>
                <w:rFonts w:hint="default"/>
              </w:rPr>
              <w:t xml:space="preserve"> </w:t>
            </w:r>
            <w:r w:rsidR="007D1264">
              <w:rPr>
                <w:rFonts w:hint="default"/>
              </w:rPr>
              <w:t>ná</w:t>
            </w:r>
            <w:r w:rsidR="007D1264">
              <w:rPr>
                <w:rFonts w:hint="default"/>
              </w:rPr>
              <w:t>vrh zá</w:t>
            </w:r>
            <w:r w:rsidR="007D1264">
              <w:rPr>
                <w:rFonts w:hint="default"/>
              </w:rPr>
              <w:t>kona</w:t>
            </w:r>
            <w:r w:rsidRPr="007D1264">
              <w:rPr>
                <w:rFonts w:hint="default"/>
              </w:rPr>
              <w:t xml:space="preserve"> predpokladá</w:t>
            </w:r>
            <w:r w:rsidRPr="007D1264">
              <w:rPr>
                <w:rFonts w:hint="default"/>
              </w:rPr>
              <w:t xml:space="preserve"> ná</w:t>
            </w:r>
            <w:r w:rsidRPr="007D1264">
              <w:rPr>
                <w:rFonts w:hint="default"/>
              </w:rPr>
              <w:t>klady na vyb</w:t>
            </w:r>
            <w:r w:rsidRPr="007D1264">
              <w:rPr>
                <w:rFonts w:hint="default"/>
              </w:rPr>
              <w:t>avenie monitorovacou technikou pre monitorovanie radiač</w:t>
            </w:r>
            <w:r w:rsidRPr="007D1264">
              <w:rPr>
                <w:rFonts w:hint="default"/>
              </w:rPr>
              <w:t>nej situá</w:t>
            </w:r>
            <w:r w:rsidRPr="007D1264">
              <w:rPr>
                <w:rFonts w:hint="default"/>
              </w:rPr>
              <w:t>cie.</w:t>
            </w:r>
          </w:p>
          <w:p w:rsidR="00863EC8" w:rsidP="00863EC8">
            <w:pPr>
              <w:bidi w:val="0"/>
              <w:jc w:val="both"/>
              <w:rPr>
                <w:sz w:val="20"/>
                <w:szCs w:val="20"/>
              </w:rPr>
            </w:pPr>
          </w:p>
          <w:p w:rsidR="00863EC8" w:rsidP="00863EC8">
            <w:pPr>
              <w:bidi w:val="0"/>
              <w:rPr>
                <w:i/>
                <w:sz w:val="20"/>
                <w:szCs w:val="20"/>
              </w:rPr>
            </w:pPr>
          </w:p>
          <w:p w:rsidR="00863EC8" w:rsidRPr="00387479" w:rsidP="00863EC8">
            <w:pPr>
              <w:bidi w:val="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87479">
              <w:rPr>
                <w:rFonts w:hint="default"/>
                <w:sz w:val="20"/>
                <w:szCs w:val="20"/>
              </w:rPr>
              <w:t>Technické</w:t>
            </w:r>
            <w:r w:rsidRPr="00387479">
              <w:rPr>
                <w:rFonts w:hint="default"/>
                <w:sz w:val="20"/>
                <w:szCs w:val="20"/>
              </w:rPr>
              <w:t xml:space="preserve"> vybavenie laborató</w:t>
            </w:r>
            <w:r w:rsidRPr="00387479">
              <w:rPr>
                <w:rFonts w:hint="default"/>
                <w:sz w:val="20"/>
                <w:szCs w:val="20"/>
              </w:rPr>
              <w:t>rií</w:t>
            </w:r>
            <w:r w:rsidRPr="00387479">
              <w:rPr>
                <w:rFonts w:hint="default"/>
                <w:sz w:val="20"/>
                <w:szCs w:val="20"/>
              </w:rPr>
              <w:t xml:space="preserve"> VÚ</w:t>
            </w:r>
            <w:r w:rsidRPr="00387479">
              <w:rPr>
                <w:rFonts w:hint="default"/>
                <w:sz w:val="20"/>
                <w:szCs w:val="20"/>
              </w:rPr>
              <w:t>JE</w:t>
            </w:r>
            <w:r>
              <w:rPr>
                <w:rFonts w:hint="default"/>
                <w:sz w:val="20"/>
                <w:szCs w:val="20"/>
              </w:rPr>
              <w:t xml:space="preserve"> Trnava na monitorovanie radiač</w:t>
            </w:r>
            <w:r>
              <w:rPr>
                <w:rFonts w:hint="default"/>
                <w:sz w:val="20"/>
                <w:szCs w:val="20"/>
              </w:rPr>
              <w:t>nej situá</w:t>
            </w:r>
            <w:r>
              <w:rPr>
                <w:rFonts w:hint="default"/>
                <w:sz w:val="20"/>
                <w:szCs w:val="20"/>
              </w:rPr>
              <w:t>cie v </w:t>
            </w:r>
            <w:r>
              <w:rPr>
                <w:rFonts w:hint="default"/>
                <w:sz w:val="20"/>
                <w:szCs w:val="20"/>
              </w:rPr>
              <w:t>rá</w:t>
            </w:r>
            <w:r>
              <w:rPr>
                <w:rFonts w:hint="default"/>
                <w:sz w:val="20"/>
                <w:szCs w:val="20"/>
              </w:rPr>
              <w:t>mci radiač</w:t>
            </w:r>
            <w:r>
              <w:rPr>
                <w:rFonts w:hint="default"/>
                <w:sz w:val="20"/>
                <w:szCs w:val="20"/>
              </w:rPr>
              <w:t>nej monitorovacej siete</w:t>
            </w:r>
          </w:p>
          <w:tbl>
            <w:tblPr>
              <w:tblStyle w:val="TableNormal"/>
              <w:tblW w:w="87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68"/>
              <w:gridCol w:w="1134"/>
              <w:gridCol w:w="1630"/>
              <w:gridCol w:w="1559"/>
            </w:tblGrid>
            <w:tr>
              <w:tblPrEx>
                <w:tblW w:w="8791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87479">
                    <w:rPr>
                      <w:b/>
                      <w:sz w:val="16"/>
                      <w:szCs w:val="16"/>
                    </w:rPr>
                    <w:t>Zariadenie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poč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et ks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jednotková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cena v €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cena spolu v €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b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b/>
                      <w:sz w:val="16"/>
                      <w:szCs w:val="16"/>
                    </w:rPr>
                    <w:t>Kapitá</w:t>
                  </w:r>
                  <w:r w:rsidRPr="00387479">
                    <w:rPr>
                      <w:rFonts w:hint="default"/>
                      <w:b/>
                      <w:sz w:val="16"/>
                      <w:szCs w:val="16"/>
                    </w:rPr>
                    <w:t>lov</w:t>
                  </w:r>
                  <w:r w:rsidRPr="00387479">
                    <w:rPr>
                      <w:rFonts w:hint="default"/>
                      <w:b/>
                      <w:sz w:val="16"/>
                      <w:szCs w:val="16"/>
                    </w:rPr>
                    <w:t>é</w:t>
                  </w:r>
                  <w:r w:rsidRPr="00387479">
                    <w:rPr>
                      <w:rFonts w:hint="default"/>
                      <w:b/>
                      <w:sz w:val="16"/>
                      <w:szCs w:val="16"/>
                    </w:rPr>
                    <w:t xml:space="preserve"> vý</w:t>
                  </w:r>
                  <w:r w:rsidRPr="00387479">
                    <w:rPr>
                      <w:rFonts w:hint="default"/>
                      <w:b/>
                      <w:sz w:val="16"/>
                      <w:szCs w:val="16"/>
                    </w:rPr>
                    <w:t xml:space="preserve">davky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700 000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Gamaspektrometrická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trasa vrá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tane tienenia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300 000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300 000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color w:val="000000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color w:val="000000"/>
                      <w:sz w:val="16"/>
                      <w:szCs w:val="16"/>
                    </w:rPr>
                    <w:t>Zariadenie na meranie alfa rá</w:t>
                  </w:r>
                  <w:r w:rsidRPr="00387479">
                    <w:rPr>
                      <w:rFonts w:hint="default"/>
                      <w:color w:val="000000"/>
                      <w:sz w:val="16"/>
                      <w:szCs w:val="16"/>
                    </w:rPr>
                    <w:t>dionuklidov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200 000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200 000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Ní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zkopozaď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ový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alfa/beta merač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200 000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200 000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b/>
                      <w:color w:val="000000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b/>
                      <w:color w:val="000000"/>
                      <w:sz w:val="16"/>
                      <w:szCs w:val="16"/>
                    </w:rPr>
                    <w:t>Bež</w:t>
                  </w:r>
                  <w:r w:rsidRPr="00387479">
                    <w:rPr>
                      <w:rFonts w:hint="default"/>
                      <w:b/>
                      <w:color w:val="000000"/>
                      <w:sz w:val="16"/>
                      <w:szCs w:val="16"/>
                    </w:rPr>
                    <w:t>né</w:t>
                  </w:r>
                  <w:r w:rsidRPr="00387479">
                    <w:rPr>
                      <w:rFonts w:hint="default"/>
                      <w:b/>
                      <w:color w:val="000000"/>
                      <w:sz w:val="16"/>
                      <w:szCs w:val="16"/>
                    </w:rPr>
                    <w:t xml:space="preserve"> vý</w:t>
                  </w:r>
                  <w:r w:rsidRPr="00387479">
                    <w:rPr>
                      <w:rFonts w:hint="default"/>
                      <w:b/>
                      <w:color w:val="000000"/>
                      <w:sz w:val="16"/>
                      <w:szCs w:val="16"/>
                    </w:rPr>
                    <w:t xml:space="preserve">davky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46 900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Osobné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elektronické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dozimetre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4 000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Kalibrač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né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etaló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ny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87479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1 700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20 400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Laborató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rne pomocné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zariadenia (napr. muflová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pec, mlyn, drvič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, suš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iarne, odparovacie zariadenie, destilač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ná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koló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na, digestor)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20 000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20 000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OOPP (respirá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tor jednorazový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, ochranný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odev (tyvek, jednorazový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), spodné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prá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>dlo, obuv, rukavice, papierové</w:t>
                  </w:r>
                  <w:r w:rsidRPr="00387479">
                    <w:rPr>
                      <w:rFonts w:hint="default"/>
                      <w:sz w:val="16"/>
                      <w:szCs w:val="16"/>
                    </w:rPr>
                    <w:t xml:space="preserve"> utierky)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387479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 w:rsidRPr="0005480A">
                    <w:rPr>
                      <w:sz w:val="16"/>
                      <w:szCs w:val="16"/>
                    </w:rPr>
                    <w:t>2 500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4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387479">
                    <w:rPr>
                      <w:b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5480A">
                    <w:rPr>
                      <w:b/>
                      <w:sz w:val="16"/>
                      <w:szCs w:val="16"/>
                    </w:rPr>
                    <w:t>746 900 EUR</w:t>
                  </w:r>
                </w:p>
              </w:tc>
            </w:tr>
          </w:tbl>
          <w:p w:rsidR="00863EC8" w:rsidP="00863EC8">
            <w:pPr>
              <w:bidi w:val="0"/>
              <w:rPr>
                <w:i/>
                <w:sz w:val="20"/>
                <w:szCs w:val="20"/>
              </w:rPr>
            </w:pPr>
          </w:p>
          <w:tbl>
            <w:tblPr>
              <w:tblStyle w:val="TableNormal"/>
              <w:tblW w:w="87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2"/>
              <w:gridCol w:w="1509"/>
            </w:tblGrid>
            <w:tr>
              <w:tblPrEx>
                <w:tblW w:w="8791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jc w:val="center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rFonts w:hint="default"/>
                      <w:sz w:val="16"/>
                      <w:szCs w:val="16"/>
                    </w:rPr>
                  </w:pPr>
                  <w:r w:rsidRPr="00387479">
                    <w:rPr>
                      <w:rFonts w:hint="default"/>
                      <w:sz w:val="16"/>
                      <w:szCs w:val="16"/>
                    </w:rPr>
                    <w:t>cena v €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both"/>
                    <w:rPr>
                      <w:rFonts w:hint="default"/>
                      <w:sz w:val="16"/>
                      <w:szCs w:val="16"/>
                    </w:rPr>
                  </w:pPr>
                  <w:r w:rsidRPr="0005480A">
                    <w:rPr>
                      <w:rFonts w:hint="default"/>
                      <w:sz w:val="16"/>
                      <w:szCs w:val="16"/>
                    </w:rPr>
                    <w:t>Osobitné</w:t>
                  </w:r>
                  <w:r w:rsidRPr="0005480A">
                    <w:rPr>
                      <w:rFonts w:hint="default"/>
                      <w:sz w:val="16"/>
                      <w:szCs w:val="16"/>
                    </w:rPr>
                    <w:t xml:space="preserve"> monitorovanie oč</w:t>
                  </w:r>
                  <w:r w:rsidRPr="0005480A">
                    <w:rPr>
                      <w:rFonts w:hint="default"/>
                      <w:sz w:val="16"/>
                      <w:szCs w:val="16"/>
                    </w:rPr>
                    <w:t>nej š</w:t>
                  </w:r>
                  <w:r w:rsidRPr="0005480A">
                    <w:rPr>
                      <w:rFonts w:hint="default"/>
                      <w:sz w:val="16"/>
                      <w:szCs w:val="16"/>
                    </w:rPr>
                    <w:t>oš</w:t>
                  </w:r>
                  <w:r w:rsidRPr="0005480A">
                    <w:rPr>
                      <w:rFonts w:hint="default"/>
                      <w:sz w:val="16"/>
                      <w:szCs w:val="16"/>
                    </w:rPr>
                    <w:t>ovky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hint="default"/>
                      <w:sz w:val="16"/>
                      <w:szCs w:val="16"/>
                    </w:rPr>
                    <w:t>Ú</w:t>
                  </w:r>
                  <w:r>
                    <w:rPr>
                      <w:rFonts w:hint="default"/>
                      <w:sz w:val="16"/>
                      <w:szCs w:val="16"/>
                    </w:rPr>
                    <w:t>prava prevá</w:t>
                  </w:r>
                  <w:r>
                    <w:rPr>
                      <w:rFonts w:hint="default"/>
                      <w:sz w:val="16"/>
                      <w:szCs w:val="16"/>
                    </w:rPr>
                    <w:t>dzkový</w:t>
                  </w:r>
                  <w:r>
                    <w:rPr>
                      <w:rFonts w:hint="default"/>
                      <w:sz w:val="16"/>
                      <w:szCs w:val="16"/>
                    </w:rPr>
                    <w:t>ch predpisov pre použí</w:t>
                  </w:r>
                  <w:r>
                    <w:rPr>
                      <w:rFonts w:hint="default"/>
                      <w:sz w:val="16"/>
                      <w:szCs w:val="16"/>
                    </w:rPr>
                    <w:t>vanie zdrojov ionizujú</w:t>
                  </w:r>
                  <w:r>
                    <w:rPr>
                      <w:rFonts w:hint="default"/>
                      <w:sz w:val="16"/>
                      <w:szCs w:val="16"/>
                    </w:rPr>
                    <w:t>ceho ž</w:t>
                  </w:r>
                  <w:r>
                    <w:rPr>
                      <w:rFonts w:hint="default"/>
                      <w:sz w:val="16"/>
                      <w:szCs w:val="16"/>
                    </w:rPr>
                    <w:t>iarenia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843 750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default"/>
                      <w:color w:val="000000"/>
                      <w:sz w:val="16"/>
                      <w:szCs w:val="16"/>
                    </w:rPr>
                    <w:t>Zaistenie bezpeč</w:t>
                  </w:r>
                  <w:r>
                    <w:rPr>
                      <w:rFonts w:hint="default"/>
                      <w:color w:val="000000"/>
                      <w:sz w:val="16"/>
                      <w:szCs w:val="16"/>
                    </w:rPr>
                    <w:t>nosti rá</w:t>
                  </w:r>
                  <w:r>
                    <w:rPr>
                      <w:rFonts w:hint="default"/>
                      <w:color w:val="000000"/>
                      <w:sz w:val="16"/>
                      <w:szCs w:val="16"/>
                    </w:rPr>
                    <w:t>dioaktí</w:t>
                  </w:r>
                  <w:r>
                    <w:rPr>
                      <w:rFonts w:hint="default"/>
                      <w:color w:val="000000"/>
                      <w:sz w:val="16"/>
                      <w:szCs w:val="16"/>
                    </w:rPr>
                    <w:t>vnych ž</w:t>
                  </w:r>
                  <w:r>
                    <w:rPr>
                      <w:rFonts w:hint="default"/>
                      <w:color w:val="000000"/>
                      <w:sz w:val="16"/>
                      <w:szCs w:val="16"/>
                    </w:rPr>
                    <w:t>iarič</w:t>
                  </w:r>
                  <w:r>
                    <w:rPr>
                      <w:rFonts w:hint="default"/>
                      <w:color w:val="000000"/>
                      <w:sz w:val="16"/>
                      <w:szCs w:val="16"/>
                    </w:rPr>
                    <w:t>ov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600 000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hint="default"/>
                      <w:sz w:val="16"/>
                      <w:szCs w:val="16"/>
                    </w:rPr>
                    <w:t>Zabezpeč</w:t>
                  </w:r>
                  <w:r>
                    <w:rPr>
                      <w:rFonts w:hint="default"/>
                      <w:sz w:val="16"/>
                      <w:szCs w:val="16"/>
                    </w:rPr>
                    <w:t>enie vlastní</w:t>
                  </w:r>
                  <w:r>
                    <w:rPr>
                      <w:rFonts w:hint="default"/>
                      <w:sz w:val="16"/>
                      <w:szCs w:val="16"/>
                    </w:rPr>
                    <w:t>kom pobytové</w:t>
                  </w:r>
                  <w:r>
                    <w:rPr>
                      <w:rFonts w:hint="default"/>
                      <w:sz w:val="16"/>
                      <w:szCs w:val="16"/>
                    </w:rPr>
                    <w:t>ho priestoru, aby nebola prekroč</w:t>
                  </w:r>
                  <w:r>
                    <w:rPr>
                      <w:rFonts w:hint="default"/>
                      <w:sz w:val="16"/>
                      <w:szCs w:val="16"/>
                    </w:rPr>
                    <w:t>ená</w:t>
                  </w:r>
                  <w:r>
                    <w:rPr>
                      <w:rFonts w:hint="default"/>
                      <w:sz w:val="16"/>
                      <w:szCs w:val="16"/>
                    </w:rPr>
                    <w:t xml:space="preserve"> referenč</w:t>
                  </w:r>
                  <w:r>
                    <w:rPr>
                      <w:rFonts w:hint="default"/>
                      <w:sz w:val="16"/>
                      <w:szCs w:val="16"/>
                    </w:rPr>
                    <w:t>ná</w:t>
                  </w:r>
                  <w:r>
                    <w:rPr>
                      <w:rFonts w:hint="default"/>
                      <w:sz w:val="16"/>
                      <w:szCs w:val="16"/>
                    </w:rPr>
                    <w:t xml:space="preserve"> ú</w:t>
                  </w:r>
                  <w:r>
                    <w:rPr>
                      <w:rFonts w:hint="default"/>
                      <w:sz w:val="16"/>
                      <w:szCs w:val="16"/>
                    </w:rPr>
                    <w:t>roveň</w:t>
                  </w:r>
                  <w:r>
                    <w:rPr>
                      <w:rFonts w:hint="default"/>
                      <w:sz w:val="16"/>
                      <w:szCs w:val="16"/>
                    </w:rPr>
                    <w:t xml:space="preserve"> objemovej aktivity radó</w:t>
                  </w:r>
                  <w:r>
                    <w:rPr>
                      <w:rFonts w:hint="default"/>
                      <w:sz w:val="16"/>
                      <w:szCs w:val="16"/>
                    </w:rPr>
                    <w:t>nu v </w:t>
                  </w:r>
                  <w:r>
                    <w:rPr>
                      <w:rFonts w:hint="default"/>
                      <w:sz w:val="16"/>
                      <w:szCs w:val="16"/>
                    </w:rPr>
                    <w:t>pobytový</w:t>
                  </w:r>
                  <w:r>
                    <w:rPr>
                      <w:rFonts w:hint="default"/>
                      <w:sz w:val="16"/>
                      <w:szCs w:val="16"/>
                    </w:rPr>
                    <w:t xml:space="preserve">ch priestoroch 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387479" w:rsidP="00863EC8">
                  <w:pPr>
                    <w:bidi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152 500 </w:t>
                  </w:r>
                </w:p>
              </w:tc>
            </w:tr>
            <w:tr>
              <w:tblPrEx>
                <w:tblW w:w="8791" w:type="dxa"/>
                <w:jc w:val="center"/>
                <w:tblLook w:val="01E0"/>
              </w:tblPrEx>
              <w:trPr>
                <w:jc w:val="center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P="00863EC8">
                  <w:pPr>
                    <w:bidi w:val="0"/>
                    <w:jc w:val="both"/>
                    <w:rPr>
                      <w:sz w:val="16"/>
                      <w:szCs w:val="16"/>
                    </w:rPr>
                  </w:pPr>
                  <w:r w:rsidRPr="00387479">
                    <w:rPr>
                      <w:b/>
                      <w:sz w:val="16"/>
                      <w:szCs w:val="16"/>
                    </w:rPr>
                    <w:t>SPOLU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center"/>
                </w:tcPr>
                <w:p w:rsidR="00863EC8" w:rsidRPr="0005480A" w:rsidP="00863EC8">
                  <w:pPr>
                    <w:bidi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1 611 250</w:t>
                  </w:r>
                  <w:r w:rsidRPr="0005480A">
                    <w:rPr>
                      <w:b/>
                      <w:sz w:val="16"/>
                      <w:szCs w:val="16"/>
                    </w:rPr>
                    <w:t xml:space="preserve"> EUR</w:t>
                  </w:r>
                </w:p>
              </w:tc>
            </w:tr>
          </w:tbl>
          <w:p w:rsidR="00863EC8" w:rsidRPr="00440CC5" w:rsidP="00863EC8">
            <w:pPr>
              <w:bidi w:val="0"/>
              <w:rPr>
                <w:b/>
                <w:i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EC8" w:rsidRPr="00440CC5" w:rsidP="00863EC8">
            <w:pPr>
              <w:bidi w:val="0"/>
              <w:rPr>
                <w:rFonts w:hint="default"/>
                <w:b/>
                <w:i/>
                <w:sz w:val="20"/>
                <w:szCs w:val="20"/>
              </w:rPr>
            </w:pPr>
            <w:r w:rsidRPr="00440CC5">
              <w:rPr>
                <w:rFonts w:hint="default"/>
                <w:b/>
                <w:i/>
                <w:sz w:val="20"/>
                <w:szCs w:val="20"/>
              </w:rPr>
              <w:t>3.3.3 Administratí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vne ná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klady</w:t>
            </w:r>
          </w:p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Dochá</w:t>
            </w:r>
            <w:r w:rsidRPr="00440CC5">
              <w:rPr>
                <w:rFonts w:hint="default"/>
                <w:i/>
                <w:sz w:val="20"/>
                <w:szCs w:val="20"/>
              </w:rPr>
              <w:t>dza k zavedeniu nov</w:t>
            </w:r>
            <w:r w:rsidRPr="00440CC5">
              <w:rPr>
                <w:rFonts w:hint="default"/>
                <w:i/>
                <w:sz w:val="20"/>
                <w:szCs w:val="20"/>
              </w:rPr>
              <w:t>ý</w:t>
            </w:r>
            <w:r w:rsidRPr="00440CC5">
              <w:rPr>
                <w:rFonts w:hint="default"/>
                <w:i/>
                <w:sz w:val="20"/>
                <w:szCs w:val="20"/>
              </w:rPr>
              <w:t>ch informač</w:t>
            </w:r>
            <w:r w:rsidRPr="00440CC5">
              <w:rPr>
                <w:rFonts w:hint="default"/>
                <w:i/>
                <w:sz w:val="20"/>
                <w:szCs w:val="20"/>
              </w:rPr>
              <w:t>ný</w:t>
            </w:r>
            <w:r w:rsidRPr="00440CC5">
              <w:rPr>
                <w:rFonts w:hint="default"/>
                <w:i/>
                <w:sz w:val="20"/>
                <w:szCs w:val="20"/>
              </w:rPr>
              <w:t>ch povinností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alebo odstrá</w:t>
            </w:r>
            <w:r w:rsidRPr="00440CC5">
              <w:rPr>
                <w:rFonts w:hint="default"/>
                <w:i/>
                <w:sz w:val="20"/>
                <w:szCs w:val="20"/>
              </w:rPr>
              <w:t>neniu, prí</w:t>
            </w:r>
            <w:r w:rsidRPr="00440CC5">
              <w:rPr>
                <w:rFonts w:hint="default"/>
                <w:i/>
                <w:sz w:val="20"/>
                <w:szCs w:val="20"/>
              </w:rPr>
              <w:t>p. ú</w:t>
            </w:r>
            <w:r w:rsidRPr="00440CC5">
              <w:rPr>
                <w:rFonts w:hint="default"/>
                <w:i/>
                <w:sz w:val="20"/>
                <w:szCs w:val="20"/>
              </w:rPr>
              <w:t>prave existujú</w:t>
            </w:r>
            <w:r w:rsidRPr="00440CC5">
              <w:rPr>
                <w:rFonts w:hint="default"/>
                <w:i/>
                <w:sz w:val="20"/>
                <w:szCs w:val="20"/>
              </w:rPr>
              <w:t>cich informač</w:t>
            </w:r>
            <w:r w:rsidRPr="00440CC5">
              <w:rPr>
                <w:rFonts w:hint="default"/>
                <w:i/>
                <w:sz w:val="20"/>
                <w:szCs w:val="20"/>
              </w:rPr>
              <w:t>ný</w:t>
            </w:r>
            <w:r w:rsidRPr="00440CC5">
              <w:rPr>
                <w:rFonts w:hint="default"/>
                <w:i/>
                <w:sz w:val="20"/>
                <w:szCs w:val="20"/>
              </w:rPr>
              <w:t>ch povinností</w:t>
            </w:r>
            <w:r w:rsidRPr="00440CC5">
              <w:rPr>
                <w:rFonts w:hint="default"/>
                <w:i/>
                <w:sz w:val="20"/>
                <w:szCs w:val="20"/>
              </w:rPr>
              <w:t>? (napr. zmena pož</w:t>
            </w:r>
            <w:r w:rsidRPr="00440CC5">
              <w:rPr>
                <w:rFonts w:hint="default"/>
                <w:i/>
                <w:sz w:val="20"/>
                <w:szCs w:val="20"/>
              </w:rPr>
              <w:t>adovaný</w:t>
            </w:r>
            <w:r w:rsidRPr="00440CC5">
              <w:rPr>
                <w:rFonts w:hint="default"/>
                <w:i/>
                <w:sz w:val="20"/>
                <w:szCs w:val="20"/>
              </w:rPr>
              <w:t>ch dá</w:t>
            </w:r>
            <w:r w:rsidRPr="00440CC5">
              <w:rPr>
                <w:rFonts w:hint="default"/>
                <w:i/>
                <w:sz w:val="20"/>
                <w:szCs w:val="20"/>
              </w:rPr>
              <w:t>t, zmena frekvencie reportovania, zmena formy predkladania a </w:t>
            </w:r>
            <w:r w:rsidRPr="00440CC5">
              <w:rPr>
                <w:rFonts w:hint="default"/>
                <w:i/>
                <w:sz w:val="20"/>
                <w:szCs w:val="20"/>
              </w:rPr>
              <w:t>pod.) Ak á</w:t>
            </w:r>
            <w:r w:rsidRPr="00440CC5">
              <w:rPr>
                <w:rFonts w:hint="default"/>
                <w:i/>
                <w:sz w:val="20"/>
                <w:szCs w:val="20"/>
              </w:rPr>
              <w:t>no, popíš</w:t>
            </w:r>
            <w:r w:rsidRPr="00440CC5">
              <w:rPr>
                <w:rFonts w:hint="default"/>
                <w:i/>
                <w:sz w:val="20"/>
                <w:szCs w:val="20"/>
              </w:rPr>
              <w:t>te a vyčí</w:t>
            </w:r>
            <w:r w:rsidRPr="00440CC5">
              <w:rPr>
                <w:rFonts w:hint="default"/>
                <w:i/>
                <w:sz w:val="20"/>
                <w:szCs w:val="20"/>
              </w:rPr>
              <w:t>slite administratí</w:t>
            </w:r>
            <w:r w:rsidRPr="00440CC5">
              <w:rPr>
                <w:rFonts w:hint="default"/>
                <w:i/>
                <w:sz w:val="20"/>
                <w:szCs w:val="20"/>
              </w:rPr>
              <w:t>vne ná</w:t>
            </w:r>
            <w:r w:rsidRPr="00440CC5">
              <w:rPr>
                <w:rFonts w:hint="default"/>
                <w:i/>
                <w:sz w:val="20"/>
                <w:szCs w:val="20"/>
              </w:rPr>
              <w:t>klady. Uveď</w:t>
            </w:r>
            <w:r w:rsidRPr="00440CC5">
              <w:rPr>
                <w:rFonts w:hint="default"/>
                <w:i/>
                <w:sz w:val="20"/>
                <w:szCs w:val="20"/>
              </w:rPr>
              <w:t>te ti</w:t>
            </w:r>
            <w:r w:rsidRPr="00440CC5">
              <w:rPr>
                <w:rFonts w:hint="default"/>
                <w:i/>
                <w:sz w:val="20"/>
                <w:szCs w:val="20"/>
              </w:rPr>
              <w:t>e</w:t>
            </w:r>
            <w:r w:rsidRPr="00440CC5">
              <w:rPr>
                <w:rFonts w:hint="default"/>
                <w:i/>
                <w:sz w:val="20"/>
                <w:szCs w:val="20"/>
              </w:rPr>
              <w:t>ž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spô</w:t>
            </w:r>
            <w:r w:rsidRPr="00440CC5">
              <w:rPr>
                <w:rFonts w:hint="default"/>
                <w:i/>
                <w:sz w:val="20"/>
                <w:szCs w:val="20"/>
              </w:rPr>
              <w:t>sob ich vý</w:t>
            </w:r>
            <w:r w:rsidRPr="00440CC5">
              <w:rPr>
                <w:rFonts w:hint="default"/>
                <w:i/>
                <w:sz w:val="20"/>
                <w:szCs w:val="20"/>
              </w:rPr>
              <w:t>poč</w:t>
            </w:r>
            <w:r w:rsidRPr="00440CC5">
              <w:rPr>
                <w:rFonts w:hint="default"/>
                <w:i/>
                <w:sz w:val="20"/>
                <w:szCs w:val="20"/>
              </w:rPr>
              <w:t>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EC8" w:rsidRPr="00863EC8" w:rsidP="00863EC8">
            <w:pPr>
              <w:bidi w:val="0"/>
              <w:jc w:val="both"/>
              <w:rPr>
                <w:rFonts w:hint="default"/>
              </w:rPr>
            </w:pPr>
            <w:r w:rsidRPr="00863EC8">
              <w:rPr>
                <w:rFonts w:hint="default"/>
              </w:rPr>
              <w:t>Subjektom, ktoré</w:t>
            </w:r>
            <w:r w:rsidRPr="00863EC8">
              <w:rPr>
                <w:rFonts w:hint="default"/>
              </w:rPr>
              <w:t xml:space="preserve"> prevá</w:t>
            </w:r>
            <w:r w:rsidRPr="00863EC8">
              <w:rPr>
                <w:rFonts w:hint="default"/>
              </w:rPr>
              <w:t>dzkujú</w:t>
            </w:r>
            <w:r w:rsidRPr="00863EC8">
              <w:rPr>
                <w:rFonts w:hint="default"/>
              </w:rPr>
              <w:t xml:space="preserve"> zdroj ionizujú</w:t>
            </w:r>
            <w:r w:rsidRPr="00863EC8">
              <w:rPr>
                <w:rFonts w:hint="default"/>
              </w:rPr>
              <w:t>ceho ž</w:t>
            </w:r>
            <w:r w:rsidRPr="00863EC8">
              <w:rPr>
                <w:rFonts w:hint="default"/>
              </w:rPr>
              <w:t>iarenia</w:t>
            </w:r>
            <w:r>
              <w:t>,</w:t>
            </w:r>
            <w:r w:rsidRPr="00863EC8">
              <w:rPr>
                <w:rFonts w:hint="default"/>
              </w:rPr>
              <w:t xml:space="preserve"> sa nenavýš</w:t>
            </w:r>
            <w:r w:rsidRPr="00863EC8">
              <w:rPr>
                <w:rFonts w:hint="default"/>
              </w:rPr>
              <w:t>ia administratí</w:t>
            </w:r>
            <w:r w:rsidRPr="00863EC8">
              <w:rPr>
                <w:rFonts w:hint="default"/>
              </w:rPr>
              <w:t>vne ná</w:t>
            </w:r>
            <w:r w:rsidRPr="00863EC8">
              <w:rPr>
                <w:rFonts w:hint="default"/>
              </w:rPr>
              <w:t>klady</w:t>
            </w:r>
            <w:r>
              <w:t>.</w:t>
            </w:r>
            <w:r w:rsidRPr="00863EC8">
              <w:t xml:space="preserve"> </w:t>
            </w:r>
            <w:r>
              <w:t>P</w:t>
            </w:r>
            <w:r w:rsidRPr="00863EC8">
              <w:rPr>
                <w:rFonts w:hint="default"/>
              </w:rPr>
              <w:t>odľ</w:t>
            </w:r>
            <w:r w:rsidRPr="00863EC8">
              <w:rPr>
                <w:rFonts w:hint="default"/>
              </w:rPr>
              <w:t xml:space="preserve">a </w:t>
            </w:r>
            <w:r>
              <w:rPr>
                <w:rFonts w:hint="default"/>
              </w:rPr>
              <w:t>platný</w:t>
            </w:r>
            <w:r>
              <w:rPr>
                <w:rFonts w:hint="default"/>
              </w:rPr>
              <w:t>ch</w:t>
            </w:r>
            <w:r w:rsidRPr="00863EC8">
              <w:rPr>
                <w:rFonts w:hint="default"/>
              </w:rPr>
              <w:t xml:space="preserve"> prá</w:t>
            </w:r>
            <w:r w:rsidRPr="00863EC8">
              <w:rPr>
                <w:rFonts w:hint="default"/>
              </w:rPr>
              <w:t xml:space="preserve">vnych predpisov </w:t>
            </w:r>
            <w:r>
              <w:t>je aj v </w:t>
            </w:r>
            <w:r>
              <w:rPr>
                <w:rFonts w:hint="default"/>
              </w:rPr>
              <w:t>súč</w:t>
            </w:r>
            <w:r>
              <w:rPr>
                <w:rFonts w:hint="default"/>
              </w:rPr>
              <w:t>asnosti zakotvená</w:t>
            </w:r>
            <w:r w:rsidRPr="00863EC8">
              <w:rPr>
                <w:rFonts w:hint="default"/>
              </w:rPr>
              <w:t xml:space="preserve"> povinnosť</w:t>
            </w:r>
            <w:r w:rsidRPr="00863EC8">
              <w:rPr>
                <w:rFonts w:hint="default"/>
              </w:rPr>
              <w:t xml:space="preserve"> oznamovať</w:t>
            </w:r>
            <w:r w:rsidRPr="00863EC8">
              <w:rPr>
                <w:rFonts w:hint="default"/>
              </w:rPr>
              <w:t xml:space="preserve"> orgá</w:t>
            </w:r>
            <w:r w:rsidRPr="00863EC8">
              <w:rPr>
                <w:rFonts w:hint="default"/>
              </w:rPr>
              <w:t>nom radiač</w:t>
            </w:r>
            <w:r w:rsidRPr="00863EC8">
              <w:rPr>
                <w:rFonts w:hint="default"/>
              </w:rPr>
              <w:t>nej ochrany informá</w:t>
            </w:r>
            <w:r w:rsidRPr="00863EC8">
              <w:rPr>
                <w:rFonts w:hint="default"/>
              </w:rPr>
              <w:t>cie o </w:t>
            </w:r>
            <w:r w:rsidRPr="00863EC8">
              <w:rPr>
                <w:rFonts w:hint="default"/>
              </w:rPr>
              <w:t>č</w:t>
            </w:r>
            <w:r w:rsidRPr="00863EC8">
              <w:rPr>
                <w:rFonts w:hint="default"/>
              </w:rPr>
              <w:t xml:space="preserve">innosti. </w:t>
            </w:r>
          </w:p>
          <w:p w:rsidR="00863EC8" w:rsidRPr="00440CC5" w:rsidP="00863EC8">
            <w:pPr>
              <w:bidi w:val="0"/>
              <w:rPr>
                <w:b/>
                <w:i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EC8" w:rsidRPr="00440CC5" w:rsidP="00863EC8">
            <w:pPr>
              <w:bidi w:val="0"/>
              <w:rPr>
                <w:i/>
                <w:sz w:val="20"/>
                <w:szCs w:val="20"/>
              </w:rPr>
            </w:pPr>
            <w:r w:rsidRPr="00440CC5">
              <w:rPr>
                <w:rFonts w:hint="default"/>
                <w:b/>
                <w:i/>
                <w:sz w:val="20"/>
                <w:szCs w:val="20"/>
              </w:rPr>
              <w:t>3.3.4 Sú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hrnná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 xml:space="preserve"> tabuľ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ka ná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kladov regulá</w:t>
            </w:r>
            <w:r w:rsidRPr="00440CC5">
              <w:rPr>
                <w:rFonts w:hint="default"/>
                <w:b/>
                <w:i/>
                <w:sz w:val="20"/>
                <w:szCs w:val="20"/>
              </w:rPr>
              <w:t>cie</w:t>
            </w:r>
          </w:p>
          <w:p w:rsidR="00863EC8" w:rsidRPr="00440CC5" w:rsidP="00863EC8">
            <w:pPr>
              <w:bidi w:val="0"/>
              <w:rPr>
                <w:i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rFonts w:hint="default"/>
                      <w:i/>
                      <w:sz w:val="20"/>
                      <w:szCs w:val="20"/>
                    </w:rPr>
                  </w:pP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Ná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klady na 1 podnikateľ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rFonts w:hint="default"/>
                      <w:i/>
                      <w:sz w:val="20"/>
                      <w:szCs w:val="20"/>
                    </w:rPr>
                  </w:pP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Ná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klady na celé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 xml:space="preserve"> podnikateľ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ské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 xml:space="preserve">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rPr>
                      <w:rFonts w:hint="default"/>
                      <w:i/>
                      <w:sz w:val="20"/>
                      <w:szCs w:val="20"/>
                    </w:rPr>
                  </w:pP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Priame finanč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né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 xml:space="preserve"> ná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40CC5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rPr>
                      <w:rFonts w:hint="default"/>
                      <w:i/>
                      <w:sz w:val="20"/>
                      <w:szCs w:val="20"/>
                    </w:rPr>
                  </w:pP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Nepriame finanč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né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 xml:space="preserve"> ná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40CC5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2 358 150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rPr>
                      <w:rFonts w:hint="default"/>
                      <w:i/>
                      <w:sz w:val="20"/>
                      <w:szCs w:val="20"/>
                    </w:rPr>
                  </w:pP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Administratí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vne ná</w:t>
                  </w:r>
                  <w:r w:rsidRPr="00440CC5">
                    <w:rPr>
                      <w:rFonts w:hint="default"/>
                      <w:i/>
                      <w:sz w:val="20"/>
                      <w:szCs w:val="20"/>
                    </w:rPr>
                    <w:t>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rPr>
                      <w:rFonts w:hint="default"/>
                      <w:b/>
                      <w:i/>
                      <w:sz w:val="20"/>
                      <w:szCs w:val="20"/>
                    </w:rPr>
                  </w:pPr>
                  <w:r w:rsidRPr="00440CC5">
                    <w:rPr>
                      <w:rFonts w:hint="default"/>
                      <w:b/>
                      <w:i/>
                      <w:sz w:val="20"/>
                      <w:szCs w:val="20"/>
                    </w:rPr>
                    <w:t>Celkové</w:t>
                  </w:r>
                  <w:r w:rsidRPr="00440CC5">
                    <w:rPr>
                      <w:rFonts w:hint="default"/>
                      <w:b/>
                      <w:i/>
                      <w:sz w:val="20"/>
                      <w:szCs w:val="20"/>
                    </w:rPr>
                    <w:t xml:space="preserve"> ná</w:t>
                  </w:r>
                  <w:r w:rsidRPr="00440CC5">
                    <w:rPr>
                      <w:rFonts w:hint="default"/>
                      <w:b/>
                      <w:i/>
                      <w:sz w:val="20"/>
                      <w:szCs w:val="20"/>
                    </w:rPr>
                    <w:t>klady regulá</w:t>
                  </w:r>
                  <w:r w:rsidRPr="00440CC5">
                    <w:rPr>
                      <w:rFonts w:hint="default"/>
                      <w:b/>
                      <w:i/>
                      <w:sz w:val="20"/>
                      <w:szCs w:val="20"/>
                    </w:rPr>
                    <w:t>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863EC8" w:rsidRPr="00440CC5" w:rsidP="00863EC8">
                  <w:pPr>
                    <w:bidi w:val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2 358 150</w:t>
                  </w:r>
                </w:p>
              </w:tc>
            </w:tr>
          </w:tbl>
          <w:p w:rsidR="00863EC8" w:rsidP="00863EC8">
            <w:pPr>
              <w:bidi w:val="0"/>
              <w:rPr>
                <w:i/>
                <w:sz w:val="20"/>
                <w:szCs w:val="20"/>
              </w:rPr>
            </w:pPr>
          </w:p>
          <w:p w:rsidR="00863EC8" w:rsidRPr="00440CC5" w:rsidP="00863EC8">
            <w:pPr>
              <w:bidi w:val="0"/>
              <w:rPr>
                <w:i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863EC8" w:rsidRPr="00440CC5" w:rsidP="00863EC8">
            <w:pPr>
              <w:bidi w:val="0"/>
              <w:rPr>
                <w:rFonts w:hint="default"/>
                <w:b/>
                <w:szCs w:val="20"/>
              </w:rPr>
            </w:pPr>
            <w:r w:rsidRPr="00440CC5">
              <w:rPr>
                <w:rFonts w:hint="default"/>
                <w:b/>
                <w:szCs w:val="20"/>
              </w:rPr>
              <w:t>3.4 Konkurencieschopnosť</w:t>
            </w:r>
            <w:r w:rsidRPr="00440CC5">
              <w:rPr>
                <w:rFonts w:hint="default"/>
                <w:b/>
                <w:szCs w:val="20"/>
              </w:rPr>
              <w:t xml:space="preserve"> a sprá</w:t>
            </w:r>
            <w:r w:rsidRPr="00440CC5">
              <w:rPr>
                <w:rFonts w:hint="default"/>
                <w:b/>
                <w:szCs w:val="20"/>
              </w:rPr>
              <w:t>vanie sa podnikov na trhu</w:t>
            </w:r>
          </w:p>
          <w:p w:rsidR="00863EC8" w:rsidRPr="00440CC5" w:rsidP="00863EC8">
            <w:pPr>
              <w:bidi w:val="0"/>
              <w:rPr>
                <w:sz w:val="20"/>
                <w:szCs w:val="20"/>
              </w:rPr>
            </w:pPr>
            <w:r w:rsidRPr="00440CC5">
              <w:rPr>
                <w:rFonts w:hint="default"/>
                <w:b/>
                <w:szCs w:val="20"/>
              </w:rPr>
              <w:t xml:space="preserve">       </w:t>
            </w:r>
            <w:r w:rsidRPr="00440CC5">
              <w:rPr>
                <w:szCs w:val="20"/>
              </w:rPr>
              <w:t xml:space="preserve">- </w:t>
            </w:r>
            <w:r w:rsidRPr="00440CC5">
              <w:rPr>
                <w:b/>
                <w:szCs w:val="20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Dochá</w:t>
            </w:r>
            <w:r w:rsidRPr="00440CC5">
              <w:rPr>
                <w:rFonts w:hint="default"/>
                <w:i/>
                <w:sz w:val="20"/>
                <w:szCs w:val="20"/>
              </w:rPr>
              <w:t>dza k vytvoreniu barié</w:t>
            </w:r>
            <w:r w:rsidRPr="00440CC5">
              <w:rPr>
                <w:rFonts w:hint="default"/>
                <w:i/>
                <w:sz w:val="20"/>
                <w:szCs w:val="20"/>
              </w:rPr>
              <w:t>r pre vstup na trh pre nový</w:t>
            </w:r>
            <w:r w:rsidRPr="00440CC5">
              <w:rPr>
                <w:rFonts w:hint="default"/>
                <w:i/>
                <w:sz w:val="20"/>
                <w:szCs w:val="20"/>
              </w:rPr>
              <w:t>ch dodá</w:t>
            </w:r>
            <w:r w:rsidRPr="00440CC5">
              <w:rPr>
                <w:rFonts w:hint="default"/>
                <w:i/>
                <w:sz w:val="20"/>
                <w:szCs w:val="20"/>
              </w:rPr>
              <w:t>vateľ</w:t>
            </w:r>
            <w:r w:rsidRPr="00440CC5">
              <w:rPr>
                <w:rFonts w:hint="default"/>
                <w:i/>
                <w:sz w:val="20"/>
                <w:szCs w:val="20"/>
              </w:rPr>
              <w:t>ov alebo poskytovateľ</w:t>
            </w:r>
            <w:r w:rsidRPr="00440CC5">
              <w:rPr>
                <w:rFonts w:hint="default"/>
                <w:i/>
                <w:sz w:val="20"/>
                <w:szCs w:val="20"/>
              </w:rPr>
              <w:t>ov služ</w:t>
            </w:r>
            <w:r w:rsidRPr="00440CC5">
              <w:rPr>
                <w:rFonts w:hint="default"/>
                <w:i/>
                <w:sz w:val="20"/>
                <w:szCs w:val="20"/>
              </w:rPr>
              <w:t>ieb? Bude mať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navrhovaná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zmena za ná</w:t>
            </w:r>
            <w:r w:rsidRPr="00440CC5">
              <w:rPr>
                <w:rFonts w:hint="default"/>
                <w:i/>
                <w:sz w:val="20"/>
                <w:szCs w:val="20"/>
              </w:rPr>
              <w:t>sledok prí</w:t>
            </w:r>
            <w:r w:rsidRPr="00440CC5">
              <w:rPr>
                <w:rFonts w:hint="default"/>
                <w:i/>
                <w:sz w:val="20"/>
                <w:szCs w:val="20"/>
              </w:rPr>
              <w:t>snejš</w:t>
            </w:r>
            <w:r w:rsidRPr="00440CC5">
              <w:rPr>
                <w:rFonts w:hint="default"/>
                <w:i/>
                <w:sz w:val="20"/>
                <w:szCs w:val="20"/>
              </w:rPr>
              <w:t>iu regulá</w:t>
            </w:r>
            <w:r w:rsidRPr="00440CC5">
              <w:rPr>
                <w:rFonts w:hint="default"/>
                <w:i/>
                <w:sz w:val="20"/>
                <w:szCs w:val="20"/>
              </w:rPr>
              <w:t>ciu sprá</w:t>
            </w:r>
            <w:r w:rsidRPr="00440CC5">
              <w:rPr>
                <w:rFonts w:hint="default"/>
                <w:i/>
                <w:sz w:val="20"/>
                <w:szCs w:val="20"/>
              </w:rPr>
              <w:t>vania sa niektor</w:t>
            </w:r>
            <w:r w:rsidRPr="00440CC5">
              <w:rPr>
                <w:rFonts w:hint="default"/>
                <w:i/>
                <w:sz w:val="20"/>
                <w:szCs w:val="20"/>
              </w:rPr>
              <w:t>ý</w:t>
            </w:r>
            <w:r w:rsidRPr="00440CC5">
              <w:rPr>
                <w:rFonts w:hint="default"/>
                <w:i/>
                <w:sz w:val="20"/>
                <w:szCs w:val="20"/>
              </w:rPr>
              <w:t>ch podnikov? Bude sa s niektorý</w:t>
            </w:r>
            <w:r w:rsidRPr="00440CC5">
              <w:rPr>
                <w:rFonts w:hint="default"/>
                <w:i/>
                <w:sz w:val="20"/>
                <w:szCs w:val="20"/>
              </w:rPr>
              <w:t>mi podnikmi alebo produktmi zaobchá</w:t>
            </w:r>
            <w:r w:rsidRPr="00440CC5">
              <w:rPr>
                <w:rFonts w:hint="default"/>
                <w:i/>
                <w:sz w:val="20"/>
                <w:szCs w:val="20"/>
              </w:rPr>
              <w:t>dzať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v porovnateľ</w:t>
            </w:r>
            <w:r w:rsidRPr="00440CC5">
              <w:rPr>
                <w:rFonts w:hint="default"/>
                <w:i/>
                <w:sz w:val="20"/>
                <w:szCs w:val="20"/>
              </w:rPr>
              <w:t>nej situá</w:t>
            </w:r>
            <w:r w:rsidRPr="00440CC5">
              <w:rPr>
                <w:rFonts w:hint="default"/>
                <w:i/>
                <w:sz w:val="20"/>
                <w:szCs w:val="20"/>
              </w:rPr>
              <w:t>cii rô</w:t>
            </w:r>
            <w:r w:rsidRPr="00440CC5">
              <w:rPr>
                <w:rFonts w:hint="default"/>
                <w:i/>
                <w:sz w:val="20"/>
                <w:szCs w:val="20"/>
              </w:rPr>
              <w:t>zne (š</w:t>
            </w:r>
            <w:r w:rsidRPr="00440CC5">
              <w:rPr>
                <w:rFonts w:hint="default"/>
                <w:i/>
                <w:sz w:val="20"/>
                <w:szCs w:val="20"/>
              </w:rPr>
              <w:t>peciá</w:t>
            </w:r>
            <w:r w:rsidRPr="00440CC5">
              <w:rPr>
                <w:rFonts w:hint="default"/>
                <w:i/>
                <w:sz w:val="20"/>
                <w:szCs w:val="20"/>
              </w:rPr>
              <w:t>lne rež</w:t>
            </w:r>
            <w:r w:rsidRPr="00440CC5">
              <w:rPr>
                <w:rFonts w:hint="default"/>
                <w:i/>
                <w:sz w:val="20"/>
                <w:szCs w:val="20"/>
              </w:rPr>
              <w:t>imy pre mikro, malé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a </w:t>
            </w:r>
            <w:r w:rsidRPr="00440CC5">
              <w:rPr>
                <w:rFonts w:hint="default"/>
                <w:i/>
                <w:sz w:val="20"/>
                <w:szCs w:val="20"/>
              </w:rPr>
              <w:t>stredné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podniky tzv. MSP)? Ak á</w:t>
            </w:r>
            <w:r w:rsidRPr="00440CC5">
              <w:rPr>
                <w:rFonts w:hint="default"/>
                <w:i/>
                <w:sz w:val="20"/>
                <w:szCs w:val="20"/>
              </w:rPr>
              <w:t>no, popíš</w:t>
            </w:r>
            <w:r w:rsidRPr="00440CC5">
              <w:rPr>
                <w:rFonts w:hint="default"/>
                <w:i/>
                <w:sz w:val="20"/>
                <w:szCs w:val="20"/>
              </w:rPr>
              <w:t>te.</w:t>
            </w:r>
          </w:p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Aký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vplyv bude mať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navrhovaná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zmena na obchodné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barié</w:t>
            </w:r>
            <w:r w:rsidRPr="00440CC5">
              <w:rPr>
                <w:rFonts w:hint="default"/>
                <w:i/>
                <w:sz w:val="20"/>
                <w:szCs w:val="20"/>
              </w:rPr>
              <w:t>ry? Bude mať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vplyv n</w:t>
            </w:r>
            <w:r w:rsidRPr="00440CC5">
              <w:rPr>
                <w:rFonts w:hint="default"/>
                <w:i/>
                <w:sz w:val="20"/>
                <w:szCs w:val="20"/>
              </w:rPr>
              <w:t>a vyvolanie cezhranič</w:t>
            </w:r>
            <w:r w:rsidRPr="00440CC5">
              <w:rPr>
                <w:rFonts w:hint="default"/>
                <w:i/>
                <w:sz w:val="20"/>
                <w:szCs w:val="20"/>
              </w:rPr>
              <w:t>ný</w:t>
            </w:r>
            <w:r w:rsidRPr="00440CC5">
              <w:rPr>
                <w:rFonts w:hint="default"/>
                <w:i/>
                <w:sz w:val="20"/>
                <w:szCs w:val="20"/>
              </w:rPr>
              <w:t>ch investí</w:t>
            </w:r>
            <w:r w:rsidRPr="00440CC5">
              <w:rPr>
                <w:rFonts w:hint="default"/>
                <w:i/>
                <w:sz w:val="20"/>
                <w:szCs w:val="20"/>
              </w:rPr>
              <w:t>cií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(prí</w:t>
            </w:r>
            <w:r w:rsidRPr="00440CC5">
              <w:rPr>
                <w:rFonts w:hint="default"/>
                <w:i/>
                <w:sz w:val="20"/>
                <w:szCs w:val="20"/>
              </w:rPr>
              <w:t>liv /odliv zahranič</w:t>
            </w:r>
            <w:r w:rsidRPr="00440CC5">
              <w:rPr>
                <w:rFonts w:hint="default"/>
                <w:i/>
                <w:sz w:val="20"/>
                <w:szCs w:val="20"/>
              </w:rPr>
              <w:t>ný</w:t>
            </w:r>
            <w:r w:rsidRPr="00440CC5">
              <w:rPr>
                <w:rFonts w:hint="default"/>
                <w:i/>
                <w:sz w:val="20"/>
                <w:szCs w:val="20"/>
              </w:rPr>
              <w:t>ch investí</w:t>
            </w:r>
            <w:r w:rsidRPr="00440CC5">
              <w:rPr>
                <w:rFonts w:hint="default"/>
                <w:i/>
                <w:sz w:val="20"/>
                <w:szCs w:val="20"/>
              </w:rPr>
              <w:t>cií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resp. uplatnenie slovenský</w:t>
            </w:r>
            <w:r w:rsidRPr="00440CC5">
              <w:rPr>
                <w:rFonts w:hint="default"/>
                <w:i/>
                <w:sz w:val="20"/>
                <w:szCs w:val="20"/>
              </w:rPr>
              <w:t>ch podnikov na zahranič</w:t>
            </w:r>
            <w:r w:rsidRPr="00440CC5">
              <w:rPr>
                <w:rFonts w:hint="default"/>
                <w:i/>
                <w:sz w:val="20"/>
                <w:szCs w:val="20"/>
              </w:rPr>
              <w:t>ný</w:t>
            </w:r>
            <w:r w:rsidRPr="00440CC5">
              <w:rPr>
                <w:rFonts w:hint="default"/>
                <w:i/>
                <w:sz w:val="20"/>
                <w:szCs w:val="20"/>
              </w:rPr>
              <w:t>ch trhoch)? Ak á</w:t>
            </w:r>
            <w:r w:rsidRPr="00440CC5">
              <w:rPr>
                <w:rFonts w:hint="default"/>
                <w:i/>
                <w:sz w:val="20"/>
                <w:szCs w:val="20"/>
              </w:rPr>
              <w:t>no, popíš</w:t>
            </w:r>
            <w:r w:rsidRPr="00440CC5">
              <w:rPr>
                <w:rFonts w:hint="default"/>
                <w:i/>
                <w:sz w:val="20"/>
                <w:szCs w:val="20"/>
              </w:rPr>
              <w:t>te.</w:t>
            </w:r>
          </w:p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Ako ovplyvní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cenu alebo dostupnosť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zá</w:t>
            </w:r>
            <w:r w:rsidRPr="00440CC5">
              <w:rPr>
                <w:rFonts w:hint="default"/>
                <w:i/>
                <w:sz w:val="20"/>
                <w:szCs w:val="20"/>
              </w:rPr>
              <w:t>kladný</w:t>
            </w:r>
            <w:r w:rsidRPr="00440CC5">
              <w:rPr>
                <w:rFonts w:hint="default"/>
                <w:i/>
                <w:sz w:val="20"/>
                <w:szCs w:val="20"/>
              </w:rPr>
              <w:t>ch zdrojov (suroviny, mechanizmy, pracovná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sila, energie </w:t>
            </w:r>
            <w:r w:rsidRPr="00440CC5">
              <w:rPr>
                <w:rFonts w:hint="default"/>
                <w:i/>
                <w:sz w:val="20"/>
                <w:szCs w:val="20"/>
              </w:rPr>
              <w:t>atď</w:t>
            </w:r>
            <w:r w:rsidRPr="00440CC5">
              <w:rPr>
                <w:rFonts w:hint="default"/>
                <w:i/>
                <w:sz w:val="20"/>
                <w:szCs w:val="20"/>
              </w:rPr>
              <w:t>.)?</w:t>
            </w:r>
          </w:p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Ovplyvň</w:t>
            </w:r>
            <w:r w:rsidRPr="00440CC5">
              <w:rPr>
                <w:rFonts w:hint="default"/>
                <w:i/>
                <w:sz w:val="20"/>
                <w:szCs w:val="20"/>
              </w:rPr>
              <w:t>uje prí</w:t>
            </w:r>
            <w:r w:rsidRPr="00440CC5">
              <w:rPr>
                <w:rFonts w:hint="default"/>
                <w:i/>
                <w:sz w:val="20"/>
                <w:szCs w:val="20"/>
              </w:rPr>
              <w:t>stup k financiá</w:t>
            </w:r>
            <w:r w:rsidRPr="00440CC5">
              <w:rPr>
                <w:rFonts w:hint="default"/>
                <w:i/>
                <w:sz w:val="20"/>
                <w:szCs w:val="20"/>
              </w:rPr>
              <w:t>m? Ak á</w:t>
            </w:r>
            <w:r w:rsidRPr="00440CC5">
              <w:rPr>
                <w:rFonts w:hint="default"/>
                <w:i/>
                <w:sz w:val="20"/>
                <w:szCs w:val="20"/>
              </w:rPr>
              <w:t>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EC8" w:rsidRPr="00863EC8" w:rsidP="00863EC8">
            <w:pPr>
              <w:bidi w:val="0"/>
              <w:jc w:val="both"/>
              <w:rPr>
                <w:rFonts w:hint="default"/>
              </w:rPr>
            </w:pPr>
            <w:r w:rsidRPr="00863EC8">
              <w:rPr>
                <w:rFonts w:hint="default"/>
              </w:rPr>
              <w:t>Pož</w:t>
            </w:r>
            <w:r w:rsidRPr="00863EC8">
              <w:rPr>
                <w:rFonts w:hint="default"/>
              </w:rPr>
              <w:t>iadavky na platenie poplatkov poskytovateľ</w:t>
            </w:r>
            <w:r w:rsidRPr="00863EC8">
              <w:rPr>
                <w:rFonts w:hint="default"/>
              </w:rPr>
              <w:t>ov služ</w:t>
            </w:r>
            <w:r w:rsidRPr="00863EC8">
              <w:rPr>
                <w:rFonts w:hint="default"/>
              </w:rPr>
              <w:t>ieb os</w:t>
            </w:r>
            <w:r w:rsidR="001C7A6B">
              <w:rPr>
                <w:rFonts w:hint="default"/>
              </w:rPr>
              <w:t>ô</w:t>
            </w:r>
            <w:r w:rsidRPr="00863EC8">
              <w:rPr>
                <w:rFonts w:hint="default"/>
              </w:rPr>
              <w:t>b, ktoré</w:t>
            </w:r>
            <w:r w:rsidRPr="00863EC8">
              <w:rPr>
                <w:rFonts w:hint="default"/>
              </w:rPr>
              <w:t xml:space="preserve"> </w:t>
            </w:r>
            <w:r w:rsidR="001C7A6B">
              <w:t xml:space="preserve">doteraz </w:t>
            </w:r>
            <w:r w:rsidRPr="00863EC8">
              <w:rPr>
                <w:rFonts w:hint="default"/>
              </w:rPr>
              <w:t>vykoná</w:t>
            </w:r>
            <w:r w:rsidRPr="00863EC8">
              <w:rPr>
                <w:rFonts w:hint="default"/>
              </w:rPr>
              <w:t>vali č</w:t>
            </w:r>
            <w:r w:rsidRPr="00863EC8">
              <w:rPr>
                <w:rFonts w:hint="default"/>
              </w:rPr>
              <w:t>innosť</w:t>
            </w:r>
            <w:r w:rsidR="001C7A6B">
              <w:t>,</w:t>
            </w:r>
            <w:r w:rsidRPr="00863EC8">
              <w:t xml:space="preserve">  v </w:t>
            </w:r>
            <w:r w:rsidRPr="00863EC8">
              <w:rPr>
                <w:rFonts w:hint="default"/>
              </w:rPr>
              <w:t>predkladanom ná</w:t>
            </w:r>
            <w:r w:rsidRPr="00863EC8">
              <w:rPr>
                <w:rFonts w:hint="default"/>
              </w:rPr>
              <w:t xml:space="preserve">vrhu </w:t>
            </w:r>
            <w:r w:rsidR="001C7A6B">
              <w:rPr>
                <w:rFonts w:hint="default"/>
              </w:rPr>
              <w:t xml:space="preserve"> zá</w:t>
            </w:r>
            <w:r w:rsidR="001C7A6B">
              <w:rPr>
                <w:rFonts w:hint="default"/>
              </w:rPr>
              <w:t xml:space="preserve">kona sa </w:t>
            </w:r>
            <w:r w:rsidRPr="00863EC8">
              <w:rPr>
                <w:rFonts w:hint="default"/>
              </w:rPr>
              <w:t>nevytvá</w:t>
            </w:r>
            <w:r w:rsidRPr="00863EC8">
              <w:rPr>
                <w:rFonts w:hint="default"/>
              </w:rPr>
              <w:t>ra</w:t>
            </w:r>
            <w:r w:rsidR="001C7A6B">
              <w:rPr>
                <w:rFonts w:hint="default"/>
              </w:rPr>
              <w:t>jú</w:t>
            </w:r>
            <w:r w:rsidRPr="00863EC8">
              <w:rPr>
                <w:rFonts w:hint="default"/>
              </w:rPr>
              <w:t xml:space="preserve"> barié</w:t>
            </w:r>
            <w:r w:rsidRPr="00863EC8">
              <w:rPr>
                <w:rFonts w:hint="default"/>
              </w:rPr>
              <w:t>ry pre vstup na trh pre nový</w:t>
            </w:r>
            <w:r w:rsidRPr="00863EC8">
              <w:rPr>
                <w:rFonts w:hint="default"/>
              </w:rPr>
              <w:t>ch dodá</w:t>
            </w:r>
            <w:r w:rsidRPr="00863EC8">
              <w:rPr>
                <w:rFonts w:hint="default"/>
              </w:rPr>
              <w:t>vateľ</w:t>
            </w:r>
            <w:r w:rsidRPr="00863EC8">
              <w:rPr>
                <w:rFonts w:hint="default"/>
              </w:rPr>
              <w:t>ov a podmienky z</w:t>
            </w:r>
            <w:r w:rsidRPr="00863EC8">
              <w:rPr>
                <w:rFonts w:hint="default"/>
              </w:rPr>
              <w:t>ostá</w:t>
            </w:r>
            <w:r w:rsidRPr="00863EC8">
              <w:rPr>
                <w:rFonts w:hint="default"/>
              </w:rPr>
              <w:t>vajú</w:t>
            </w:r>
            <w:r w:rsidRPr="00863EC8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rovnaké</w:t>
            </w:r>
            <w:r>
              <w:rPr>
                <w:rFonts w:hint="default"/>
              </w:rPr>
              <w:t xml:space="preserve"> </w:t>
            </w:r>
            <w:r w:rsidRPr="00863EC8">
              <w:t xml:space="preserve">v rozsahu </w:t>
            </w:r>
            <w:r>
              <w:rPr>
                <w:rFonts w:hint="default"/>
              </w:rPr>
              <w:t>súč</w:t>
            </w:r>
            <w:r>
              <w:rPr>
                <w:rFonts w:hint="default"/>
              </w:rPr>
              <w:t xml:space="preserve">asne </w:t>
            </w:r>
            <w:r w:rsidRPr="00863EC8">
              <w:rPr>
                <w:rFonts w:hint="default"/>
              </w:rPr>
              <w:t>platný</w:t>
            </w:r>
            <w:r w:rsidRPr="00863EC8">
              <w:rPr>
                <w:rFonts w:hint="default"/>
              </w:rPr>
              <w:t>ch prá</w:t>
            </w:r>
            <w:r w:rsidRPr="00863EC8">
              <w:rPr>
                <w:rFonts w:hint="default"/>
              </w:rPr>
              <w:t xml:space="preserve">vnych predpisov. </w:t>
            </w:r>
          </w:p>
          <w:p w:rsidR="00863EC8" w:rsidRPr="00E26981" w:rsidP="00863EC8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863EC8" w:rsidRPr="00440CC5" w:rsidP="00863EC8">
            <w:pPr>
              <w:bidi w:val="0"/>
              <w:rPr>
                <w:rFonts w:hint="default"/>
                <w:b/>
                <w:szCs w:val="20"/>
              </w:rPr>
            </w:pPr>
            <w:r w:rsidRPr="00440CC5">
              <w:rPr>
                <w:rFonts w:hint="default"/>
                <w:b/>
                <w:szCs w:val="20"/>
              </w:rPr>
              <w:t>3.5 Inová</w:t>
            </w:r>
            <w:r w:rsidRPr="00440CC5">
              <w:rPr>
                <w:rFonts w:hint="default"/>
                <w:b/>
                <w:szCs w:val="20"/>
              </w:rPr>
              <w:t xml:space="preserve">cie </w:t>
            </w:r>
          </w:p>
          <w:p w:rsidR="00863EC8" w:rsidRPr="00440CC5" w:rsidP="00863EC8">
            <w:pPr>
              <w:bidi w:val="0"/>
              <w:rPr>
                <w:b/>
                <w:sz w:val="20"/>
                <w:szCs w:val="20"/>
              </w:rPr>
            </w:pPr>
            <w:r w:rsidRPr="00440CC5">
              <w:rPr>
                <w:szCs w:val="20"/>
              </w:rPr>
              <w:t xml:space="preserve">       - </w:t>
            </w:r>
            <w:r w:rsidRPr="00440CC5">
              <w:rPr>
                <w:b/>
                <w:szCs w:val="20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Uveď</w:t>
            </w:r>
            <w:r w:rsidRPr="00440CC5">
              <w:rPr>
                <w:rFonts w:hint="default"/>
                <w:i/>
                <w:sz w:val="20"/>
                <w:szCs w:val="20"/>
              </w:rPr>
              <w:t>te, ako podporuje navrhovaná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zmena inová</w:t>
            </w:r>
            <w:r w:rsidRPr="00440CC5">
              <w:rPr>
                <w:rFonts w:hint="default"/>
                <w:i/>
                <w:sz w:val="20"/>
                <w:szCs w:val="20"/>
              </w:rPr>
              <w:t>cie.</w:t>
            </w:r>
          </w:p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Zjednoduš</w:t>
            </w:r>
            <w:r w:rsidRPr="00440CC5">
              <w:rPr>
                <w:rFonts w:hint="default"/>
                <w:i/>
                <w:sz w:val="20"/>
                <w:szCs w:val="20"/>
              </w:rPr>
              <w:t>uje uvedenie alebo rozší</w:t>
            </w:r>
            <w:r w:rsidRPr="00440CC5">
              <w:rPr>
                <w:rFonts w:hint="default"/>
                <w:i/>
                <w:sz w:val="20"/>
                <w:szCs w:val="20"/>
              </w:rPr>
              <w:t>renie nový</w:t>
            </w:r>
            <w:r w:rsidRPr="00440CC5">
              <w:rPr>
                <w:rFonts w:hint="default"/>
                <w:i/>
                <w:sz w:val="20"/>
                <w:szCs w:val="20"/>
              </w:rPr>
              <w:t>ch vý</w:t>
            </w:r>
            <w:r w:rsidRPr="00440CC5">
              <w:rPr>
                <w:rFonts w:hint="default"/>
                <w:i/>
                <w:sz w:val="20"/>
                <w:szCs w:val="20"/>
              </w:rPr>
              <w:t>robný</w:t>
            </w:r>
            <w:r w:rsidRPr="00440CC5">
              <w:rPr>
                <w:rFonts w:hint="default"/>
                <w:i/>
                <w:sz w:val="20"/>
                <w:szCs w:val="20"/>
              </w:rPr>
              <w:t>ch metó</w:t>
            </w:r>
            <w:r w:rsidRPr="00440CC5">
              <w:rPr>
                <w:rFonts w:hint="default"/>
                <w:i/>
                <w:sz w:val="20"/>
                <w:szCs w:val="20"/>
              </w:rPr>
              <w:t>d, technoló</w:t>
            </w:r>
            <w:r w:rsidRPr="00440CC5">
              <w:rPr>
                <w:rFonts w:hint="default"/>
                <w:i/>
                <w:sz w:val="20"/>
                <w:szCs w:val="20"/>
              </w:rPr>
              <w:t>gií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a vý</w:t>
            </w:r>
            <w:r w:rsidRPr="00440CC5">
              <w:rPr>
                <w:rFonts w:hint="default"/>
                <w:i/>
                <w:sz w:val="20"/>
                <w:szCs w:val="20"/>
              </w:rPr>
              <w:t>robkov na trh?</w:t>
            </w:r>
          </w:p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Uveď</w:t>
            </w:r>
            <w:r w:rsidRPr="00440CC5">
              <w:rPr>
                <w:rFonts w:hint="default"/>
                <w:i/>
                <w:sz w:val="20"/>
                <w:szCs w:val="20"/>
              </w:rPr>
              <w:t>te, ako vplý</w:t>
            </w:r>
            <w:r w:rsidRPr="00440CC5">
              <w:rPr>
                <w:rFonts w:hint="default"/>
                <w:i/>
                <w:sz w:val="20"/>
                <w:szCs w:val="20"/>
              </w:rPr>
              <w:t>va navrhovaná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zmena na jednotlivé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prá</w:t>
            </w:r>
            <w:r w:rsidRPr="00440CC5">
              <w:rPr>
                <w:rFonts w:hint="default"/>
                <w:i/>
                <w:sz w:val="20"/>
                <w:szCs w:val="20"/>
              </w:rPr>
              <w:t>va duš</w:t>
            </w:r>
            <w:r w:rsidRPr="00440CC5">
              <w:rPr>
                <w:rFonts w:hint="default"/>
                <w:i/>
                <w:sz w:val="20"/>
                <w:szCs w:val="20"/>
              </w:rPr>
              <w:t>evné</w:t>
            </w:r>
            <w:r w:rsidRPr="00440CC5">
              <w:rPr>
                <w:rFonts w:hint="default"/>
                <w:i/>
                <w:sz w:val="20"/>
                <w:szCs w:val="20"/>
              </w:rPr>
              <w:t>ho vlastní</w:t>
            </w:r>
            <w:r w:rsidRPr="00440CC5">
              <w:rPr>
                <w:rFonts w:hint="default"/>
                <w:i/>
                <w:sz w:val="20"/>
                <w:szCs w:val="20"/>
              </w:rPr>
              <w:t>ctva (napr. patenty, ochranné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zná</w:t>
            </w:r>
            <w:r w:rsidRPr="00440CC5">
              <w:rPr>
                <w:rFonts w:hint="default"/>
                <w:i/>
                <w:sz w:val="20"/>
                <w:szCs w:val="20"/>
              </w:rPr>
              <w:t>mky, autorské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prá</w:t>
            </w:r>
            <w:r w:rsidRPr="00440CC5">
              <w:rPr>
                <w:rFonts w:hint="default"/>
                <w:i/>
                <w:sz w:val="20"/>
                <w:szCs w:val="20"/>
              </w:rPr>
              <w:t>va, vlastní</w:t>
            </w:r>
            <w:r w:rsidRPr="00440CC5">
              <w:rPr>
                <w:rFonts w:hint="default"/>
                <w:i/>
                <w:sz w:val="20"/>
                <w:szCs w:val="20"/>
              </w:rPr>
              <w:t>ctvo know-how).</w:t>
            </w:r>
          </w:p>
          <w:p w:rsidR="00863EC8" w:rsidRPr="00440CC5" w:rsidP="00863EC8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Podporuje vyšš</w:t>
            </w:r>
            <w:r w:rsidRPr="00440CC5">
              <w:rPr>
                <w:rFonts w:hint="default"/>
                <w:i/>
                <w:sz w:val="20"/>
                <w:szCs w:val="20"/>
              </w:rPr>
              <w:t>iu efektivitu vý</w:t>
            </w:r>
            <w:r w:rsidRPr="00440CC5">
              <w:rPr>
                <w:rFonts w:hint="default"/>
                <w:i/>
                <w:sz w:val="20"/>
                <w:szCs w:val="20"/>
              </w:rPr>
              <w:t>roby/využí</w:t>
            </w:r>
            <w:r w:rsidRPr="00440CC5">
              <w:rPr>
                <w:rFonts w:hint="default"/>
                <w:i/>
                <w:sz w:val="20"/>
                <w:szCs w:val="20"/>
              </w:rPr>
              <w:t>vania zdrojov? Ak á</w:t>
            </w:r>
            <w:r w:rsidRPr="00440CC5">
              <w:rPr>
                <w:rFonts w:hint="default"/>
                <w:i/>
                <w:sz w:val="20"/>
                <w:szCs w:val="20"/>
              </w:rPr>
              <w:t>no, ako?</w:t>
            </w:r>
          </w:p>
          <w:p w:rsidR="00863EC8" w:rsidRPr="00440CC5" w:rsidP="00863EC8">
            <w:pPr>
              <w:bidi w:val="0"/>
              <w:rPr>
                <w:sz w:val="20"/>
                <w:szCs w:val="20"/>
              </w:rPr>
            </w:pPr>
            <w:r w:rsidRPr="00440CC5">
              <w:rPr>
                <w:rFonts w:hint="default"/>
                <w:i/>
                <w:sz w:val="20"/>
                <w:szCs w:val="20"/>
              </w:rPr>
              <w:t>Vytvorí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zmena nové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pracovné</w:t>
            </w:r>
            <w:r w:rsidRPr="00440CC5">
              <w:rPr>
                <w:rFonts w:hint="default"/>
                <w:i/>
                <w:sz w:val="20"/>
                <w:szCs w:val="20"/>
              </w:rPr>
              <w:t xml:space="preserve"> miesta pre zam</w:t>
            </w:r>
            <w:r w:rsidRPr="00440CC5">
              <w:rPr>
                <w:rFonts w:hint="default"/>
                <w:i/>
                <w:sz w:val="20"/>
                <w:szCs w:val="20"/>
              </w:rPr>
              <w:t>estnancov vý</w:t>
            </w:r>
            <w:r w:rsidRPr="00440CC5">
              <w:rPr>
                <w:rFonts w:hint="default"/>
                <w:i/>
                <w:sz w:val="20"/>
                <w:szCs w:val="20"/>
              </w:rPr>
              <w:t>skumu a vý</w:t>
            </w:r>
            <w:r w:rsidRPr="00440CC5">
              <w:rPr>
                <w:rFonts w:hint="default"/>
                <w:i/>
                <w:sz w:val="20"/>
                <w:szCs w:val="20"/>
              </w:rPr>
              <w:t>voja v SR?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EC8" w:rsidP="00863EC8">
            <w:pPr>
              <w:bidi w:val="0"/>
              <w:jc w:val="both"/>
              <w:rPr>
                <w:sz w:val="20"/>
                <w:szCs w:val="20"/>
              </w:rPr>
            </w:pPr>
          </w:p>
          <w:p w:rsidR="00863EC8" w:rsidRPr="007D1264" w:rsidP="00863EC8">
            <w:pPr>
              <w:bidi w:val="0"/>
              <w:jc w:val="both"/>
            </w:pPr>
            <w:r w:rsidRPr="007D1264">
              <w:t>Bez vplyvu</w:t>
            </w:r>
            <w:r w:rsidR="007D1264">
              <w:t>.</w:t>
            </w:r>
          </w:p>
          <w:p w:rsidR="00863EC8" w:rsidRPr="00E26981" w:rsidP="00863EC8">
            <w:pPr>
              <w:bidi w:val="0"/>
              <w:jc w:val="both"/>
              <w:rPr>
                <w:sz w:val="20"/>
                <w:szCs w:val="20"/>
              </w:rPr>
            </w:pPr>
          </w:p>
        </w:tc>
      </w:tr>
    </w:tbl>
    <w:p w:rsidR="00E3363B" w:rsidP="00E3363B">
      <w:pPr>
        <w:bidi w:val="0"/>
        <w:rPr>
          <w:b/>
          <w:szCs w:val="20"/>
        </w:rPr>
      </w:pPr>
      <w:r>
        <w:tab/>
      </w:r>
    </w:p>
    <w:p w:rsidR="00EC320D" w:rsidP="00E3363B">
      <w:pPr>
        <w:bidi w:val="0"/>
        <w:spacing w:after="160" w:line="259" w:lineRule="auto"/>
      </w:pPr>
      <w:r w:rsidR="00E3363B">
        <w:br w:type="page"/>
      </w:r>
    </w:p>
    <w:tbl>
      <w:tblPr>
        <w:tblStyle w:val="TableNormal"/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3959"/>
        <w:gridCol w:w="1162"/>
        <w:gridCol w:w="1561"/>
        <w:gridCol w:w="708"/>
        <w:gridCol w:w="993"/>
        <w:gridCol w:w="992"/>
      </w:tblGrid>
      <w:tr>
        <w:tblPrEx>
          <w:tblW w:w="937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P="00E3363B">
            <w:pPr>
              <w:bidi w:val="0"/>
              <w:spacing w:line="276" w:lineRule="auto"/>
              <w:jc w:val="center"/>
              <w:rPr>
                <w:rFonts w:hint="default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hint="default"/>
                <w:b/>
                <w:bCs/>
                <w:sz w:val="28"/>
                <w:szCs w:val="28"/>
                <w:lang w:eastAsia="en-US"/>
              </w:rPr>
              <w:t>Analý</w:t>
            </w:r>
            <w:r>
              <w:rPr>
                <w:rFonts w:hint="default"/>
                <w:b/>
                <w:bCs/>
                <w:sz w:val="28"/>
                <w:szCs w:val="28"/>
                <w:lang w:eastAsia="en-US"/>
              </w:rPr>
              <w:t>za vplyvov na informatizá</w:t>
            </w:r>
            <w:r>
              <w:rPr>
                <w:rFonts w:hint="default"/>
                <w:b/>
                <w:bCs/>
                <w:sz w:val="28"/>
                <w:szCs w:val="28"/>
                <w:lang w:eastAsia="en-US"/>
              </w:rPr>
              <w:t>ciu spoloč</w:t>
            </w:r>
            <w:r>
              <w:rPr>
                <w:rFonts w:hint="default"/>
                <w:b/>
                <w:bCs/>
                <w:sz w:val="28"/>
                <w:szCs w:val="28"/>
                <w:lang w:eastAsia="en-US"/>
              </w:rPr>
              <w:t>nosti</w:t>
            </w:r>
          </w:p>
          <w:p w:rsidR="00E3363B" w:rsidP="00E3363B">
            <w:pPr>
              <w:bidi w:val="0"/>
              <w:spacing w:line="276" w:lineRule="auto"/>
              <w:jc w:val="center"/>
              <w:rPr>
                <w:b/>
                <w:i/>
                <w:iCs/>
                <w:sz w:val="2"/>
                <w:szCs w:val="22"/>
                <w:lang w:eastAsia="en-US"/>
              </w:rPr>
            </w:pPr>
            <w:r>
              <w:rPr>
                <w:rFonts w:hint="default"/>
                <w:b/>
                <w:lang w:eastAsia="en-US"/>
              </w:rPr>
              <w:t>Budovanie zá</w:t>
            </w:r>
            <w:r>
              <w:rPr>
                <w:rFonts w:hint="default"/>
                <w:b/>
                <w:lang w:eastAsia="en-US"/>
              </w:rPr>
              <w:t>kladný</w:t>
            </w:r>
            <w:r>
              <w:rPr>
                <w:rFonts w:hint="default"/>
                <w:b/>
                <w:lang w:eastAsia="en-US"/>
              </w:rPr>
              <w:t>ch pilierov informatizá</w:t>
            </w:r>
            <w:r>
              <w:rPr>
                <w:rFonts w:hint="default"/>
                <w:b/>
                <w:lang w:eastAsia="en-US"/>
              </w:rPr>
              <w:t>cie</w:t>
            </w:r>
          </w:p>
        </w:tc>
      </w:tr>
      <w:tr>
        <w:tblPrEx>
          <w:tblW w:w="9375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68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40A7">
              <w:rPr>
                <w:b/>
                <w:sz w:val="20"/>
                <w:szCs w:val="20"/>
                <w:lang w:eastAsia="en-US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b/>
                <w:sz w:val="20"/>
                <w:szCs w:val="20"/>
                <w:lang w:eastAsia="en-US"/>
              </w:rPr>
              <w:t xml:space="preserve">A 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–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nová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služ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ba</w:t>
            </w: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B 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–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zmena služ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Kó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d služ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Ná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zov služ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Ú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roveň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elektronizá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cie služ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by</w:t>
            </w: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(0 až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5)</w:t>
            </w:r>
          </w:p>
        </w:tc>
      </w:tr>
      <w:tr>
        <w:tblPrEx>
          <w:tblW w:w="9375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5040A7" w:rsidP="00E3363B">
            <w:pPr>
              <w:bidi w:val="0"/>
              <w:spacing w:line="276" w:lineRule="auto"/>
              <w:jc w:val="both"/>
              <w:rPr>
                <w:rFonts w:hint="default"/>
                <w:sz w:val="20"/>
                <w:szCs w:val="20"/>
                <w:lang w:eastAsia="en-US"/>
              </w:rPr>
            </w:pPr>
            <w:r w:rsidRPr="005040A7">
              <w:rPr>
                <w:b/>
                <w:sz w:val="20"/>
                <w:szCs w:val="20"/>
                <w:lang w:eastAsia="en-US"/>
              </w:rPr>
              <w:t>6.1.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 xml:space="preserve"> Predpokladá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 xml:space="preserve"> predlož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ený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 xml:space="preserve"> ná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vrh zmenu existujú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cich elektronický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ch služ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ieb verejnej sprá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vy alebo vytvorenie nový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ch služ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ieb?</w:t>
            </w:r>
          </w:p>
          <w:p w:rsidR="00E3363B" w:rsidRPr="005040A7" w:rsidP="00E3363B">
            <w:pPr>
              <w:bidi w:val="0"/>
              <w:spacing w:line="20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(Ak 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no, uveď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te zmenu služ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by alebo vytvorenie novej služ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by, ď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alej  jej kó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d, ná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zov a ú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roveň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 xml:space="preserve"> elektronizá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cie podľ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a kataló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gu eGovernment sl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už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ieb, ktorý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 xml:space="preserve"> je vedený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 xml:space="preserve"> v centrá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lnom metainformač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nom systé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me verejnej sprá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vy.)</w:t>
            </w:r>
            <w:r w:rsidRPr="005040A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40A7" w:rsidR="00BA36F6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40A7" w:rsidR="00BA36F6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5040A7" w:rsidP="00E3363B">
            <w:pPr>
              <w:bidi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A36F6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A36F6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40A7" w:rsidR="00BA36F6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363B" w:rsidRPr="005040A7" w:rsidP="00E3363B">
            <w:pPr>
              <w:bidi w:val="0"/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040A7" w:rsidR="00BA36F6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>
        <w:tblPrEx>
          <w:tblW w:w="9375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Infraš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truktú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A 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–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nový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systé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m</w:t>
            </w: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B 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–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zmena systé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mu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Kó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d systé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Ná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zov systé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mu</w:t>
            </w:r>
          </w:p>
        </w:tc>
      </w:tr>
      <w:tr>
        <w:tblPrEx>
          <w:tblW w:w="9375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70F" w:rsidRPr="005040A7" w:rsidP="0080670F">
            <w:pPr>
              <w:bidi w:val="0"/>
              <w:spacing w:line="276" w:lineRule="auto"/>
              <w:jc w:val="both"/>
              <w:rPr>
                <w:rFonts w:hint="default"/>
                <w:sz w:val="20"/>
                <w:szCs w:val="20"/>
                <w:lang w:eastAsia="en-US"/>
              </w:rPr>
            </w:pPr>
            <w:r w:rsidRPr="005040A7">
              <w:rPr>
                <w:b/>
                <w:sz w:val="20"/>
                <w:szCs w:val="20"/>
                <w:lang w:eastAsia="en-US"/>
              </w:rPr>
              <w:t>6.2.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 xml:space="preserve"> Predpokladá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 xml:space="preserve"> predlož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ený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 xml:space="preserve"> ná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vrh zmenu existujú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ceho alebo vytvorenie nové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ho informač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né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ho systé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mu verejnej sprá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vy?</w:t>
            </w:r>
          </w:p>
          <w:p w:rsidR="0080670F" w:rsidRPr="005040A7" w:rsidP="0080670F">
            <w:pPr>
              <w:bidi w:val="0"/>
              <w:spacing w:line="20" w:lineRule="atLeast"/>
              <w:jc w:val="both"/>
              <w:rPr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(Ak 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no, uveď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te zmenu systé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mu alebo vytvorenie nové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ho systé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mu, ď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alej jeho kó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d a ná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zov z 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centrá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lneho metainformač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né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ho systé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mu verejnej sprá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70F" w:rsidRPr="005040A7" w:rsidP="0080670F">
            <w:pPr>
              <w:bidi w:val="0"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80670F" w:rsidRPr="005040A7" w:rsidP="0080670F">
            <w:pPr>
              <w:bidi w:val="0"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80670F" w:rsidRPr="005040A7" w:rsidP="0080670F">
            <w:pPr>
              <w:bidi w:val="0"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5040A7">
              <w:rPr>
                <w:i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70F" w:rsidRPr="005040A7" w:rsidP="0080670F">
            <w:pPr>
              <w:bidi w:val="0"/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  <w:p w:rsidR="0080670F" w:rsidRPr="005040A7" w:rsidP="0080670F">
            <w:pPr>
              <w:bidi w:val="0"/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  <w:p w:rsidR="0080670F" w:rsidRPr="007D1264" w:rsidP="0080670F">
            <w:pPr>
              <w:bidi w:val="0"/>
              <w:spacing w:line="276" w:lineRule="auto"/>
              <w:jc w:val="center"/>
              <w:rPr>
                <w:iCs/>
                <w:lang w:eastAsia="en-US"/>
              </w:rPr>
            </w:pPr>
            <w:r w:rsidRPr="007D1264">
              <w:rPr>
                <w:iCs/>
                <w:lang w:eastAsia="en-US"/>
              </w:rPr>
              <w:t>isvs_5836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70F" w:rsidRPr="007D1264" w:rsidP="007D1264">
            <w:pPr>
              <w:bidi w:val="0"/>
              <w:rPr>
                <w:rFonts w:hint="default"/>
              </w:rPr>
            </w:pPr>
            <w:r w:rsidRPr="007D1264">
              <w:rPr>
                <w:rFonts w:hint="default"/>
              </w:rPr>
              <w:t>Centrá</w:t>
            </w:r>
            <w:r w:rsidRPr="007D1264">
              <w:rPr>
                <w:rFonts w:hint="default"/>
              </w:rPr>
              <w:t>lne dá</w:t>
            </w:r>
            <w:r w:rsidRPr="007D1264">
              <w:rPr>
                <w:rFonts w:hint="default"/>
              </w:rPr>
              <w:t>tové</w:t>
            </w:r>
            <w:r w:rsidRPr="007D1264">
              <w:rPr>
                <w:rFonts w:hint="default"/>
              </w:rPr>
              <w:t xml:space="preserve"> ú</w:t>
            </w:r>
            <w:r w:rsidRPr="007D1264">
              <w:rPr>
                <w:rFonts w:hint="default"/>
              </w:rPr>
              <w:t>lož</w:t>
            </w:r>
            <w:r w:rsidRPr="007D1264">
              <w:rPr>
                <w:rFonts w:hint="default"/>
              </w:rPr>
              <w:t xml:space="preserve">isko </w:t>
            </w:r>
            <w:r w:rsidRPr="007D1264" w:rsidR="002F6484">
              <w:rPr>
                <w:rFonts w:hint="default"/>
              </w:rPr>
              <w:t>radiač</w:t>
            </w:r>
            <w:r w:rsidRPr="007D1264" w:rsidR="002F6484">
              <w:rPr>
                <w:rFonts w:hint="default"/>
              </w:rPr>
              <w:t>nej monitorovacej siete zabezpečí</w:t>
            </w:r>
            <w:r w:rsidRPr="007D1264">
              <w:rPr>
                <w:rFonts w:hint="default"/>
              </w:rPr>
              <w:t xml:space="preserve"> kvalifikované</w:t>
            </w:r>
            <w:r w:rsidRPr="007D1264">
              <w:rPr>
                <w:rFonts w:hint="default"/>
              </w:rPr>
              <w:t xml:space="preserve"> ulož</w:t>
            </w:r>
            <w:r w:rsidRPr="007D1264">
              <w:rPr>
                <w:rFonts w:hint="default"/>
              </w:rPr>
              <w:t>enie dá</w:t>
            </w:r>
            <w:r w:rsidRPr="007D1264">
              <w:rPr>
                <w:rFonts w:hint="default"/>
              </w:rPr>
              <w:t>t zlož</w:t>
            </w:r>
            <w:r w:rsidRPr="007D1264">
              <w:rPr>
                <w:rFonts w:hint="default"/>
              </w:rPr>
              <w:t xml:space="preserve">iek </w:t>
            </w:r>
            <w:r w:rsidRPr="007D1264" w:rsidR="002F6484">
              <w:rPr>
                <w:rFonts w:hint="default"/>
              </w:rPr>
              <w:t>radiač</w:t>
            </w:r>
            <w:r w:rsidRPr="007D1264" w:rsidR="002F6484">
              <w:rPr>
                <w:rFonts w:hint="default"/>
              </w:rPr>
              <w:t>nej monitorovacej siete</w:t>
            </w:r>
            <w:r w:rsidRPr="007D1264">
              <w:t xml:space="preserve"> z </w:t>
            </w:r>
            <w:r w:rsidRPr="007D1264">
              <w:rPr>
                <w:rFonts w:hint="default"/>
              </w:rPr>
              <w:t>monitorovania rá</w:t>
            </w:r>
            <w:r w:rsidRPr="007D1264">
              <w:rPr>
                <w:rFonts w:hint="default"/>
              </w:rPr>
              <w:t>dioaktí</w:t>
            </w:r>
            <w:r w:rsidRPr="007D1264">
              <w:rPr>
                <w:rFonts w:hint="default"/>
              </w:rPr>
              <w:t>vnej kontaminá</w:t>
            </w:r>
            <w:r w:rsidRPr="007D1264">
              <w:rPr>
                <w:rFonts w:hint="default"/>
              </w:rPr>
              <w:t>cie ž</w:t>
            </w:r>
            <w:r w:rsidRPr="007D1264">
              <w:rPr>
                <w:rFonts w:hint="default"/>
              </w:rPr>
              <w:t>ivotné</w:t>
            </w:r>
            <w:r w:rsidRPr="007D1264">
              <w:rPr>
                <w:rFonts w:hint="default"/>
              </w:rPr>
              <w:t xml:space="preserve">ho prostredia a </w:t>
            </w:r>
          </w:p>
          <w:p w:rsidR="0080670F" w:rsidRPr="007D1264" w:rsidP="007D1264">
            <w:pPr>
              <w:bidi w:val="0"/>
              <w:rPr>
                <w:rFonts w:hint="default"/>
              </w:rPr>
            </w:pPr>
            <w:r w:rsidRPr="007D1264">
              <w:rPr>
                <w:rFonts w:hint="default"/>
              </w:rPr>
              <w:t>vý</w:t>
            </w:r>
            <w:r w:rsidRPr="007D1264">
              <w:rPr>
                <w:rFonts w:hint="default"/>
              </w:rPr>
              <w:t>poč</w:t>
            </w:r>
            <w:r w:rsidRPr="007D1264">
              <w:rPr>
                <w:rFonts w:hint="default"/>
              </w:rPr>
              <w:t>tový</w:t>
            </w:r>
            <w:r w:rsidRPr="007D1264">
              <w:rPr>
                <w:rFonts w:hint="default"/>
              </w:rPr>
              <w:t xml:space="preserve"> systé</w:t>
            </w:r>
            <w:r w:rsidRPr="007D1264">
              <w:rPr>
                <w:rFonts w:hint="default"/>
              </w:rPr>
              <w:t>m na modelovanie radiač</w:t>
            </w:r>
            <w:r w:rsidRPr="007D1264">
              <w:rPr>
                <w:rFonts w:hint="default"/>
              </w:rPr>
              <w:t>ný</w:t>
            </w:r>
            <w:r w:rsidRPr="007D1264">
              <w:rPr>
                <w:rFonts w:hint="default"/>
              </w:rPr>
              <w:t>ch dopadov a </w:t>
            </w:r>
            <w:r w:rsidRPr="007D1264">
              <w:rPr>
                <w:rFonts w:hint="default"/>
              </w:rPr>
              <w:t>rá</w:t>
            </w:r>
            <w:r w:rsidRPr="007D1264">
              <w:rPr>
                <w:rFonts w:hint="default"/>
              </w:rPr>
              <w:t>diologický</w:t>
            </w:r>
            <w:r w:rsidRPr="007D1264">
              <w:rPr>
                <w:rFonts w:hint="default"/>
              </w:rPr>
              <w:t xml:space="preserve">ch vplyvov </w:t>
            </w:r>
            <w:r w:rsidR="001C7A6B">
              <w:t>na</w:t>
            </w:r>
            <w:r w:rsidRPr="007D1264">
              <w:rPr>
                <w:rFonts w:hint="default"/>
              </w:rPr>
              <w:t xml:space="preserve"> podporu krí</w:t>
            </w:r>
            <w:r w:rsidRPr="007D1264">
              <w:rPr>
                <w:rFonts w:hint="default"/>
              </w:rPr>
              <w:t>zové</w:t>
            </w:r>
            <w:r w:rsidRPr="007D1264">
              <w:rPr>
                <w:rFonts w:hint="default"/>
              </w:rPr>
              <w:t>ho š</w:t>
            </w:r>
            <w:r w:rsidRPr="007D1264">
              <w:rPr>
                <w:rFonts w:hint="default"/>
              </w:rPr>
              <w:t>tá</w:t>
            </w:r>
            <w:r w:rsidRPr="007D1264">
              <w:rPr>
                <w:rFonts w:hint="default"/>
              </w:rPr>
              <w:t>bu na zistenie a </w:t>
            </w:r>
            <w:r w:rsidRPr="007D1264">
              <w:rPr>
                <w:rFonts w:hint="default"/>
              </w:rPr>
              <w:t>vý</w:t>
            </w:r>
            <w:r w:rsidRPr="007D1264">
              <w:rPr>
                <w:rFonts w:hint="default"/>
              </w:rPr>
              <w:t>poč</w:t>
            </w:r>
            <w:r w:rsidRPr="007D1264">
              <w:rPr>
                <w:rFonts w:hint="default"/>
              </w:rPr>
              <w:t>et dopadov ú</w:t>
            </w:r>
            <w:r w:rsidRPr="007D1264">
              <w:rPr>
                <w:rFonts w:hint="default"/>
              </w:rPr>
              <w:t>niku rá</w:t>
            </w:r>
            <w:r w:rsidRPr="007D1264">
              <w:rPr>
                <w:rFonts w:hint="default"/>
              </w:rPr>
              <w:t>dioaktí</w:t>
            </w:r>
            <w:r w:rsidRPr="007D1264">
              <w:rPr>
                <w:rFonts w:hint="default"/>
              </w:rPr>
              <w:t>vnych lá</w:t>
            </w:r>
            <w:r w:rsidRPr="007D1264">
              <w:rPr>
                <w:rFonts w:hint="default"/>
              </w:rPr>
              <w:t>tok do okolia a </w:t>
            </w:r>
            <w:r w:rsidRPr="007D1264">
              <w:rPr>
                <w:rFonts w:hint="default"/>
              </w:rPr>
              <w:t>ná</w:t>
            </w:r>
            <w:r w:rsidRPr="007D1264">
              <w:rPr>
                <w:rFonts w:hint="default"/>
              </w:rPr>
              <w:t>vrhy ochranný</w:t>
            </w:r>
            <w:r w:rsidRPr="007D1264">
              <w:rPr>
                <w:rFonts w:hint="default"/>
              </w:rPr>
              <w:t>ch opatrení.</w:t>
            </w:r>
          </w:p>
          <w:p w:rsidR="005E2BB4" w:rsidRPr="007D1264" w:rsidP="007D1264">
            <w:pPr>
              <w:bidi w:val="0"/>
              <w:rPr>
                <w:rFonts w:hint="default"/>
              </w:rPr>
            </w:pPr>
            <w:r w:rsidRPr="007D1264">
              <w:rPr>
                <w:rFonts w:hint="default"/>
              </w:rPr>
              <w:t>Centrá</w:t>
            </w:r>
            <w:r w:rsidRPr="007D1264">
              <w:rPr>
                <w:rFonts w:hint="default"/>
              </w:rPr>
              <w:t>lny register dá</w:t>
            </w:r>
            <w:r w:rsidRPr="007D1264">
              <w:rPr>
                <w:rFonts w:hint="default"/>
              </w:rPr>
              <w:t>vok pracovní</w:t>
            </w:r>
            <w:r w:rsidRPr="007D1264">
              <w:rPr>
                <w:rFonts w:hint="default"/>
              </w:rPr>
              <w:t>kov so zdrojmi ionizujú</w:t>
            </w:r>
            <w:r w:rsidRPr="007D1264">
              <w:rPr>
                <w:rFonts w:hint="default"/>
              </w:rPr>
              <w:t>ceho ž</w:t>
            </w:r>
            <w:r w:rsidRPr="007D1264">
              <w:rPr>
                <w:rFonts w:hint="default"/>
              </w:rPr>
              <w:t>iarenia.</w:t>
            </w:r>
          </w:p>
          <w:p w:rsidR="005E2BB4" w:rsidRPr="007D1264" w:rsidP="007D1264">
            <w:pPr>
              <w:bidi w:val="0"/>
              <w:rPr>
                <w:rFonts w:hint="default"/>
              </w:rPr>
            </w:pPr>
            <w:r w:rsidRPr="007D1264">
              <w:rPr>
                <w:rFonts w:hint="default"/>
              </w:rPr>
              <w:t>Centrá</w:t>
            </w:r>
            <w:r w:rsidRPr="007D1264">
              <w:rPr>
                <w:rFonts w:hint="default"/>
              </w:rPr>
              <w:t>lny register zdrojov ionizujú</w:t>
            </w:r>
            <w:r w:rsidRPr="007D1264">
              <w:rPr>
                <w:rFonts w:hint="default"/>
              </w:rPr>
              <w:t>ceho ž</w:t>
            </w:r>
            <w:r w:rsidRPr="007D1264">
              <w:rPr>
                <w:rFonts w:hint="default"/>
              </w:rPr>
              <w:t>iarenia.</w:t>
            </w:r>
          </w:p>
          <w:p w:rsidR="002F6484" w:rsidRPr="005040A7" w:rsidP="005040A7">
            <w:pPr>
              <w:bidi w:val="0"/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</w:tr>
      <w:tr>
        <w:tblPrEx>
          <w:tblW w:w="9375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5040A7" w:rsidP="00E3363B">
            <w:pPr>
              <w:bidi w:val="0"/>
              <w:spacing w:line="20" w:lineRule="atLeast"/>
              <w:ind w:hanging="55"/>
              <w:jc w:val="center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b/>
                <w:sz w:val="20"/>
                <w:szCs w:val="20"/>
                <w:lang w:eastAsia="en-US"/>
              </w:rPr>
              <w:t>Financovanie procesu in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formatizá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Rezortná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ú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roveň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Nadrezortná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ú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roveň</w:t>
            </w:r>
          </w:p>
          <w:p w:rsidR="00E3363B" w:rsidRPr="005040A7" w:rsidP="00E3363B">
            <w:pPr>
              <w:bidi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E3363B" w:rsidRPr="005040A7" w:rsidP="00E3363B">
            <w:pPr>
              <w:bidi w:val="0"/>
              <w:spacing w:line="276" w:lineRule="auto"/>
              <w:rPr>
                <w:rFonts w:hint="default"/>
                <w:b/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A - z prostriedkov EÚ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 xml:space="preserve">   B - z ď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alší</w:t>
            </w:r>
            <w:r w:rsidRPr="005040A7">
              <w:rPr>
                <w:rFonts w:hint="default"/>
                <w:b/>
                <w:sz w:val="20"/>
                <w:szCs w:val="20"/>
                <w:lang w:eastAsia="en-US"/>
              </w:rPr>
              <w:t>ch zdrojov financovania</w:t>
            </w:r>
          </w:p>
        </w:tc>
      </w:tr>
      <w:tr>
        <w:tblPrEx>
          <w:tblW w:w="9375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2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70F" w:rsidRPr="005040A7" w:rsidP="0080670F">
            <w:pPr>
              <w:bidi w:val="0"/>
              <w:spacing w:line="276" w:lineRule="auto"/>
              <w:jc w:val="both"/>
              <w:rPr>
                <w:rFonts w:hint="default"/>
                <w:sz w:val="20"/>
                <w:szCs w:val="20"/>
                <w:lang w:eastAsia="en-US"/>
              </w:rPr>
            </w:pPr>
            <w:r w:rsidRPr="005040A7">
              <w:rPr>
                <w:b/>
                <w:sz w:val="20"/>
                <w:szCs w:val="20"/>
                <w:lang w:eastAsia="en-US"/>
              </w:rPr>
              <w:t>6.3.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 xml:space="preserve"> Vyž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aduje si proces informatizá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cie  finanč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né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 xml:space="preserve"> investí</w:t>
            </w:r>
            <w:r w:rsidRPr="005040A7">
              <w:rPr>
                <w:rFonts w:hint="default"/>
                <w:sz w:val="20"/>
                <w:szCs w:val="20"/>
                <w:lang w:eastAsia="en-US"/>
              </w:rPr>
              <w:t>cie?</w:t>
            </w:r>
          </w:p>
          <w:p w:rsidR="0080670F" w:rsidRPr="005040A7" w:rsidP="0080670F">
            <w:pPr>
              <w:bidi w:val="0"/>
              <w:spacing w:line="20" w:lineRule="atLeast"/>
              <w:jc w:val="both"/>
              <w:rPr>
                <w:sz w:val="20"/>
                <w:szCs w:val="20"/>
                <w:lang w:eastAsia="en-US"/>
              </w:rPr>
            </w:pP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(Uveď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te prí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sluš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nú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 xml:space="preserve"> ú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roveň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 xml:space="preserve"> financovania a 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kvantifiká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ciu finanč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ný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ch vý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davkov uveď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te  v 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analý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ze vplyvov na rozpoč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et verejnej sprá</w:t>
            </w:r>
            <w:r w:rsidRPr="005040A7">
              <w:rPr>
                <w:rFonts w:hint="default"/>
                <w:i/>
                <w:iCs/>
                <w:sz w:val="20"/>
                <w:szCs w:val="20"/>
                <w:lang w:eastAsia="en-US"/>
              </w:rPr>
              <w:t>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70F" w:rsidRPr="005040A7" w:rsidP="0080670F">
            <w:pPr>
              <w:bidi w:val="0"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80670F" w:rsidRPr="005040A7" w:rsidP="0080670F">
            <w:pPr>
              <w:bidi w:val="0"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80670F" w:rsidRPr="005040A7" w:rsidP="0080670F">
            <w:pPr>
              <w:bidi w:val="0"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5040A7">
              <w:rPr>
                <w:i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70F" w:rsidRPr="007D1264" w:rsidP="007D1264">
            <w:pPr>
              <w:bidi w:val="0"/>
              <w:rPr>
                <w:rFonts w:hint="default"/>
                <w:iCs/>
                <w:lang w:eastAsia="en-US"/>
              </w:rPr>
            </w:pPr>
            <w:r w:rsidRPr="007D1264">
              <w:rPr>
                <w:rFonts w:hint="default"/>
                <w:iCs/>
                <w:lang w:eastAsia="en-US"/>
              </w:rPr>
              <w:t>Informač</w:t>
            </w:r>
            <w:r w:rsidRPr="007D1264">
              <w:rPr>
                <w:rFonts w:hint="default"/>
                <w:iCs/>
                <w:lang w:eastAsia="en-US"/>
              </w:rPr>
              <w:t>ný</w:t>
            </w:r>
            <w:r w:rsidRPr="007D1264">
              <w:rPr>
                <w:rFonts w:hint="default"/>
                <w:iCs/>
                <w:lang w:eastAsia="en-US"/>
              </w:rPr>
              <w:t>mi systé</w:t>
            </w:r>
            <w:r w:rsidRPr="007D1264">
              <w:rPr>
                <w:rFonts w:hint="default"/>
                <w:iCs/>
                <w:lang w:eastAsia="en-US"/>
              </w:rPr>
              <w:t>mami budú</w:t>
            </w:r>
            <w:r w:rsidRPr="007D1264">
              <w:rPr>
                <w:rFonts w:hint="default"/>
                <w:iCs/>
                <w:lang w:eastAsia="en-US"/>
              </w:rPr>
              <w:t xml:space="preserve"> prepojené</w:t>
            </w:r>
            <w:r w:rsidRPr="007D1264">
              <w:rPr>
                <w:rFonts w:hint="default"/>
                <w:iCs/>
                <w:lang w:eastAsia="en-US"/>
              </w:rPr>
              <w:t xml:space="preserve"> jednotlivé</w:t>
            </w:r>
            <w:r w:rsidRPr="007D1264">
              <w:rPr>
                <w:rFonts w:hint="default"/>
                <w:iCs/>
                <w:lang w:eastAsia="en-US"/>
              </w:rPr>
              <w:t xml:space="preserve"> zlož</w:t>
            </w:r>
            <w:r w:rsidRPr="007D1264">
              <w:rPr>
                <w:rFonts w:hint="default"/>
                <w:iCs/>
                <w:lang w:eastAsia="en-US"/>
              </w:rPr>
              <w:t>ky radiač</w:t>
            </w:r>
            <w:r w:rsidRPr="007D1264">
              <w:rPr>
                <w:rFonts w:hint="default"/>
                <w:iCs/>
                <w:lang w:eastAsia="en-US"/>
              </w:rPr>
              <w:t>nej monitorovacej siete s </w:t>
            </w:r>
            <w:r w:rsidRPr="007D1264" w:rsidR="005040A7">
              <w:rPr>
                <w:rFonts w:hint="default"/>
                <w:iCs/>
                <w:lang w:eastAsia="en-US"/>
              </w:rPr>
              <w:t>ú</w:t>
            </w:r>
            <w:r w:rsidRPr="007D1264">
              <w:rPr>
                <w:rFonts w:hint="default"/>
                <w:iCs/>
                <w:lang w:eastAsia="en-US"/>
              </w:rPr>
              <w:t>stredí</w:t>
            </w:r>
            <w:r w:rsidRPr="007D1264">
              <w:rPr>
                <w:rFonts w:hint="default"/>
                <w:iCs/>
                <w:lang w:eastAsia="en-US"/>
              </w:rPr>
              <w:t>m radiač</w:t>
            </w:r>
            <w:r w:rsidRPr="007D1264">
              <w:rPr>
                <w:rFonts w:hint="default"/>
                <w:iCs/>
                <w:lang w:eastAsia="en-US"/>
              </w:rPr>
              <w:t>nej monitorovacej siete. Zlož</w:t>
            </w:r>
            <w:r w:rsidRPr="007D1264">
              <w:rPr>
                <w:rFonts w:hint="default"/>
                <w:iCs/>
                <w:lang w:eastAsia="en-US"/>
              </w:rPr>
              <w:t>ky radiač</w:t>
            </w:r>
            <w:r w:rsidRPr="007D1264">
              <w:rPr>
                <w:rFonts w:hint="default"/>
                <w:iCs/>
                <w:lang w:eastAsia="en-US"/>
              </w:rPr>
              <w:t>nej monitorovacej siete tvoria stá</w:t>
            </w:r>
            <w:r w:rsidRPr="007D1264">
              <w:rPr>
                <w:rFonts w:hint="default"/>
                <w:iCs/>
                <w:lang w:eastAsia="en-US"/>
              </w:rPr>
              <w:t>le a </w:t>
            </w:r>
            <w:r w:rsidRPr="007D1264">
              <w:rPr>
                <w:rFonts w:hint="default"/>
                <w:iCs/>
                <w:lang w:eastAsia="en-US"/>
              </w:rPr>
              <w:t>pohotovostné</w:t>
            </w:r>
            <w:r w:rsidRPr="007D1264">
              <w:rPr>
                <w:rFonts w:hint="default"/>
                <w:iCs/>
                <w:lang w:eastAsia="en-US"/>
              </w:rPr>
              <w:t xml:space="preserve"> skupiny urč</w:t>
            </w:r>
            <w:r w:rsidRPr="007D1264">
              <w:rPr>
                <w:rFonts w:hint="default"/>
                <w:iCs/>
                <w:lang w:eastAsia="en-US"/>
              </w:rPr>
              <w:t>en</w:t>
            </w:r>
            <w:r w:rsidRPr="007D1264">
              <w:rPr>
                <w:rFonts w:hint="default"/>
                <w:iCs/>
                <w:lang w:eastAsia="en-US"/>
              </w:rPr>
              <w:t>é</w:t>
            </w:r>
            <w:r w:rsidRPr="007D1264">
              <w:rPr>
                <w:rFonts w:hint="default"/>
                <w:iCs/>
                <w:lang w:eastAsia="en-US"/>
              </w:rPr>
              <w:t xml:space="preserve"> rezortmi a </w:t>
            </w:r>
            <w:r w:rsidRPr="007D1264">
              <w:rPr>
                <w:rFonts w:hint="default"/>
                <w:iCs/>
                <w:lang w:eastAsia="en-US"/>
              </w:rPr>
              <w:t>organizá</w:t>
            </w:r>
            <w:r w:rsidRPr="007D1264">
              <w:rPr>
                <w:rFonts w:hint="default"/>
                <w:iCs/>
                <w:lang w:eastAsia="en-US"/>
              </w:rPr>
              <w:t xml:space="preserve">ciami. </w:t>
            </w:r>
          </w:p>
          <w:p w:rsidR="002F6484" w:rsidRPr="005040A7" w:rsidP="005040A7">
            <w:pPr>
              <w:bidi w:val="0"/>
              <w:spacing w:line="276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670F" w:rsidRPr="005040A7" w:rsidP="0080670F">
            <w:pPr>
              <w:bidi w:val="0"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80670F" w:rsidRPr="005040A7" w:rsidP="0080670F">
            <w:pPr>
              <w:bidi w:val="0"/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80670F" w:rsidRPr="005040A7" w:rsidP="0080670F">
            <w:pPr>
              <w:bidi w:val="0"/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5040A7">
              <w:rPr>
                <w:iCs/>
                <w:sz w:val="20"/>
                <w:szCs w:val="20"/>
                <w:lang w:eastAsia="en-US"/>
              </w:rPr>
              <w:t>B</w:t>
            </w:r>
          </w:p>
        </w:tc>
      </w:tr>
    </w:tbl>
    <w:p w:rsidR="00E3363B" w:rsidP="00E3363B">
      <w:pPr>
        <w:bidi w:val="0"/>
        <w:rPr>
          <w:b/>
          <w:bCs/>
        </w:rPr>
      </w:pPr>
    </w:p>
    <w:p w:rsidR="00423A85" w:rsidP="005040A7">
      <w:pPr>
        <w:bidi w:val="0"/>
        <w:rPr>
          <w:b/>
          <w:bCs/>
        </w:rPr>
      </w:pPr>
      <w:r w:rsidRPr="005C4B9C" w:rsidR="005040A7">
        <w:rPr>
          <w:rFonts w:eastAsia="Times New Roman"/>
          <w:color w:val="000000"/>
          <w:lang w:eastAsia="en-US"/>
        </w:rPr>
        <w:t>Návrh zákona o</w:t>
      </w:r>
      <w:r w:rsidR="007B59CB">
        <w:rPr>
          <w:rFonts w:eastAsia="Times New Roman"/>
          <w:color w:val="000000"/>
          <w:lang w:eastAsia="en-US"/>
        </w:rPr>
        <w:t> radiačnej ochrane</w:t>
      </w:r>
      <w:r w:rsidRPr="005C4B9C" w:rsidR="005040A7">
        <w:rPr>
          <w:rFonts w:eastAsia="Times New Roman"/>
          <w:color w:val="000000"/>
          <w:lang w:eastAsia="en-US"/>
        </w:rPr>
        <w:t xml:space="preserve"> a o zmene a doplnení</w:t>
      </w:r>
      <w:r w:rsidR="007B59CB">
        <w:rPr>
          <w:rFonts w:eastAsia="Times New Roman"/>
          <w:color w:val="000000"/>
          <w:lang w:eastAsia="en-US"/>
        </w:rPr>
        <w:t xml:space="preserve"> niektorých zákonov zavádza nové informačné systémy</w:t>
      </w:r>
      <w:r w:rsidRPr="005C4B9C" w:rsidR="005040A7">
        <w:rPr>
          <w:rFonts w:eastAsia="Times New Roman"/>
          <w:color w:val="000000"/>
          <w:lang w:eastAsia="en-US"/>
        </w:rPr>
        <w:t xml:space="preserve"> verejnej správy, ktor</w:t>
      </w:r>
      <w:r w:rsidR="007B59CB">
        <w:rPr>
          <w:rFonts w:eastAsia="Times New Roman"/>
          <w:color w:val="000000"/>
          <w:lang w:eastAsia="en-US"/>
        </w:rPr>
        <w:t>é</w:t>
      </w:r>
      <w:r w:rsidRPr="005C4B9C" w:rsidR="005040A7">
        <w:rPr>
          <w:rFonts w:eastAsia="Times New Roman"/>
          <w:color w:val="000000"/>
          <w:lang w:eastAsia="en-US"/>
        </w:rPr>
        <w:t xml:space="preserve"> bud</w:t>
      </w:r>
      <w:r w:rsidR="007B59CB">
        <w:rPr>
          <w:rFonts w:eastAsia="Times New Roman"/>
          <w:color w:val="000000"/>
          <w:lang w:eastAsia="en-US"/>
        </w:rPr>
        <w:t>ú</w:t>
      </w:r>
      <w:r w:rsidRPr="005C4B9C" w:rsidR="005040A7">
        <w:rPr>
          <w:rFonts w:eastAsia="Times New Roman"/>
          <w:color w:val="000000"/>
          <w:lang w:eastAsia="en-US"/>
        </w:rPr>
        <w:t xml:space="preserve"> financovan</w:t>
      </w:r>
      <w:r w:rsidR="007B59CB">
        <w:rPr>
          <w:rFonts w:eastAsia="Times New Roman"/>
          <w:color w:val="000000"/>
          <w:lang w:eastAsia="en-US"/>
        </w:rPr>
        <w:t>é</w:t>
      </w:r>
      <w:r w:rsidRPr="005C4B9C" w:rsidR="005040A7">
        <w:rPr>
          <w:rFonts w:eastAsia="Times New Roman"/>
          <w:color w:val="000000"/>
          <w:lang w:eastAsia="en-US"/>
        </w:rPr>
        <w:t xml:space="preserve"> zo štátneho rozpočtu.</w:t>
      </w: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040A7" w:rsidP="00E3363B">
      <w:pPr>
        <w:bidi w:val="0"/>
        <w:rPr>
          <w:b/>
          <w:bCs/>
        </w:rPr>
      </w:pPr>
      <w:r w:rsidR="004D5DB7">
        <w:rPr>
          <w:b/>
          <w:bCs/>
        </w:rPr>
        <w:br w:type="page"/>
      </w:r>
    </w:p>
    <w:p w:rsidR="005D6238" w:rsidP="00E3363B">
      <w:pPr>
        <w:bidi w:val="0"/>
        <w:rPr>
          <w:b/>
          <w:bCs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7C4720" w:rsidRPr="002E32C0" w:rsidP="0005480A">
            <w:pPr>
              <w:bidi w:val="0"/>
              <w:jc w:val="center"/>
            </w:pPr>
            <w:r w:rsidRPr="002E32C0">
              <w:rPr>
                <w:rFonts w:hint="default"/>
                <w:b/>
                <w:sz w:val="28"/>
              </w:rPr>
              <w:t>Analý</w:t>
            </w:r>
            <w:r w:rsidRPr="002E32C0">
              <w:rPr>
                <w:rFonts w:hint="default"/>
                <w:b/>
                <w:sz w:val="28"/>
              </w:rPr>
              <w:t>za vplyvov na ž</w:t>
            </w:r>
            <w:r w:rsidRPr="002E32C0">
              <w:rPr>
                <w:rFonts w:hint="default"/>
                <w:b/>
                <w:sz w:val="28"/>
              </w:rPr>
              <w:t>ivotné</w:t>
            </w:r>
            <w:r w:rsidRPr="002E32C0">
              <w:rPr>
                <w:rFonts w:hint="default"/>
                <w:b/>
                <w:sz w:val="28"/>
              </w:rPr>
              <w:t xml:space="preserve">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7C4720" w:rsidRPr="002E32C0" w:rsidP="0005480A">
            <w:pPr>
              <w:bidi w:val="0"/>
              <w:rPr>
                <w:i/>
              </w:rPr>
            </w:pPr>
            <w:r w:rsidRPr="002E32C0">
              <w:rPr>
                <w:rFonts w:hint="default"/>
                <w:b/>
              </w:rPr>
              <w:t>5.1 Ktoré</w:t>
            </w:r>
            <w:r w:rsidRPr="002E32C0">
              <w:rPr>
                <w:rFonts w:hint="default"/>
                <w:b/>
              </w:rPr>
              <w:t xml:space="preserve"> zlož</w:t>
            </w:r>
            <w:r w:rsidRPr="002E32C0">
              <w:rPr>
                <w:rFonts w:hint="default"/>
                <w:b/>
              </w:rPr>
              <w:t>ky ž</w:t>
            </w:r>
            <w:r w:rsidRPr="002E32C0">
              <w:rPr>
                <w:rFonts w:hint="default"/>
                <w:b/>
              </w:rPr>
              <w:t>ivotné</w:t>
            </w:r>
            <w:r w:rsidRPr="002E32C0">
              <w:rPr>
                <w:rFonts w:hint="default"/>
                <w:b/>
              </w:rPr>
              <w:t>ho prostredia (najmä</w:t>
            </w:r>
            <w:r w:rsidRPr="002E32C0">
              <w:rPr>
                <w:rFonts w:hint="default"/>
                <w:b/>
              </w:rPr>
              <w:t xml:space="preserve"> ovzduš</w:t>
            </w:r>
            <w:r w:rsidRPr="002E32C0">
              <w:rPr>
                <w:rFonts w:hint="default"/>
                <w:b/>
              </w:rPr>
              <w:t>ie, voda, horniny, pô</w:t>
            </w:r>
            <w:r w:rsidRPr="002E32C0">
              <w:rPr>
                <w:rFonts w:hint="default"/>
                <w:b/>
              </w:rPr>
              <w:t>da, organizmy) budú</w:t>
            </w:r>
            <w:r w:rsidRPr="002E32C0">
              <w:rPr>
                <w:rFonts w:hint="default"/>
                <w:b/>
              </w:rPr>
              <w:t xml:space="preserve"> predkladaný</w:t>
            </w:r>
            <w:r w:rsidRPr="002E32C0">
              <w:rPr>
                <w:rFonts w:hint="default"/>
                <w:b/>
              </w:rPr>
              <w:t>m materiá</w:t>
            </w:r>
            <w:r w:rsidRPr="002E32C0">
              <w:rPr>
                <w:rFonts w:hint="default"/>
                <w:b/>
              </w:rPr>
              <w:t>lom ovplyvnené</w:t>
            </w:r>
            <w:r w:rsidRPr="002E32C0">
              <w:rPr>
                <w:rFonts w:hint="default"/>
                <w:b/>
              </w:rPr>
              <w:t xml:space="preserve"> a </w:t>
            </w:r>
            <w:r w:rsidRPr="002E32C0">
              <w:rPr>
                <w:rFonts w:hint="default"/>
                <w:b/>
              </w:rPr>
              <w:t>aký</w:t>
            </w:r>
            <w:r w:rsidRPr="002E32C0">
              <w:rPr>
                <w:rFonts w:hint="default"/>
                <w:b/>
              </w:rPr>
              <w:t xml:space="preserve">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7183" w:rsidRPr="002F6484" w:rsidP="0005480A">
            <w:pPr>
              <w:bidi w:val="0"/>
              <w:jc w:val="both"/>
            </w:pPr>
            <w:r w:rsidRPr="002F6484">
              <w:rPr>
                <w:rFonts w:hint="default"/>
              </w:rPr>
              <w:t>Oč</w:t>
            </w:r>
            <w:r w:rsidRPr="002F6484">
              <w:rPr>
                <w:rFonts w:hint="default"/>
              </w:rPr>
              <w:t>aká</w:t>
            </w:r>
            <w:r w:rsidRPr="002F6484">
              <w:rPr>
                <w:rFonts w:hint="default"/>
              </w:rPr>
              <w:t>vajú</w:t>
            </w:r>
            <w:r w:rsidRPr="002F6484">
              <w:rPr>
                <w:rFonts w:hint="default"/>
              </w:rPr>
              <w:t xml:space="preserve"> sa pozití</w:t>
            </w:r>
            <w:r w:rsidRPr="002F6484">
              <w:rPr>
                <w:rFonts w:hint="default"/>
              </w:rPr>
              <w:t>vne vplyvy na ž</w:t>
            </w:r>
            <w:r w:rsidRPr="002F6484">
              <w:rPr>
                <w:rFonts w:hint="default"/>
              </w:rPr>
              <w:t>ivotné</w:t>
            </w:r>
            <w:r w:rsidRPr="002F6484">
              <w:rPr>
                <w:rFonts w:hint="default"/>
              </w:rPr>
              <w:t xml:space="preserve"> prostredie.</w:t>
            </w:r>
            <w:r w:rsidR="00770DD8">
              <w:rPr>
                <w:rFonts w:hint="default"/>
              </w:rPr>
              <w:t xml:space="preserve"> Cieľ</w:t>
            </w:r>
            <w:r w:rsidR="00770DD8">
              <w:rPr>
                <w:rFonts w:hint="default"/>
              </w:rPr>
              <w:t>om navrhovanej prá</w:t>
            </w:r>
            <w:r w:rsidR="00770DD8">
              <w:rPr>
                <w:rFonts w:hint="default"/>
              </w:rPr>
              <w:t>vnej ú</w:t>
            </w:r>
            <w:r w:rsidR="00770DD8">
              <w:rPr>
                <w:rFonts w:hint="default"/>
              </w:rPr>
              <w:t>pravy je efektí</w:t>
            </w:r>
            <w:r w:rsidR="00770DD8">
              <w:rPr>
                <w:rFonts w:hint="default"/>
              </w:rPr>
              <w:t>vnejš</w:t>
            </w:r>
            <w:r w:rsidR="00770DD8">
              <w:rPr>
                <w:rFonts w:hint="default"/>
              </w:rPr>
              <w:t>ie ovplyvnenie tvorby a </w:t>
            </w:r>
            <w:r w:rsidR="00770DD8">
              <w:rPr>
                <w:rFonts w:hint="default"/>
              </w:rPr>
              <w:t>ochrany zdravý</w:t>
            </w:r>
            <w:r w:rsidR="00770DD8">
              <w:rPr>
                <w:rFonts w:hint="default"/>
              </w:rPr>
              <w:t>ch ž</w:t>
            </w:r>
            <w:r w:rsidR="00770DD8">
              <w:rPr>
                <w:rFonts w:hint="default"/>
              </w:rPr>
              <w:t>ivotný</w:t>
            </w:r>
            <w:r w:rsidR="00770DD8">
              <w:rPr>
                <w:rFonts w:hint="default"/>
              </w:rPr>
              <w:t>ch podmienok.</w:t>
            </w:r>
          </w:p>
          <w:p w:rsidR="007C4720" w:rsidRPr="002F6484" w:rsidP="0005480A">
            <w:pPr>
              <w:bidi w:val="0"/>
              <w:jc w:val="both"/>
              <w:rPr>
                <w:rFonts w:hint="default"/>
              </w:rPr>
            </w:pPr>
            <w:r w:rsidRPr="002F6484">
              <w:rPr>
                <w:rFonts w:hint="default"/>
              </w:rPr>
              <w:t>Predkladaný</w:t>
            </w:r>
            <w:r w:rsidRPr="002F6484">
              <w:rPr>
                <w:rFonts w:hint="default"/>
              </w:rPr>
              <w:t xml:space="preserve"> </w:t>
            </w:r>
            <w:r w:rsidR="00770DD8">
              <w:rPr>
                <w:rFonts w:hint="default"/>
              </w:rPr>
              <w:t>ná</w:t>
            </w:r>
            <w:r w:rsidR="00770DD8">
              <w:rPr>
                <w:rFonts w:hint="default"/>
              </w:rPr>
              <w:t>vrh zá</w:t>
            </w:r>
            <w:r w:rsidR="00770DD8">
              <w:rPr>
                <w:rFonts w:hint="default"/>
              </w:rPr>
              <w:t>kona</w:t>
            </w:r>
            <w:r w:rsidRPr="002F6484">
              <w:rPr>
                <w:rFonts w:hint="default"/>
              </w:rPr>
              <w:t xml:space="preserve"> obsahuje zmenené</w:t>
            </w:r>
            <w:r w:rsidRPr="002F6484">
              <w:rPr>
                <w:rFonts w:hint="default"/>
              </w:rPr>
              <w:t xml:space="preserve"> hodnoty </w:t>
            </w:r>
            <w:r w:rsidR="00770DD8">
              <w:t>na</w:t>
            </w:r>
            <w:r w:rsidRPr="002F6484">
              <w:rPr>
                <w:rFonts w:hint="default"/>
              </w:rPr>
              <w:t xml:space="preserve"> uvoľň</w:t>
            </w:r>
            <w:r w:rsidRPr="002F6484">
              <w:rPr>
                <w:rFonts w:hint="default"/>
              </w:rPr>
              <w:t>ovanie rá</w:t>
            </w:r>
            <w:r w:rsidRPr="002F6484">
              <w:rPr>
                <w:rFonts w:hint="default"/>
              </w:rPr>
              <w:t>dionuklidov do ž</w:t>
            </w:r>
            <w:r w:rsidRPr="002F6484">
              <w:rPr>
                <w:rFonts w:hint="default"/>
              </w:rPr>
              <w:t>ivotné</w:t>
            </w:r>
            <w:r w:rsidRPr="002F6484">
              <w:rPr>
                <w:rFonts w:hint="default"/>
              </w:rPr>
              <w:t>ho prostredia, čí</w:t>
            </w:r>
            <w:r w:rsidRPr="002F6484">
              <w:rPr>
                <w:rFonts w:hint="default"/>
              </w:rPr>
              <w:t>m sa zabezpečí</w:t>
            </w:r>
            <w:r w:rsidRPr="002F6484">
              <w:rPr>
                <w:rFonts w:hint="default"/>
              </w:rPr>
              <w:t xml:space="preserve"> vyšš</w:t>
            </w:r>
            <w:r w:rsidRPr="002F6484">
              <w:rPr>
                <w:rFonts w:hint="default"/>
              </w:rPr>
              <w:t>ia ochrana obyvateľ</w:t>
            </w:r>
            <w:r w:rsidRPr="002F6484">
              <w:rPr>
                <w:rFonts w:hint="default"/>
              </w:rPr>
              <w:t>ov</w:t>
            </w:r>
            <w:r w:rsidRPr="002F6484" w:rsidR="00BC35AE">
              <w:rPr>
                <w:rFonts w:hint="default"/>
              </w:rPr>
              <w:t>, sprí</w:t>
            </w:r>
            <w:r w:rsidRPr="002F6484" w:rsidR="00BC35AE">
              <w:rPr>
                <w:rFonts w:hint="default"/>
              </w:rPr>
              <w:t>snené</w:t>
            </w:r>
            <w:r w:rsidRPr="002F6484" w:rsidR="00BC35AE">
              <w:rPr>
                <w:rFonts w:hint="default"/>
              </w:rPr>
              <w:t xml:space="preserve"> pož</w:t>
            </w:r>
            <w:r w:rsidRPr="002F6484" w:rsidR="00BC35AE">
              <w:rPr>
                <w:rFonts w:hint="default"/>
              </w:rPr>
              <w:t>iadavky na pr</w:t>
            </w:r>
            <w:r w:rsidRPr="002F6484" w:rsidR="00BC35AE">
              <w:rPr>
                <w:rFonts w:hint="default"/>
              </w:rPr>
              <w:t>evá</w:t>
            </w:r>
            <w:r w:rsidRPr="002F6484" w:rsidR="00BC35AE">
              <w:rPr>
                <w:rFonts w:hint="default"/>
              </w:rPr>
              <w:t>dzkovateľ</w:t>
            </w:r>
            <w:r w:rsidRPr="002F6484" w:rsidR="00BC35AE">
              <w:rPr>
                <w:rFonts w:hint="default"/>
              </w:rPr>
              <w:t>ov jadrovo-energetický</w:t>
            </w:r>
            <w:r w:rsidRPr="002F6484" w:rsidR="00BC35AE">
              <w:rPr>
                <w:rFonts w:hint="default"/>
              </w:rPr>
              <w:t>ch zariadení</w:t>
            </w:r>
            <w:r w:rsidRPr="002F6484" w:rsidR="00BC35AE">
              <w:rPr>
                <w:rFonts w:hint="default"/>
              </w:rPr>
              <w:t xml:space="preserve"> -</w:t>
            </w:r>
            <w:r w:rsidRPr="002F6484">
              <w:t xml:space="preserve"> napr</w:t>
            </w:r>
            <w:r w:rsidR="00770DD8">
              <w:rPr>
                <w:rFonts w:hint="default"/>
              </w:rPr>
              <w:t>í</w:t>
            </w:r>
            <w:r w:rsidR="00770DD8">
              <w:rPr>
                <w:rFonts w:hint="default"/>
              </w:rPr>
              <w:t>klad</w:t>
            </w:r>
            <w:r w:rsidRPr="002F6484">
              <w:rPr>
                <w:rFonts w:hint="default"/>
              </w:rPr>
              <w:t xml:space="preserve"> oproti platný</w:t>
            </w:r>
            <w:r w:rsidRPr="002F6484">
              <w:rPr>
                <w:rFonts w:hint="default"/>
              </w:rPr>
              <w:t>m prá</w:t>
            </w:r>
            <w:r w:rsidRPr="002F6484">
              <w:rPr>
                <w:rFonts w:hint="default"/>
              </w:rPr>
              <w:t>vnym predpisom pož</w:t>
            </w:r>
            <w:r w:rsidRPr="002F6484">
              <w:rPr>
                <w:rFonts w:hint="default"/>
              </w:rPr>
              <w:t>aduje bilancovanie uhlí</w:t>
            </w:r>
            <w:r w:rsidRPr="002F6484">
              <w:rPr>
                <w:rFonts w:hint="default"/>
              </w:rPr>
              <w:t>ka-14.</w:t>
            </w:r>
          </w:p>
          <w:p w:rsidR="007C4720" w:rsidRPr="002F6484" w:rsidP="0005480A">
            <w:pPr>
              <w:bidi w:val="0"/>
              <w:jc w:val="both"/>
            </w:pPr>
            <w:r w:rsidRPr="002F6484" w:rsidR="001F7183">
              <w:rPr>
                <w:rFonts w:hint="default"/>
              </w:rPr>
              <w:t>Predkladaný</w:t>
            </w:r>
            <w:r w:rsidRPr="002F6484" w:rsidR="001F7183">
              <w:rPr>
                <w:rFonts w:hint="default"/>
              </w:rPr>
              <w:t xml:space="preserve"> </w:t>
            </w:r>
            <w:r w:rsidR="00770DD8">
              <w:rPr>
                <w:rFonts w:hint="default"/>
              </w:rPr>
              <w:t>ná</w:t>
            </w:r>
            <w:r w:rsidR="00770DD8">
              <w:rPr>
                <w:rFonts w:hint="default"/>
              </w:rPr>
              <w:t>vrh zá</w:t>
            </w:r>
            <w:r w:rsidR="00770DD8">
              <w:rPr>
                <w:rFonts w:hint="default"/>
              </w:rPr>
              <w:t>kona</w:t>
            </w:r>
            <w:r w:rsidRPr="002F6484" w:rsidR="001F7183">
              <w:rPr>
                <w:rFonts w:hint="default"/>
              </w:rPr>
              <w:t xml:space="preserve"> pož</w:t>
            </w:r>
            <w:r w:rsidRPr="002F6484" w:rsidR="001F7183">
              <w:rPr>
                <w:rFonts w:hint="default"/>
              </w:rPr>
              <w:t>aduje zaistenie bezpeč</w:t>
            </w:r>
            <w:r w:rsidRPr="002F6484" w:rsidR="001F7183">
              <w:rPr>
                <w:rFonts w:hint="default"/>
              </w:rPr>
              <w:t>nosti rá</w:t>
            </w:r>
            <w:r w:rsidRPr="002F6484" w:rsidR="001F7183">
              <w:rPr>
                <w:rFonts w:hint="default"/>
              </w:rPr>
              <w:t>dioaktí</w:t>
            </w:r>
            <w:r w:rsidRPr="002F6484" w:rsidR="001F7183">
              <w:rPr>
                <w:rFonts w:hint="default"/>
              </w:rPr>
              <w:t>vnych ž</w:t>
            </w:r>
            <w:r w:rsidRPr="002F6484" w:rsidR="001F7183">
              <w:rPr>
                <w:rFonts w:hint="default"/>
              </w:rPr>
              <w:t>iarič</w:t>
            </w:r>
            <w:r w:rsidRPr="002F6484" w:rsidR="001F7183">
              <w:rPr>
                <w:rFonts w:hint="default"/>
              </w:rPr>
              <w:t>ov, č</w:t>
            </w:r>
            <w:r w:rsidRPr="002F6484" w:rsidR="001F7183">
              <w:rPr>
                <w:rFonts w:hint="default"/>
              </w:rPr>
              <w:t>o zníž</w:t>
            </w:r>
            <w:r w:rsidRPr="002F6484" w:rsidR="001F7183">
              <w:rPr>
                <w:rFonts w:hint="default"/>
              </w:rPr>
              <w:t>i pravdepodobnosť</w:t>
            </w:r>
            <w:r w:rsidRPr="002F6484" w:rsidR="001F7183">
              <w:rPr>
                <w:rFonts w:hint="default"/>
              </w:rPr>
              <w:t xml:space="preserve"> také</w:t>
            </w:r>
            <w:r w:rsidRPr="002F6484" w:rsidR="001F7183">
              <w:rPr>
                <w:rFonts w:hint="default"/>
              </w:rPr>
              <w:t>ho ich zneuž</w:t>
            </w:r>
            <w:r w:rsidRPr="002F6484" w:rsidR="001F7183">
              <w:rPr>
                <w:rFonts w:hint="default"/>
              </w:rPr>
              <w:t>itia, kto</w:t>
            </w:r>
            <w:r w:rsidRPr="002F6484" w:rsidR="001F7183">
              <w:rPr>
                <w:rFonts w:hint="default"/>
              </w:rPr>
              <w:t>ré</w:t>
            </w:r>
            <w:r w:rsidRPr="002F6484" w:rsidR="001F7183">
              <w:rPr>
                <w:rFonts w:hint="default"/>
              </w:rPr>
              <w:t>ho vý</w:t>
            </w:r>
            <w:r w:rsidRPr="002F6484" w:rsidR="001F7183">
              <w:rPr>
                <w:rFonts w:hint="default"/>
              </w:rPr>
              <w:t>sledkom môž</w:t>
            </w:r>
            <w:r w:rsidRPr="002F6484" w:rsidR="001F7183">
              <w:rPr>
                <w:rFonts w:hint="default"/>
              </w:rPr>
              <w:t>e byť</w:t>
            </w:r>
            <w:r w:rsidRPr="002F6484" w:rsidR="001F7183">
              <w:rPr>
                <w:rFonts w:hint="default"/>
              </w:rPr>
              <w:t xml:space="preserve"> kontaminá</w:t>
            </w:r>
            <w:r w:rsidRPr="002F6484" w:rsidR="001F7183">
              <w:rPr>
                <w:rFonts w:hint="default"/>
              </w:rPr>
              <w:t>cia zlož</w:t>
            </w:r>
            <w:r w:rsidRPr="002F6484" w:rsidR="001F7183">
              <w:rPr>
                <w:rFonts w:hint="default"/>
              </w:rPr>
              <w:t>iek ž</w:t>
            </w:r>
            <w:r w:rsidRPr="002F6484" w:rsidR="001F7183">
              <w:rPr>
                <w:rFonts w:hint="default"/>
              </w:rPr>
              <w:t>ivotné</w:t>
            </w:r>
            <w:r w:rsidRPr="002F6484" w:rsidR="001F7183">
              <w:rPr>
                <w:rFonts w:hint="default"/>
              </w:rPr>
              <w:t>ho prostredia</w:t>
            </w:r>
            <w:r w:rsidRPr="002F6484" w:rsidR="00BC35AE">
              <w:t xml:space="preserve">. </w:t>
            </w:r>
            <w:r w:rsidRPr="002F6484" w:rsidR="001F7183">
              <w:t xml:space="preserve">  </w:t>
            </w:r>
          </w:p>
          <w:p w:rsidR="007C4720" w:rsidRPr="002F6484" w:rsidP="00032A46">
            <w:pPr>
              <w:bidi w:val="0"/>
              <w:jc w:val="both"/>
            </w:pPr>
            <w:r w:rsidRPr="002F6484" w:rsidR="00BC35AE">
              <w:rPr>
                <w:rFonts w:hint="default"/>
              </w:rPr>
              <w:t>Pri vykoná</w:t>
            </w:r>
            <w:r w:rsidRPr="002F6484" w:rsidR="00BC35AE">
              <w:rPr>
                <w:rFonts w:hint="default"/>
              </w:rPr>
              <w:t>vaní</w:t>
            </w:r>
            <w:r w:rsidRPr="002F6484" w:rsidR="00BC35AE">
              <w:rPr>
                <w:rFonts w:hint="default"/>
              </w:rPr>
              <w:t xml:space="preserve"> niektorý</w:t>
            </w:r>
            <w:r w:rsidRPr="002F6484" w:rsidR="00BC35AE">
              <w:rPr>
                <w:rFonts w:hint="default"/>
              </w:rPr>
              <w:t>ch č</w:t>
            </w:r>
            <w:r w:rsidRPr="002F6484" w:rsidR="00BC35AE">
              <w:rPr>
                <w:rFonts w:hint="default"/>
              </w:rPr>
              <w:t>inností</w:t>
            </w:r>
            <w:r w:rsidRPr="002F6484" w:rsidR="00BC35AE">
              <w:rPr>
                <w:rFonts w:hint="default"/>
              </w:rPr>
              <w:t xml:space="preserve"> vedú</w:t>
            </w:r>
            <w:r w:rsidRPr="002F6484" w:rsidR="00BC35AE">
              <w:rPr>
                <w:rFonts w:hint="default"/>
              </w:rPr>
              <w:t>cich k </w:t>
            </w:r>
            <w:r w:rsidRPr="002F6484" w:rsidR="00BC35AE">
              <w:rPr>
                <w:rFonts w:hint="default"/>
              </w:rPr>
              <w:t>ož</w:t>
            </w:r>
            <w:r w:rsidRPr="002F6484" w:rsidR="00BC35AE">
              <w:rPr>
                <w:rFonts w:hint="default"/>
              </w:rPr>
              <w:t>iareniu a </w:t>
            </w:r>
            <w:r w:rsidRPr="002F6484" w:rsidR="00BC35AE">
              <w:rPr>
                <w:rFonts w:hint="default"/>
              </w:rPr>
              <w:t>použí</w:t>
            </w:r>
            <w:r w:rsidRPr="002F6484" w:rsidR="00BC35AE">
              <w:rPr>
                <w:rFonts w:hint="default"/>
              </w:rPr>
              <w:t>vaní</w:t>
            </w:r>
            <w:r w:rsidRPr="002F6484" w:rsidR="00BC35AE">
              <w:rPr>
                <w:rFonts w:hint="default"/>
              </w:rPr>
              <w:t xml:space="preserve"> niektorý</w:t>
            </w:r>
            <w:r w:rsidRPr="002F6484" w:rsidR="00BC35AE">
              <w:rPr>
                <w:rFonts w:hint="default"/>
              </w:rPr>
              <w:t>ch zdrojov ionizujú</w:t>
            </w:r>
            <w:r w:rsidRPr="002F6484" w:rsidR="00BC35AE">
              <w:rPr>
                <w:rFonts w:hint="default"/>
              </w:rPr>
              <w:t>ceho ž</w:t>
            </w:r>
            <w:r w:rsidRPr="002F6484" w:rsidR="00BC35AE">
              <w:rPr>
                <w:rFonts w:hint="default"/>
              </w:rPr>
              <w:t>iarenia nie je mož</w:t>
            </w:r>
            <w:r w:rsidRPr="002F6484" w:rsidR="00BC35AE">
              <w:rPr>
                <w:rFonts w:hint="default"/>
              </w:rPr>
              <w:t>né</w:t>
            </w:r>
            <w:r w:rsidRPr="002F6484" w:rsidR="00BC35AE">
              <w:rPr>
                <w:rFonts w:hint="default"/>
              </w:rPr>
              <w:t xml:space="preserve"> absolú</w:t>
            </w:r>
            <w:r w:rsidRPr="002F6484" w:rsidR="00BC35AE">
              <w:rPr>
                <w:rFonts w:hint="default"/>
              </w:rPr>
              <w:t>tne vylúč</w:t>
            </w:r>
            <w:r w:rsidRPr="002F6484" w:rsidR="00BC35AE">
              <w:rPr>
                <w:rFonts w:hint="default"/>
              </w:rPr>
              <w:t>iť</w:t>
            </w:r>
            <w:r w:rsidRPr="002F6484" w:rsidR="00BC35AE">
              <w:rPr>
                <w:rFonts w:hint="default"/>
              </w:rPr>
              <w:t xml:space="preserve"> ú</w:t>
            </w:r>
            <w:r w:rsidRPr="002F6484" w:rsidR="00BC35AE">
              <w:rPr>
                <w:rFonts w:hint="default"/>
              </w:rPr>
              <w:t>niky rá</w:t>
            </w:r>
            <w:r w:rsidRPr="002F6484" w:rsidR="00BC35AE">
              <w:rPr>
                <w:rFonts w:hint="default"/>
              </w:rPr>
              <w:t>dionuklidov, č</w:t>
            </w:r>
            <w:r w:rsidRPr="002F6484" w:rsidR="00BC35AE">
              <w:rPr>
                <w:rFonts w:hint="default"/>
              </w:rPr>
              <w:t>o vyž</w:t>
            </w:r>
            <w:r w:rsidRPr="002F6484" w:rsidR="00BC35AE">
              <w:rPr>
                <w:rFonts w:hint="default"/>
              </w:rPr>
              <w:t>aduje funkč</w:t>
            </w:r>
            <w:r w:rsidRPr="002F6484" w:rsidR="00BC35AE">
              <w:rPr>
                <w:rFonts w:hint="default"/>
              </w:rPr>
              <w:t>né</w:t>
            </w:r>
            <w:r w:rsidRPr="002F6484" w:rsidR="00BC35AE">
              <w:rPr>
                <w:rFonts w:hint="default"/>
              </w:rPr>
              <w:t xml:space="preserve"> systé</w:t>
            </w:r>
            <w:r w:rsidRPr="002F6484" w:rsidR="00BC35AE">
              <w:rPr>
                <w:rFonts w:hint="default"/>
              </w:rPr>
              <w:t>my monitorovania radiač</w:t>
            </w:r>
            <w:r w:rsidRPr="002F6484" w:rsidR="00BC35AE">
              <w:rPr>
                <w:rFonts w:hint="default"/>
              </w:rPr>
              <w:t>nej situá</w:t>
            </w:r>
            <w:r w:rsidRPr="002F6484" w:rsidR="00BC35AE">
              <w:rPr>
                <w:rFonts w:hint="default"/>
              </w:rPr>
              <w:t>cie s </w:t>
            </w:r>
            <w:r w:rsidRPr="002F6484" w:rsidR="00BC35AE">
              <w:rPr>
                <w:rFonts w:hint="default"/>
              </w:rPr>
              <w:t>cieľ</w:t>
            </w:r>
            <w:r w:rsidRPr="002F6484" w:rsidR="00BC35AE">
              <w:rPr>
                <w:rFonts w:hint="default"/>
              </w:rPr>
              <w:t>om ochrany obyvateľ</w:t>
            </w:r>
            <w:r w:rsidRPr="002F6484" w:rsidR="00BC35AE">
              <w:rPr>
                <w:rFonts w:hint="default"/>
              </w:rPr>
              <w:t>stva a ž</w:t>
            </w:r>
            <w:r w:rsidRPr="002F6484" w:rsidR="00BC35AE">
              <w:rPr>
                <w:rFonts w:hint="default"/>
              </w:rPr>
              <w:t>ivotné</w:t>
            </w:r>
            <w:r w:rsidRPr="002F6484" w:rsidR="00BC35AE">
              <w:rPr>
                <w:rFonts w:hint="default"/>
              </w:rPr>
              <w:t>ho prostredia. Predkladaný</w:t>
            </w:r>
            <w:r w:rsidRPr="002F6484" w:rsidR="00BC35AE">
              <w:rPr>
                <w:rFonts w:hint="default"/>
              </w:rPr>
              <w:t xml:space="preserve"> materiá</w:t>
            </w:r>
            <w:r w:rsidRPr="002F6484" w:rsidR="00BC35AE">
              <w:rPr>
                <w:rFonts w:hint="default"/>
              </w:rPr>
              <w:t>l pož</w:t>
            </w:r>
            <w:r w:rsidRPr="002F6484" w:rsidR="00BC35AE">
              <w:rPr>
                <w:rFonts w:hint="default"/>
              </w:rPr>
              <w:t>aduje dobudovanie radiač</w:t>
            </w:r>
            <w:r w:rsidRPr="002F6484" w:rsidR="00BC35AE">
              <w:rPr>
                <w:rFonts w:hint="default"/>
              </w:rPr>
              <w:t>nej monitorovacej siete na ú</w:t>
            </w:r>
            <w:r w:rsidRPr="002F6484" w:rsidR="00BC35AE">
              <w:rPr>
                <w:rFonts w:hint="default"/>
              </w:rPr>
              <w:t>rovni euró</w:t>
            </w:r>
            <w:r w:rsidRPr="002F6484" w:rsidR="00BC35AE">
              <w:rPr>
                <w:rFonts w:hint="default"/>
              </w:rPr>
              <w:t>pskych š</w:t>
            </w:r>
            <w:r w:rsidRPr="002F6484" w:rsidR="00BC35AE">
              <w:rPr>
                <w:rFonts w:hint="default"/>
              </w:rPr>
              <w:t xml:space="preserve">tandardov. </w:t>
            </w:r>
            <w:r w:rsidRPr="002F6484" w:rsidR="00032A46">
              <w:rPr>
                <w:rFonts w:hint="default"/>
              </w:rPr>
              <w:t>Objektí</w:t>
            </w:r>
            <w:r w:rsidRPr="002F6484" w:rsidR="00032A46">
              <w:rPr>
                <w:rFonts w:hint="default"/>
              </w:rPr>
              <w:t>vne a </w:t>
            </w:r>
            <w:r w:rsidRPr="002F6484" w:rsidR="00032A46">
              <w:rPr>
                <w:rFonts w:hint="default"/>
              </w:rPr>
              <w:t>vč</w:t>
            </w:r>
            <w:r w:rsidRPr="002F6484" w:rsidR="00032A46">
              <w:rPr>
                <w:rFonts w:hint="default"/>
              </w:rPr>
              <w:t>asné</w:t>
            </w:r>
            <w:r w:rsidRPr="002F6484" w:rsidR="00032A46">
              <w:rPr>
                <w:rFonts w:hint="default"/>
              </w:rPr>
              <w:t xml:space="preserve"> zí</w:t>
            </w:r>
            <w:r w:rsidRPr="002F6484" w:rsidR="00032A46">
              <w:rPr>
                <w:rFonts w:hint="default"/>
              </w:rPr>
              <w:t>skanie ú</w:t>
            </w:r>
            <w:r w:rsidRPr="002F6484" w:rsidR="00032A46">
              <w:rPr>
                <w:rFonts w:hint="default"/>
              </w:rPr>
              <w:t>dajov o </w:t>
            </w:r>
            <w:r w:rsidRPr="002F6484" w:rsidR="00032A46">
              <w:rPr>
                <w:rFonts w:hint="default"/>
              </w:rPr>
              <w:t>kontaminá</w:t>
            </w:r>
            <w:r w:rsidRPr="002F6484" w:rsidR="00032A46">
              <w:rPr>
                <w:rFonts w:hint="default"/>
              </w:rPr>
              <w:t>cii zlož</w:t>
            </w:r>
            <w:r w:rsidRPr="002F6484" w:rsidR="00032A46">
              <w:rPr>
                <w:rFonts w:hint="default"/>
              </w:rPr>
              <w:t>iek ž</w:t>
            </w:r>
            <w:r w:rsidRPr="002F6484" w:rsidR="00032A46">
              <w:rPr>
                <w:rFonts w:hint="default"/>
              </w:rPr>
              <w:t>i</w:t>
            </w:r>
            <w:r w:rsidRPr="002F6484" w:rsidR="00032A46">
              <w:rPr>
                <w:rFonts w:hint="default"/>
              </w:rPr>
              <w:t>votné</w:t>
            </w:r>
            <w:r w:rsidRPr="002F6484" w:rsidR="00032A46">
              <w:rPr>
                <w:rFonts w:hint="default"/>
              </w:rPr>
              <w:t>ho prostredia umož</w:t>
            </w:r>
            <w:r w:rsidRPr="002F6484" w:rsidR="00032A46">
              <w:rPr>
                <w:rFonts w:hint="default"/>
              </w:rPr>
              <w:t>n</w:t>
            </w:r>
            <w:r w:rsidR="00770DD8">
              <w:rPr>
                <w:rFonts w:hint="default"/>
              </w:rPr>
              <w:t>í</w:t>
            </w:r>
            <w:r w:rsidRPr="002F6484" w:rsidR="00032A46">
              <w:rPr>
                <w:rFonts w:hint="default"/>
              </w:rPr>
              <w:t xml:space="preserve"> prijať</w:t>
            </w:r>
            <w:r w:rsidRPr="002F6484" w:rsidR="00032A46">
              <w:rPr>
                <w:rFonts w:hint="default"/>
              </w:rPr>
              <w:t xml:space="preserve"> </w:t>
            </w:r>
            <w:r w:rsidRPr="002F6484" w:rsidR="00E963FF">
              <w:rPr>
                <w:rFonts w:hint="default"/>
              </w:rPr>
              <w:t>opatrenia na zníž</w:t>
            </w:r>
            <w:r w:rsidRPr="002F6484" w:rsidR="00E963FF">
              <w:rPr>
                <w:rFonts w:hint="default"/>
              </w:rPr>
              <w:t>enie negatí</w:t>
            </w:r>
            <w:r w:rsidRPr="002F6484" w:rsidR="00E963FF">
              <w:rPr>
                <w:rFonts w:hint="default"/>
              </w:rPr>
              <w:t>vnych vplyvov.</w:t>
            </w:r>
            <w:r w:rsidRPr="002F6484" w:rsidR="00032A46">
              <w:t xml:space="preserve"> </w:t>
            </w:r>
          </w:p>
          <w:p w:rsidR="00032A46" w:rsidRPr="007C4720" w:rsidP="00032A46">
            <w:pPr>
              <w:bidi w:val="0"/>
              <w:jc w:val="both"/>
              <w:rPr>
                <w:i/>
                <w:sz w:val="20"/>
                <w:szCs w:val="20"/>
              </w:rPr>
            </w:pP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7C4720" w:rsidRPr="002E32C0" w:rsidP="0005480A">
            <w:pPr>
              <w:bidi w:val="0"/>
              <w:rPr>
                <w:rFonts w:hint="default"/>
                <w:b/>
              </w:rPr>
            </w:pPr>
            <w:r w:rsidRPr="002E32C0">
              <w:rPr>
                <w:rFonts w:hint="default"/>
                <w:b/>
              </w:rPr>
              <w:t>5.2 Bude mať</w:t>
            </w:r>
            <w:r w:rsidRPr="002E32C0">
              <w:rPr>
                <w:rFonts w:hint="default"/>
                <w:b/>
              </w:rPr>
              <w:t xml:space="preserve"> predkladaný</w:t>
            </w:r>
            <w:r w:rsidRPr="002E32C0">
              <w:rPr>
                <w:rFonts w:hint="default"/>
                <w:b/>
              </w:rPr>
              <w:t xml:space="preserve"> materiá</w:t>
            </w:r>
            <w:r w:rsidRPr="002E32C0">
              <w:rPr>
                <w:rFonts w:hint="default"/>
                <w:b/>
              </w:rPr>
              <w:t>l vplyv na chrá</w:t>
            </w:r>
            <w:r w:rsidRPr="002E32C0">
              <w:rPr>
                <w:rFonts w:hint="default"/>
                <w:b/>
              </w:rPr>
              <w:t>nené</w:t>
            </w:r>
            <w:r w:rsidRPr="002E32C0">
              <w:rPr>
                <w:rFonts w:hint="default"/>
                <w:b/>
              </w:rPr>
              <w:t xml:space="preserve"> ú</w:t>
            </w:r>
            <w:r w:rsidRPr="002E32C0">
              <w:rPr>
                <w:rFonts w:hint="default"/>
                <w:b/>
              </w:rPr>
              <w:t>zemia a </w:t>
            </w:r>
            <w:r w:rsidRPr="002E32C0">
              <w:rPr>
                <w:rFonts w:hint="default"/>
                <w:b/>
              </w:rPr>
              <w:t>ak á</w:t>
            </w:r>
            <w:r w:rsidRPr="002E32C0">
              <w:rPr>
                <w:rFonts w:hint="default"/>
                <w:b/>
              </w:rPr>
              <w:t>no, aký</w:t>
            </w:r>
            <w:r w:rsidRPr="002E32C0">
              <w:rPr>
                <w:rFonts w:hint="default"/>
                <w:b/>
              </w:rPr>
              <w:t xml:space="preserve">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6484" w:rsidP="0005480A">
            <w:pPr>
              <w:bidi w:val="0"/>
              <w:jc w:val="both"/>
            </w:pPr>
          </w:p>
          <w:p w:rsidR="007C4720" w:rsidRPr="002F6484" w:rsidP="0005480A">
            <w:pPr>
              <w:bidi w:val="0"/>
              <w:jc w:val="both"/>
            </w:pPr>
            <w:r w:rsidRPr="002F6484">
              <w:t>Bez vplyvu</w:t>
            </w: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7C4720" w:rsidRPr="002E32C0" w:rsidP="0005480A">
            <w:pPr>
              <w:bidi w:val="0"/>
              <w:rPr>
                <w:rFonts w:hint="default"/>
                <w:b/>
              </w:rPr>
            </w:pPr>
            <w:r w:rsidRPr="002E32C0">
              <w:rPr>
                <w:rFonts w:hint="default"/>
                <w:b/>
              </w:rPr>
              <w:t>5.3 Bude mať</w:t>
            </w:r>
            <w:r w:rsidRPr="002E32C0">
              <w:rPr>
                <w:rFonts w:hint="default"/>
                <w:b/>
              </w:rPr>
              <w:t xml:space="preserve"> predkladaný</w:t>
            </w:r>
            <w:r w:rsidRPr="002E32C0">
              <w:rPr>
                <w:rFonts w:hint="default"/>
                <w:b/>
              </w:rPr>
              <w:t xml:space="preserve"> materiá</w:t>
            </w:r>
            <w:r w:rsidRPr="002E32C0">
              <w:rPr>
                <w:rFonts w:hint="default"/>
                <w:b/>
              </w:rPr>
              <w:t>l vplyvy na ž</w:t>
            </w:r>
            <w:r w:rsidRPr="002E32C0">
              <w:rPr>
                <w:rFonts w:hint="default"/>
                <w:b/>
              </w:rPr>
              <w:t>ivotné</w:t>
            </w:r>
            <w:r w:rsidRPr="002E32C0">
              <w:rPr>
                <w:rFonts w:hint="default"/>
                <w:b/>
              </w:rPr>
              <w:t xml:space="preserve"> prostredie presahujú</w:t>
            </w:r>
            <w:r w:rsidRPr="002E32C0">
              <w:rPr>
                <w:rFonts w:hint="default"/>
                <w:b/>
              </w:rPr>
              <w:t>ce š</w:t>
            </w:r>
            <w:r w:rsidRPr="002E32C0">
              <w:rPr>
                <w:rFonts w:hint="default"/>
                <w:b/>
              </w:rPr>
              <w:t>tá</w:t>
            </w:r>
            <w:r w:rsidRPr="002E32C0">
              <w:rPr>
                <w:rFonts w:hint="default"/>
                <w:b/>
              </w:rPr>
              <w:t>tne hranice? (ktoré</w:t>
            </w:r>
            <w:r w:rsidRPr="002E32C0">
              <w:rPr>
                <w:rFonts w:hint="default"/>
                <w:b/>
              </w:rPr>
              <w:t xml:space="preserve"> zlož</w:t>
            </w:r>
            <w:r w:rsidRPr="002E32C0">
              <w:rPr>
                <w:rFonts w:hint="default"/>
                <w:b/>
              </w:rPr>
              <w:t>ky a ako budú</w:t>
            </w:r>
            <w:r w:rsidRPr="002E32C0">
              <w:rPr>
                <w:rFonts w:hint="default"/>
                <w:b/>
              </w:rPr>
              <w:t xml:space="preserve"> najviac ovplyvnené</w:t>
            </w:r>
            <w:r w:rsidRPr="002E32C0">
              <w:rPr>
                <w:rFonts w:hint="default"/>
                <w:b/>
              </w:rPr>
              <w:t>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6484" w:rsidP="0005480A">
            <w:pPr>
              <w:bidi w:val="0"/>
              <w:jc w:val="both"/>
            </w:pPr>
          </w:p>
          <w:p w:rsidR="007C4720" w:rsidRPr="002F6484" w:rsidP="0005480A">
            <w:pPr>
              <w:bidi w:val="0"/>
              <w:jc w:val="both"/>
              <w:rPr>
                <w:b/>
              </w:rPr>
            </w:pPr>
            <w:r w:rsidRPr="002F6484">
              <w:t>Bez vplyvu</w:t>
            </w: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7C4720" w:rsidRPr="002E32C0" w:rsidP="0005480A">
            <w:pPr>
              <w:bidi w:val="0"/>
              <w:rPr>
                <w:rFonts w:hint="default"/>
                <w:b/>
              </w:rPr>
            </w:pPr>
            <w:r w:rsidRPr="002E32C0">
              <w:rPr>
                <w:rFonts w:hint="default"/>
                <w:b/>
              </w:rPr>
              <w:t>5.4 Aké</w:t>
            </w:r>
            <w:r w:rsidRPr="002E32C0">
              <w:rPr>
                <w:rFonts w:hint="default"/>
                <w:b/>
              </w:rPr>
              <w:t xml:space="preserve"> opatrenia budú</w:t>
            </w:r>
            <w:r w:rsidRPr="002E32C0">
              <w:rPr>
                <w:rFonts w:hint="default"/>
                <w:b/>
              </w:rPr>
              <w:t xml:space="preserve"> prijaté</w:t>
            </w:r>
            <w:r w:rsidRPr="002E32C0">
              <w:rPr>
                <w:rFonts w:hint="default"/>
                <w:b/>
              </w:rPr>
              <w:t xml:space="preserve"> na zmiernenie negatí</w:t>
            </w:r>
            <w:r w:rsidRPr="002E32C0">
              <w:rPr>
                <w:rFonts w:hint="default"/>
                <w:b/>
              </w:rPr>
              <w:t>vneho vplyvu na ž</w:t>
            </w:r>
            <w:r w:rsidRPr="002E32C0">
              <w:rPr>
                <w:rFonts w:hint="default"/>
                <w:b/>
              </w:rPr>
              <w:t>ivotné</w:t>
            </w:r>
            <w:r w:rsidRPr="002E32C0">
              <w:rPr>
                <w:rFonts w:hint="default"/>
                <w:b/>
              </w:rPr>
              <w:t xml:space="preserve">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F6484" w:rsidP="0005480A">
            <w:pPr>
              <w:bidi w:val="0"/>
              <w:jc w:val="both"/>
            </w:pPr>
          </w:p>
          <w:p w:rsidR="007C4720" w:rsidRPr="002F6484" w:rsidP="0005480A">
            <w:pPr>
              <w:bidi w:val="0"/>
              <w:jc w:val="both"/>
              <w:rPr>
                <w:b/>
              </w:rPr>
            </w:pPr>
            <w:r w:rsidRPr="002F6484">
              <w:t>Bez vplyvu</w:t>
            </w:r>
          </w:p>
        </w:tc>
      </w:tr>
    </w:tbl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5D6238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4"/>
        <w:gridCol w:w="4804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23A85" w:rsidRPr="00423A85" w:rsidP="00423A85">
            <w:pPr>
              <w:bidi w:val="0"/>
              <w:ind w:left="-284" w:firstLine="28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3A85">
              <w:rPr>
                <w:rFonts w:eastAsia="Times New Roman"/>
                <w:b/>
                <w:sz w:val="28"/>
                <w:szCs w:val="22"/>
              </w:rPr>
              <w:t>Analýza sociálnych vplyvov</w:t>
            </w: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lang w:eastAsia="en-US"/>
              </w:rPr>
            </w:pPr>
            <w:r w:rsidRPr="00423A85">
              <w:rPr>
                <w:rFonts w:eastAsia="Times New Roman"/>
                <w:b/>
                <w:szCs w:val="22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lang w:eastAsia="en-US"/>
              </w:rPr>
            </w:pPr>
            <w:r w:rsidRPr="00423A85">
              <w:rPr>
                <w:rFonts w:eastAsia="Times New Roman"/>
                <w:b/>
                <w:sz w:val="22"/>
                <w:szCs w:val="22"/>
              </w:rPr>
              <w:t xml:space="preserve">4.1 </w:t>
            </w:r>
            <w:r w:rsidRPr="00423A85">
              <w:rPr>
                <w:rFonts w:eastAsia="Times New Roman"/>
                <w:b/>
                <w:szCs w:val="22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423A85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Vedie návrh k zvýšeniu alebo zníženiu príjmov alebo výdavkov domácností? </w:t>
            </w: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423A85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Ktoré skupiny domácností/obyvateľstva sú takto ovplyvnené a akým spôsobom? </w:t>
            </w: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lang w:eastAsia="en-US"/>
              </w:rPr>
            </w:pPr>
            <w:r w:rsidRPr="00423A85">
              <w:rPr>
                <w:rFonts w:eastAsia="Times New Roman"/>
                <w:i/>
                <w:sz w:val="20"/>
                <w:szCs w:val="20"/>
                <w:lang w:eastAsia="en-US"/>
              </w:rPr>
              <w:t>Sú medzi potenciálne ovplyvnenými skupinami skupiny v riziku chudoby alebo sociálneho vylúčenia?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 xml:space="preserve">Popíšte </w:t>
            </w: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>pozitívny</w:t>
            </w:r>
            <w:r w:rsidRPr="00423A85">
              <w:rPr>
                <w:rFonts w:eastAsia="Times New Roman"/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 xml:space="preserve">Špecifikujte </w:t>
            </w: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>pozitívne</w:t>
            </w:r>
            <w:r w:rsidRPr="00423A85">
              <w:rPr>
                <w:rFonts w:eastAsia="Times New Roman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 xml:space="preserve">Popíšte </w:t>
            </w: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 xml:space="preserve">negatívny </w:t>
            </w:r>
            <w:r w:rsidRPr="00423A85">
              <w:rPr>
                <w:rFonts w:eastAsia="Times New Roman"/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 xml:space="preserve">Špecifikujte </w:t>
            </w: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>negatívne</w:t>
            </w:r>
            <w:r w:rsidRPr="00423A85">
              <w:rPr>
                <w:rFonts w:eastAsia="Times New Roman"/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 xml:space="preserve">Špecifikujte ovplyvnené skupiny </w:t>
            </w: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>v riziku chudoby alebo sociálneho vylúčenia</w:t>
            </w:r>
            <w:r w:rsidRPr="00423A85">
              <w:rPr>
                <w:rFonts w:eastAsia="Times New Roman"/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4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V prípade vyššieho počtu ovplyvnených skupín doplňte do tabuľky ďalšie riadky.</w:t>
            </w:r>
          </w:p>
          <w:p w:rsidR="00423A85" w:rsidRPr="00423A85" w:rsidP="00423A85">
            <w:pPr>
              <w:bidi w:val="0"/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V prípade, ak neuvádzate kvantifikáciu, uveďte dôvod.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49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 xml:space="preserve">Ovplyvnená skupina č. 1: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ascii="Calibri" w:hAnsi="Calibri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ascii="Calibri" w:hAnsi="Calibri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4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 xml:space="preserve">Ovplyvnená skupina č. 2: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ascii="Calibri" w:hAnsi="Calibri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ascii="Calibri" w:hAnsi="Calibri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4998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 xml:space="preserve">Ovplyvnená skupina č. 3: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Negatívny vplyv - priemerný pokles príjmov/ rast výdavkov v skupine v eurách a/alebo v % / obdobie: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4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>Ovplyvnená skupina č. 4: domácnosti v systéme pomoci v hmotnej núdzi, v ktorej sa  aspoň jednému členovi poskytuje osobitný príspevok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Pozitívny vplyv - priemerný rast príjmov/pokles výdavkov v skupine v eurách a/alebo v % / obdobie: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Negatívny vplyv - priemerný pokles príjmov/ rast výdavkov v skupine v eurách a/alebo v % / obdobie: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eastAsia="Times New Roman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499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4998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 w:rsidRPr="00423A85">
              <w:rPr>
                <w:rFonts w:eastAsia="Times New Roman"/>
                <w:b/>
                <w:i/>
                <w:sz w:val="20"/>
                <w:szCs w:val="20"/>
              </w:rPr>
              <w:t>Ovplyvnené skupiny č. 5 a 6: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rPr>
                <w:rFonts w:ascii="Calibri" w:hAnsi="Calibri"/>
                <w:i/>
                <w:sz w:val="20"/>
                <w:szCs w:val="20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Dôvod chýbajúcej kvantifikácie: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423A85">
              <w:rPr>
                <w:rFonts w:eastAsia="Times New Roman"/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23A85" w:rsidP="00423A85">
            <w:pPr>
              <w:bidi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30"/>
        <w:gridCol w:w="5778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23A85" w:rsidRPr="00DE5002" w:rsidP="0005480A">
            <w:pPr>
              <w:bidi w:val="0"/>
              <w:jc w:val="both"/>
              <w:rPr>
                <w:sz w:val="20"/>
              </w:rPr>
            </w:pPr>
            <w:r>
              <w:rPr>
                <w:rFonts w:hint="default"/>
                <w:b/>
              </w:rPr>
              <w:t>4.2 Identifikujte, popíš</w:t>
            </w:r>
            <w:r>
              <w:rPr>
                <w:rFonts w:hint="default"/>
                <w:b/>
              </w:rPr>
              <w:t>te a kvantifikujte vplyvy na prí</w:t>
            </w:r>
            <w:r>
              <w:rPr>
                <w:rFonts w:hint="default"/>
                <w:b/>
              </w:rPr>
              <w:t>stup k zdrojom, prá</w:t>
            </w:r>
            <w:r>
              <w:rPr>
                <w:rFonts w:hint="default"/>
                <w:b/>
              </w:rPr>
              <w:t>vam, tovarom a služ</w:t>
            </w:r>
            <w:r>
              <w:rPr>
                <w:rFonts w:hint="default"/>
                <w:b/>
              </w:rPr>
              <w:t>bá</w:t>
            </w:r>
            <w:r>
              <w:rPr>
                <w:rFonts w:hint="default"/>
                <w:b/>
              </w:rPr>
              <w:t>m u </w:t>
            </w:r>
            <w:r>
              <w:rPr>
                <w:rFonts w:hint="default"/>
                <w:b/>
              </w:rPr>
              <w:t>jednotlivý</w:t>
            </w:r>
            <w:r>
              <w:rPr>
                <w:rFonts w:hint="default"/>
                <w:b/>
              </w:rPr>
              <w:t>ch ovplyvnený</w:t>
            </w:r>
            <w:r>
              <w:rPr>
                <w:rFonts w:hint="default"/>
                <w:b/>
              </w:rPr>
              <w:t>ch skupí</w:t>
            </w:r>
            <w:r>
              <w:rPr>
                <w:rFonts w:hint="default"/>
                <w:b/>
              </w:rPr>
              <w:t>n obyvateľ</w:t>
            </w:r>
            <w:r>
              <w:rPr>
                <w:rFonts w:hint="default"/>
                <w:b/>
              </w:rPr>
              <w:t>stva a </w:t>
            </w:r>
            <w:r>
              <w:rPr>
                <w:rFonts w:hint="default"/>
                <w:b/>
              </w:rPr>
              <w:t>vplyv na sociá</w:t>
            </w:r>
            <w:r>
              <w:rPr>
                <w:rFonts w:hint="default"/>
                <w:b/>
              </w:rPr>
              <w:t>lnu inklú</w:t>
            </w:r>
            <w:r>
              <w:rPr>
                <w:rFonts w:hint="default"/>
                <w:b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P="0005480A">
            <w:pPr>
              <w:bidi w:val="0"/>
              <w:jc w:val="both"/>
              <w:rPr>
                <w:rFonts w:hint="default"/>
                <w:i/>
                <w:sz w:val="20"/>
              </w:rPr>
            </w:pPr>
            <w:r>
              <w:rPr>
                <w:rFonts w:hint="default"/>
                <w:i/>
                <w:sz w:val="20"/>
              </w:rPr>
              <w:t>Má</w:t>
            </w:r>
            <w:r>
              <w:rPr>
                <w:rFonts w:hint="default"/>
                <w:i/>
                <w:sz w:val="20"/>
              </w:rPr>
              <w:t xml:space="preserve"> ná</w:t>
            </w:r>
            <w:r>
              <w:rPr>
                <w:rFonts w:hint="default"/>
                <w:i/>
                <w:sz w:val="20"/>
              </w:rPr>
              <w:t>vrh vplyv na prí</w:t>
            </w:r>
            <w:r>
              <w:rPr>
                <w:rFonts w:hint="default"/>
                <w:i/>
                <w:sz w:val="20"/>
              </w:rPr>
              <w:t>stup k </w:t>
            </w:r>
            <w:r>
              <w:rPr>
                <w:rFonts w:hint="default"/>
                <w:i/>
                <w:sz w:val="20"/>
              </w:rPr>
              <w:t>zdrojom, prá</w:t>
            </w:r>
            <w:r>
              <w:rPr>
                <w:rFonts w:hint="default"/>
                <w:i/>
                <w:sz w:val="20"/>
              </w:rPr>
              <w:t>vam, tovarom a </w:t>
            </w:r>
            <w:r>
              <w:rPr>
                <w:rFonts w:hint="default"/>
                <w:i/>
                <w:sz w:val="20"/>
              </w:rPr>
              <w:t>služ</w:t>
            </w:r>
            <w:r>
              <w:rPr>
                <w:rFonts w:hint="default"/>
                <w:i/>
                <w:sz w:val="20"/>
              </w:rPr>
              <w:t>bá</w:t>
            </w:r>
            <w:r>
              <w:rPr>
                <w:rFonts w:hint="default"/>
                <w:i/>
                <w:sz w:val="20"/>
              </w:rPr>
              <w:t xml:space="preserve">m? </w:t>
            </w:r>
          </w:p>
          <w:p w:rsidR="00423A85" w:rsidRPr="008375B9" w:rsidP="0005480A">
            <w:pPr>
              <w:bidi w:val="0"/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i/>
                <w:sz w:val="20"/>
              </w:rPr>
              <w:t>Š</w:t>
            </w:r>
            <w:r>
              <w:rPr>
                <w:rFonts w:hint="default"/>
                <w:i/>
                <w:sz w:val="20"/>
              </w:rPr>
              <w:t>pecifikujete ovplyvnené</w:t>
            </w:r>
            <w:r>
              <w:rPr>
                <w:rFonts w:hint="default"/>
                <w:i/>
                <w:sz w:val="20"/>
              </w:rPr>
              <w:t xml:space="preserve"> skupiny obyvateľ</w:t>
            </w:r>
            <w:r>
              <w:rPr>
                <w:rFonts w:hint="default"/>
                <w:i/>
                <w:sz w:val="20"/>
              </w:rPr>
              <w:t>stva a charakter zmeny v </w:t>
            </w:r>
            <w:r>
              <w:rPr>
                <w:rFonts w:hint="default"/>
                <w:i/>
                <w:sz w:val="20"/>
              </w:rPr>
              <w:t>prí</w:t>
            </w:r>
            <w:r>
              <w:rPr>
                <w:rFonts w:hint="default"/>
                <w:i/>
                <w:sz w:val="20"/>
              </w:rPr>
              <w:t>stupnosti s ohľ</w:t>
            </w:r>
            <w:r>
              <w:rPr>
                <w:rFonts w:hint="default"/>
                <w:i/>
                <w:sz w:val="20"/>
              </w:rPr>
              <w:t>adom na dostupnosť</w:t>
            </w:r>
            <w:r>
              <w:rPr>
                <w:rFonts w:hint="default"/>
                <w:i/>
                <w:sz w:val="20"/>
              </w:rPr>
              <w:t xml:space="preserve"> finanč</w:t>
            </w:r>
            <w:r>
              <w:rPr>
                <w:rFonts w:hint="default"/>
                <w:i/>
                <w:sz w:val="20"/>
              </w:rPr>
              <w:t>nú</w:t>
            </w:r>
            <w:r>
              <w:rPr>
                <w:rFonts w:hint="default"/>
                <w:i/>
                <w:sz w:val="20"/>
              </w:rPr>
              <w:t>, geografickú</w:t>
            </w:r>
            <w:r>
              <w:rPr>
                <w:rFonts w:hint="default"/>
                <w:i/>
                <w:sz w:val="20"/>
              </w:rPr>
              <w:t>, kvalitu, organizovanie a pod. Uveď</w:t>
            </w:r>
            <w:r>
              <w:rPr>
                <w:rFonts w:hint="default"/>
                <w:i/>
                <w:sz w:val="20"/>
              </w:rPr>
              <w:t>te veľ</w:t>
            </w:r>
            <w:r>
              <w:rPr>
                <w:rFonts w:hint="default"/>
                <w:i/>
                <w:sz w:val="20"/>
              </w:rPr>
              <w:t>kosť</w:t>
            </w:r>
            <w:r>
              <w:rPr>
                <w:rFonts w:hint="default"/>
                <w:i/>
                <w:sz w:val="20"/>
              </w:rPr>
              <w:t xml:space="preserve"> jednotlivý</w:t>
            </w:r>
            <w:r>
              <w:rPr>
                <w:rFonts w:hint="default"/>
                <w:i/>
                <w:sz w:val="20"/>
              </w:rPr>
              <w:t>ch ovplyvnený</w:t>
            </w:r>
            <w:r>
              <w:rPr>
                <w:rFonts w:hint="default"/>
                <w:i/>
                <w:sz w:val="20"/>
              </w:rPr>
              <w:t>ch skupí</w:t>
            </w:r>
            <w:r>
              <w:rPr>
                <w:rFonts w:hint="default"/>
                <w:i/>
                <w:sz w:val="20"/>
              </w:rPr>
              <w:t>n.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8375B9" w:rsidP="0005480A">
            <w:p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Rozumie sa najmä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na prí</w:t>
            </w:r>
            <w:r w:rsidRPr="008375B9">
              <w:rPr>
                <w:rFonts w:hint="default"/>
                <w:i/>
                <w:sz w:val="18"/>
                <w:szCs w:val="18"/>
              </w:rPr>
              <w:t>st</w:t>
            </w:r>
            <w:r w:rsidRPr="008375B9">
              <w:rPr>
                <w:rFonts w:hint="default"/>
                <w:i/>
                <w:sz w:val="18"/>
                <w:szCs w:val="18"/>
              </w:rPr>
              <w:t>up k: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sociá</w:t>
            </w:r>
            <w:r w:rsidRPr="008375B9">
              <w:rPr>
                <w:rFonts w:hint="default"/>
                <w:i/>
                <w:sz w:val="18"/>
                <w:szCs w:val="18"/>
              </w:rPr>
              <w:t>lnej ochrane, sociá</w:t>
            </w:r>
            <w:r w:rsidRPr="008375B9">
              <w:rPr>
                <w:rFonts w:hint="default"/>
                <w:i/>
                <w:sz w:val="18"/>
                <w:szCs w:val="18"/>
              </w:rPr>
              <w:t>lno-prá</w:t>
            </w:r>
            <w:r w:rsidRPr="008375B9">
              <w:rPr>
                <w:rFonts w:hint="default"/>
                <w:i/>
                <w:sz w:val="18"/>
                <w:szCs w:val="18"/>
              </w:rPr>
              <w:t>vnej ochrane, sociá</w:t>
            </w:r>
            <w:r w:rsidRPr="008375B9">
              <w:rPr>
                <w:rFonts w:hint="default"/>
                <w:i/>
                <w:sz w:val="18"/>
                <w:szCs w:val="18"/>
              </w:rPr>
              <w:t>lnym služ</w:t>
            </w:r>
            <w:r w:rsidRPr="008375B9">
              <w:rPr>
                <w:rFonts w:hint="default"/>
                <w:i/>
                <w:sz w:val="18"/>
                <w:szCs w:val="18"/>
              </w:rPr>
              <w:t>bá</w:t>
            </w:r>
            <w:r w:rsidRPr="008375B9">
              <w:rPr>
                <w:rFonts w:hint="default"/>
                <w:i/>
                <w:sz w:val="18"/>
                <w:szCs w:val="18"/>
              </w:rPr>
              <w:t>m (vrá</w:t>
            </w:r>
            <w:r w:rsidRPr="008375B9">
              <w:rPr>
                <w:rFonts w:hint="default"/>
                <w:i/>
                <w:sz w:val="18"/>
                <w:szCs w:val="18"/>
              </w:rPr>
              <w:t>tane služ</w:t>
            </w:r>
            <w:r w:rsidRPr="008375B9">
              <w:rPr>
                <w:rFonts w:hint="default"/>
                <w:i/>
                <w:sz w:val="18"/>
                <w:szCs w:val="18"/>
              </w:rPr>
              <w:t>ieb starostlivosti o </w:t>
            </w:r>
            <w:r w:rsidRPr="008375B9">
              <w:rPr>
                <w:rFonts w:hint="default"/>
                <w:i/>
                <w:sz w:val="18"/>
                <w:szCs w:val="18"/>
              </w:rPr>
              <w:t>deti, starší</w:t>
            </w:r>
            <w:r w:rsidRPr="008375B9">
              <w:rPr>
                <w:rFonts w:hint="default"/>
                <w:i/>
                <w:sz w:val="18"/>
                <w:szCs w:val="18"/>
              </w:rPr>
              <w:t>ch ľ</w:t>
            </w:r>
            <w:r w:rsidRPr="008375B9">
              <w:rPr>
                <w:rFonts w:hint="default"/>
                <w:i/>
                <w:sz w:val="18"/>
                <w:szCs w:val="18"/>
              </w:rPr>
              <w:t>udí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a </w:t>
            </w:r>
            <w:r w:rsidRPr="008375B9">
              <w:rPr>
                <w:rFonts w:hint="default"/>
                <w:i/>
                <w:sz w:val="18"/>
                <w:szCs w:val="18"/>
              </w:rPr>
              <w:t>ľ</w:t>
            </w:r>
            <w:r w:rsidRPr="008375B9">
              <w:rPr>
                <w:rFonts w:hint="default"/>
                <w:i/>
                <w:sz w:val="18"/>
                <w:szCs w:val="18"/>
              </w:rPr>
              <w:t>udí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so zdravotný</w:t>
            </w:r>
            <w:r w:rsidRPr="008375B9">
              <w:rPr>
                <w:rFonts w:hint="default"/>
                <w:i/>
                <w:sz w:val="18"/>
                <w:szCs w:val="18"/>
              </w:rPr>
              <w:t>m postihnutí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m), </w:t>
            </w:r>
          </w:p>
          <w:p w:rsidR="00423A85" w:rsidRPr="00770DD8" w:rsidP="00423A85">
            <w:pPr>
              <w:numPr>
                <w:numId w:val="6"/>
              </w:numPr>
              <w:bidi w:val="0"/>
              <w:jc w:val="both"/>
              <w:rPr>
                <w:i/>
                <w:sz w:val="18"/>
                <w:szCs w:val="18"/>
                <w:u w:val="single"/>
              </w:rPr>
            </w:pP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kvalitnej prá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ci, ochrane zdravia, dô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stojnosti a 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bezpeč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nosti pri prá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ci pre zamestnancov a 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existujú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cim zamestnanecký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m prá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vam</w:t>
            </w:r>
            <w:r w:rsidRPr="00770DD8">
              <w:rPr>
                <w:i/>
                <w:sz w:val="18"/>
                <w:szCs w:val="18"/>
                <w:u w:val="single"/>
              </w:rPr>
              <w:t>,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pomoci pri ú</w:t>
            </w:r>
            <w:r w:rsidRPr="008375B9">
              <w:rPr>
                <w:rFonts w:hint="default"/>
                <w:i/>
                <w:sz w:val="18"/>
                <w:szCs w:val="18"/>
              </w:rPr>
              <w:t>hrade vý</w:t>
            </w:r>
            <w:r w:rsidRPr="008375B9">
              <w:rPr>
                <w:rFonts w:hint="default"/>
                <w:i/>
                <w:sz w:val="18"/>
                <w:szCs w:val="18"/>
              </w:rPr>
              <w:t>davkov sú</w:t>
            </w:r>
            <w:r w:rsidRPr="008375B9">
              <w:rPr>
                <w:rFonts w:hint="default"/>
                <w:i/>
                <w:sz w:val="18"/>
                <w:szCs w:val="18"/>
              </w:rPr>
              <w:t>visiacich so </w:t>
            </w:r>
            <w:r w:rsidRPr="008375B9">
              <w:rPr>
                <w:rFonts w:hint="default"/>
                <w:i/>
                <w:sz w:val="18"/>
                <w:szCs w:val="18"/>
              </w:rPr>
              <w:t>zdravotný</w:t>
            </w:r>
            <w:r w:rsidRPr="008375B9">
              <w:rPr>
                <w:rFonts w:hint="default"/>
                <w:i/>
                <w:sz w:val="18"/>
                <w:szCs w:val="18"/>
              </w:rPr>
              <w:t>m postihnutí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m, 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zamestnaniu, na trh prá</w:t>
            </w:r>
            <w:r w:rsidRPr="008375B9">
              <w:rPr>
                <w:rFonts w:hint="default"/>
                <w:i/>
                <w:sz w:val="18"/>
                <w:szCs w:val="18"/>
              </w:rPr>
              <w:t>ce (napr. uľ</w:t>
            </w:r>
            <w:r w:rsidRPr="008375B9">
              <w:rPr>
                <w:rFonts w:hint="default"/>
                <w:i/>
                <w:sz w:val="18"/>
                <w:szCs w:val="18"/>
              </w:rPr>
              <w:t>ahč</w:t>
            </w:r>
            <w:r w:rsidRPr="008375B9">
              <w:rPr>
                <w:rFonts w:hint="default"/>
                <w:i/>
                <w:sz w:val="18"/>
                <w:szCs w:val="18"/>
              </w:rPr>
              <w:t>enie zosú</w:t>
            </w:r>
            <w:r w:rsidRPr="008375B9">
              <w:rPr>
                <w:rFonts w:hint="default"/>
                <w:i/>
                <w:sz w:val="18"/>
                <w:szCs w:val="18"/>
              </w:rPr>
              <w:t>ladenia rodinný</w:t>
            </w:r>
            <w:r w:rsidRPr="008375B9">
              <w:rPr>
                <w:rFonts w:hint="default"/>
                <w:i/>
                <w:sz w:val="18"/>
                <w:szCs w:val="18"/>
              </w:rPr>
              <w:t>ch a </w:t>
            </w:r>
            <w:r w:rsidRPr="008375B9">
              <w:rPr>
                <w:rFonts w:hint="default"/>
                <w:i/>
                <w:sz w:val="18"/>
                <w:szCs w:val="18"/>
              </w:rPr>
              <w:t>pracovný</w:t>
            </w:r>
            <w:r w:rsidRPr="008375B9">
              <w:rPr>
                <w:rFonts w:hint="default"/>
                <w:i/>
                <w:sz w:val="18"/>
                <w:szCs w:val="18"/>
              </w:rPr>
              <w:t>ch povinností</w:t>
            </w:r>
            <w:r w:rsidRPr="008375B9">
              <w:rPr>
                <w:rFonts w:hint="default"/>
                <w:i/>
                <w:sz w:val="18"/>
                <w:szCs w:val="18"/>
              </w:rPr>
              <w:t>, služ</w:t>
            </w:r>
            <w:r w:rsidRPr="008375B9">
              <w:rPr>
                <w:rFonts w:hint="default"/>
                <w:i/>
                <w:sz w:val="18"/>
                <w:szCs w:val="18"/>
              </w:rPr>
              <w:t>by zamestnanosti), k </w:t>
            </w:r>
            <w:r w:rsidRPr="008375B9">
              <w:rPr>
                <w:rFonts w:hint="default"/>
                <w:i/>
                <w:sz w:val="18"/>
                <w:szCs w:val="18"/>
              </w:rPr>
              <w:t>š</w:t>
            </w:r>
            <w:r w:rsidRPr="008375B9">
              <w:rPr>
                <w:rFonts w:hint="default"/>
                <w:i/>
                <w:sz w:val="18"/>
                <w:szCs w:val="18"/>
              </w:rPr>
              <w:t>koleniam, odborné</w:t>
            </w:r>
            <w:r w:rsidRPr="008375B9">
              <w:rPr>
                <w:rFonts w:hint="default"/>
                <w:i/>
                <w:sz w:val="18"/>
                <w:szCs w:val="18"/>
              </w:rPr>
              <w:t>mu vzdelá</w:t>
            </w:r>
            <w:r w:rsidRPr="008375B9">
              <w:rPr>
                <w:rFonts w:hint="default"/>
                <w:i/>
                <w:sz w:val="18"/>
                <w:szCs w:val="18"/>
              </w:rPr>
              <w:t>vaniu a prí</w:t>
            </w:r>
            <w:r w:rsidRPr="008375B9">
              <w:rPr>
                <w:rFonts w:hint="default"/>
                <w:i/>
                <w:sz w:val="18"/>
                <w:szCs w:val="18"/>
              </w:rPr>
              <w:t>prave na trh prá</w:t>
            </w:r>
            <w:r w:rsidRPr="008375B9">
              <w:rPr>
                <w:rFonts w:hint="default"/>
                <w:i/>
                <w:sz w:val="18"/>
                <w:szCs w:val="18"/>
              </w:rPr>
              <w:t>ce,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zdravotnej starostlivosti vrá</w:t>
            </w:r>
            <w:r w:rsidRPr="008375B9">
              <w:rPr>
                <w:rFonts w:hint="default"/>
                <w:i/>
                <w:sz w:val="18"/>
                <w:szCs w:val="18"/>
              </w:rPr>
              <w:t>tane cenovo dostupný</w:t>
            </w:r>
            <w:r w:rsidRPr="008375B9">
              <w:rPr>
                <w:rFonts w:hint="default"/>
                <w:i/>
                <w:sz w:val="18"/>
                <w:szCs w:val="18"/>
              </w:rPr>
              <w:t>ch pomô</w:t>
            </w:r>
            <w:r w:rsidRPr="008375B9">
              <w:rPr>
                <w:rFonts w:hint="default"/>
                <w:i/>
                <w:sz w:val="18"/>
                <w:szCs w:val="18"/>
              </w:rPr>
              <w:t>cok pre obč</w:t>
            </w:r>
            <w:r w:rsidRPr="008375B9">
              <w:rPr>
                <w:rFonts w:hint="default"/>
                <w:i/>
                <w:sz w:val="18"/>
                <w:szCs w:val="18"/>
              </w:rPr>
              <w:t>anov so zdravotný</w:t>
            </w:r>
            <w:r w:rsidRPr="008375B9">
              <w:rPr>
                <w:rFonts w:hint="default"/>
                <w:i/>
                <w:sz w:val="18"/>
                <w:szCs w:val="18"/>
              </w:rPr>
              <w:t>m postihnutí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m, 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k </w:t>
            </w:r>
            <w:r w:rsidRPr="008375B9">
              <w:rPr>
                <w:rFonts w:hint="default"/>
                <w:i/>
                <w:sz w:val="18"/>
                <w:szCs w:val="18"/>
              </w:rPr>
              <w:t>formá</w:t>
            </w:r>
            <w:r w:rsidRPr="008375B9">
              <w:rPr>
                <w:rFonts w:hint="default"/>
                <w:i/>
                <w:sz w:val="18"/>
                <w:szCs w:val="18"/>
              </w:rPr>
              <w:t>lnemu i </w:t>
            </w:r>
            <w:r w:rsidRPr="008375B9">
              <w:rPr>
                <w:rFonts w:hint="default"/>
                <w:i/>
                <w:sz w:val="18"/>
                <w:szCs w:val="18"/>
              </w:rPr>
              <w:t>neformá</w:t>
            </w:r>
            <w:r w:rsidRPr="008375B9">
              <w:rPr>
                <w:rFonts w:hint="default"/>
                <w:i/>
                <w:sz w:val="18"/>
                <w:szCs w:val="18"/>
              </w:rPr>
              <w:t>lnemu vzdelá</w:t>
            </w:r>
            <w:r w:rsidRPr="008375B9">
              <w:rPr>
                <w:rFonts w:hint="default"/>
                <w:i/>
                <w:sz w:val="18"/>
                <w:szCs w:val="18"/>
              </w:rPr>
              <w:t>vaniu a celo</w:t>
            </w:r>
            <w:r w:rsidRPr="008375B9">
              <w:rPr>
                <w:rFonts w:hint="default"/>
                <w:i/>
                <w:sz w:val="18"/>
                <w:szCs w:val="18"/>
              </w:rPr>
              <w:softHyphen/>
            </w:r>
            <w:r w:rsidRPr="008375B9">
              <w:rPr>
                <w:rFonts w:hint="default"/>
                <w:i/>
                <w:sz w:val="18"/>
                <w:szCs w:val="18"/>
              </w:rPr>
              <w:t>ž</w:t>
            </w:r>
            <w:r w:rsidRPr="008375B9">
              <w:rPr>
                <w:rFonts w:hint="default"/>
                <w:i/>
                <w:sz w:val="18"/>
                <w:szCs w:val="18"/>
              </w:rPr>
              <w:t>ivotné</w:t>
            </w:r>
            <w:r w:rsidRPr="008375B9">
              <w:rPr>
                <w:rFonts w:hint="default"/>
                <w:i/>
                <w:sz w:val="18"/>
                <w:szCs w:val="18"/>
              </w:rPr>
              <w:t>mu vzdelá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vaniu, 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bý</w:t>
            </w:r>
            <w:r w:rsidRPr="008375B9">
              <w:rPr>
                <w:rFonts w:hint="default"/>
                <w:i/>
                <w:sz w:val="18"/>
                <w:szCs w:val="18"/>
              </w:rPr>
              <w:t>vaniu a </w:t>
            </w:r>
            <w:r w:rsidRPr="008375B9">
              <w:rPr>
                <w:rFonts w:hint="default"/>
                <w:i/>
                <w:sz w:val="18"/>
                <w:szCs w:val="18"/>
              </w:rPr>
              <w:t>sú</w:t>
            </w:r>
            <w:r w:rsidRPr="008375B9">
              <w:rPr>
                <w:rFonts w:hint="default"/>
                <w:i/>
                <w:sz w:val="18"/>
                <w:szCs w:val="18"/>
              </w:rPr>
              <w:t>visiacim zá</w:t>
            </w:r>
            <w:r w:rsidRPr="008375B9">
              <w:rPr>
                <w:rFonts w:hint="default"/>
                <w:i/>
                <w:sz w:val="18"/>
                <w:szCs w:val="18"/>
              </w:rPr>
              <w:t>kladný</w:t>
            </w:r>
            <w:r w:rsidRPr="008375B9">
              <w:rPr>
                <w:rFonts w:hint="default"/>
                <w:i/>
                <w:sz w:val="18"/>
                <w:szCs w:val="18"/>
              </w:rPr>
              <w:t>m komuná</w:t>
            </w:r>
            <w:r w:rsidRPr="008375B9">
              <w:rPr>
                <w:rFonts w:hint="default"/>
                <w:i/>
                <w:sz w:val="18"/>
                <w:szCs w:val="18"/>
              </w:rPr>
              <w:t>lnym služ</w:t>
            </w:r>
            <w:r w:rsidRPr="008375B9">
              <w:rPr>
                <w:rFonts w:hint="default"/>
                <w:i/>
                <w:sz w:val="18"/>
                <w:szCs w:val="18"/>
              </w:rPr>
              <w:t>bá</w:t>
            </w:r>
            <w:r w:rsidRPr="008375B9">
              <w:rPr>
                <w:rFonts w:hint="default"/>
                <w:i/>
                <w:sz w:val="18"/>
                <w:szCs w:val="18"/>
              </w:rPr>
              <w:t>m,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doprave,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ď</w:t>
            </w:r>
            <w:r w:rsidRPr="008375B9">
              <w:rPr>
                <w:rFonts w:hint="default"/>
                <w:i/>
                <w:sz w:val="18"/>
                <w:szCs w:val="18"/>
              </w:rPr>
              <w:t>alší</w:t>
            </w:r>
            <w:r w:rsidRPr="008375B9">
              <w:rPr>
                <w:rFonts w:hint="default"/>
                <w:i/>
                <w:sz w:val="18"/>
                <w:szCs w:val="18"/>
              </w:rPr>
              <w:t>m služ</w:t>
            </w:r>
            <w:r w:rsidRPr="008375B9">
              <w:rPr>
                <w:rFonts w:hint="default"/>
                <w:i/>
                <w:sz w:val="18"/>
                <w:szCs w:val="18"/>
              </w:rPr>
              <w:t>bá</w:t>
            </w:r>
            <w:r w:rsidRPr="008375B9">
              <w:rPr>
                <w:rFonts w:hint="default"/>
                <w:i/>
                <w:sz w:val="18"/>
                <w:szCs w:val="18"/>
              </w:rPr>
              <w:t>m najmä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služ</w:t>
            </w:r>
            <w:r w:rsidRPr="008375B9">
              <w:rPr>
                <w:rFonts w:hint="default"/>
                <w:i/>
                <w:sz w:val="18"/>
                <w:szCs w:val="18"/>
              </w:rPr>
              <w:t>bá</w:t>
            </w:r>
            <w:r w:rsidRPr="008375B9">
              <w:rPr>
                <w:rFonts w:hint="default"/>
                <w:i/>
                <w:sz w:val="18"/>
                <w:szCs w:val="18"/>
              </w:rPr>
              <w:t>m vš</w:t>
            </w:r>
            <w:r w:rsidRPr="008375B9">
              <w:rPr>
                <w:rFonts w:hint="default"/>
                <w:i/>
                <w:sz w:val="18"/>
                <w:szCs w:val="18"/>
              </w:rPr>
              <w:t>eobecné</w:t>
            </w:r>
            <w:r w:rsidRPr="008375B9">
              <w:rPr>
                <w:rFonts w:hint="default"/>
                <w:i/>
                <w:sz w:val="18"/>
                <w:szCs w:val="18"/>
              </w:rPr>
              <w:t>ho zá</w:t>
            </w:r>
            <w:r w:rsidRPr="008375B9">
              <w:rPr>
                <w:rFonts w:hint="default"/>
                <w:i/>
                <w:sz w:val="18"/>
                <w:szCs w:val="18"/>
              </w:rPr>
              <w:t>ujmu a tovarom,</w:t>
            </w:r>
          </w:p>
          <w:p w:rsidR="00423A85" w:rsidRPr="008375B9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spravodlivosti, prá</w:t>
            </w:r>
            <w:r w:rsidRPr="008375B9">
              <w:rPr>
                <w:rFonts w:hint="default"/>
                <w:i/>
                <w:sz w:val="18"/>
                <w:szCs w:val="18"/>
              </w:rPr>
              <w:t>vnej ochrane, prá</w:t>
            </w:r>
            <w:r w:rsidRPr="008375B9">
              <w:rPr>
                <w:rFonts w:hint="default"/>
                <w:i/>
                <w:sz w:val="18"/>
                <w:szCs w:val="18"/>
              </w:rPr>
              <w:t>vnym služ</w:t>
            </w:r>
            <w:r w:rsidRPr="008375B9">
              <w:rPr>
                <w:rFonts w:hint="default"/>
                <w:i/>
                <w:sz w:val="18"/>
                <w:szCs w:val="18"/>
              </w:rPr>
              <w:t>bá</w:t>
            </w:r>
            <w:r w:rsidRPr="008375B9">
              <w:rPr>
                <w:rFonts w:hint="default"/>
                <w:i/>
                <w:sz w:val="18"/>
                <w:szCs w:val="18"/>
              </w:rPr>
              <w:t>m,</w:t>
            </w:r>
          </w:p>
          <w:p w:rsidR="00423A85" w:rsidRPr="00770DD8" w:rsidP="00423A85">
            <w:pPr>
              <w:numPr>
                <w:numId w:val="6"/>
              </w:numPr>
              <w:bidi w:val="0"/>
              <w:jc w:val="both"/>
              <w:rPr>
                <w:rFonts w:hint="default"/>
                <w:b/>
                <w:i/>
                <w:sz w:val="18"/>
                <w:szCs w:val="18"/>
                <w:u w:val="single"/>
              </w:rPr>
            </w:pP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informá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ciá</w:t>
            </w:r>
            <w:r w:rsidRPr="00770DD8">
              <w:rPr>
                <w:rFonts w:hint="default"/>
                <w:b/>
                <w:i/>
                <w:sz w:val="18"/>
                <w:szCs w:val="18"/>
                <w:u w:val="single"/>
              </w:rPr>
              <w:t>m</w:t>
            </w:r>
          </w:p>
          <w:p w:rsidR="00423A85" w:rsidRPr="00093780" w:rsidP="00423A85">
            <w:pPr>
              <w:numPr>
                <w:numId w:val="6"/>
              </w:numPr>
              <w:bidi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8375B9">
              <w:rPr>
                <w:i/>
                <w:sz w:val="18"/>
                <w:szCs w:val="18"/>
              </w:rPr>
              <w:t>k </w:t>
            </w:r>
            <w:r w:rsidRPr="008375B9">
              <w:rPr>
                <w:rFonts w:hint="default"/>
                <w:i/>
                <w:sz w:val="18"/>
                <w:szCs w:val="18"/>
              </w:rPr>
              <w:t>iný</w:t>
            </w:r>
            <w:r w:rsidRPr="008375B9">
              <w:rPr>
                <w:rFonts w:hint="default"/>
                <w:i/>
                <w:sz w:val="18"/>
                <w:szCs w:val="18"/>
              </w:rPr>
              <w:t>m prá</w:t>
            </w:r>
            <w:r w:rsidRPr="008375B9">
              <w:rPr>
                <w:rFonts w:hint="default"/>
                <w:i/>
                <w:sz w:val="18"/>
                <w:szCs w:val="18"/>
              </w:rPr>
              <w:t>vam (napr. politický</w:t>
            </w:r>
            <w:r w:rsidRPr="008375B9">
              <w:rPr>
                <w:rFonts w:hint="default"/>
                <w:i/>
                <w:sz w:val="18"/>
                <w:szCs w:val="18"/>
              </w:rPr>
              <w:t>m</w:t>
            </w:r>
            <w:r w:rsidRPr="00093780">
              <w:rPr>
                <w:i/>
                <w:sz w:val="18"/>
                <w:szCs w:val="18"/>
              </w:rPr>
              <w:t>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4823" w:rsidRPr="00770DD8" w:rsidP="0005480A">
            <w:pPr>
              <w:bidi w:val="0"/>
              <w:contextualSpacing/>
              <w:jc w:val="both"/>
            </w:pPr>
            <w:r w:rsidRPr="00770DD8" w:rsidR="00E62488">
              <w:rPr>
                <w:rFonts w:hint="default"/>
              </w:rPr>
              <w:t>Predkladaný</w:t>
            </w:r>
            <w:r w:rsidRPr="00770DD8" w:rsidR="00E62488">
              <w:rPr>
                <w:rFonts w:hint="default"/>
              </w:rPr>
              <w:t xml:space="preserve"> </w:t>
            </w:r>
            <w:r w:rsidRPr="00770DD8" w:rsidR="00770DD8">
              <w:rPr>
                <w:rFonts w:hint="default"/>
              </w:rPr>
              <w:t>ná</w:t>
            </w:r>
            <w:r w:rsidRPr="00770DD8" w:rsidR="00770DD8">
              <w:rPr>
                <w:rFonts w:hint="default"/>
              </w:rPr>
              <w:t>vrh zá</w:t>
            </w:r>
            <w:r w:rsidRPr="00770DD8" w:rsidR="00770DD8">
              <w:rPr>
                <w:rFonts w:hint="default"/>
              </w:rPr>
              <w:t>kona</w:t>
            </w:r>
            <w:r w:rsidRPr="00770DD8" w:rsidR="00E62488">
              <w:rPr>
                <w:rFonts w:hint="default"/>
              </w:rPr>
              <w:t xml:space="preserve"> zvýš</w:t>
            </w:r>
            <w:r w:rsidRPr="00770DD8" w:rsidR="00E62488">
              <w:rPr>
                <w:rFonts w:hint="default"/>
              </w:rPr>
              <w:t>i ú</w:t>
            </w:r>
            <w:r w:rsidRPr="00770DD8" w:rsidR="00E62488">
              <w:rPr>
                <w:rFonts w:hint="default"/>
              </w:rPr>
              <w:t>roveň</w:t>
            </w:r>
            <w:r w:rsidRPr="00770DD8" w:rsidR="00E62488">
              <w:rPr>
                <w:rFonts w:hint="default"/>
              </w:rPr>
              <w:t xml:space="preserve"> ochrany zdravia pri prá</w:t>
            </w:r>
            <w:r w:rsidRPr="00770DD8" w:rsidR="00E62488">
              <w:rPr>
                <w:rFonts w:hint="default"/>
              </w:rPr>
              <w:t>ci so zdrojmi ioni</w:t>
            </w:r>
            <w:r w:rsidRPr="00770DD8" w:rsidR="00E62488">
              <w:rPr>
                <w:rFonts w:hint="default"/>
              </w:rPr>
              <w:t>zujú</w:t>
            </w:r>
            <w:r w:rsidRPr="00770DD8" w:rsidR="00E62488">
              <w:rPr>
                <w:rFonts w:hint="default"/>
              </w:rPr>
              <w:t>ceho ž</w:t>
            </w:r>
            <w:r w:rsidRPr="00770DD8" w:rsidR="00E62488">
              <w:rPr>
                <w:rFonts w:hint="default"/>
              </w:rPr>
              <w:t>iarenia (napr</w:t>
            </w:r>
            <w:r w:rsidRPr="00770DD8" w:rsidR="00770DD8">
              <w:rPr>
                <w:rFonts w:hint="default"/>
              </w:rPr>
              <w:t>í</w:t>
            </w:r>
            <w:r w:rsidRPr="00770DD8" w:rsidR="00770DD8">
              <w:rPr>
                <w:rFonts w:hint="default"/>
              </w:rPr>
              <w:t>klad</w:t>
            </w:r>
            <w:r w:rsidRPr="00770DD8" w:rsidR="00E62488">
              <w:rPr>
                <w:rFonts w:hint="default"/>
              </w:rPr>
              <w:t xml:space="preserve"> sprí</w:t>
            </w:r>
            <w:r w:rsidRPr="00770DD8" w:rsidR="00E62488">
              <w:rPr>
                <w:rFonts w:hint="default"/>
              </w:rPr>
              <w:t>snenie limitu dá</w:t>
            </w:r>
            <w:r w:rsidRPr="00770DD8" w:rsidR="00E62488">
              <w:rPr>
                <w:rFonts w:hint="default"/>
              </w:rPr>
              <w:t>vky na oč</w:t>
            </w:r>
            <w:r w:rsidRPr="00770DD8" w:rsidR="00E62488">
              <w:rPr>
                <w:rFonts w:hint="default"/>
              </w:rPr>
              <w:t>nú</w:t>
            </w:r>
            <w:r w:rsidRPr="00770DD8" w:rsidR="00E62488">
              <w:rPr>
                <w:rFonts w:hint="default"/>
              </w:rPr>
              <w:t xml:space="preserve"> š</w:t>
            </w:r>
            <w:r w:rsidRPr="00770DD8" w:rsidR="00E62488">
              <w:rPr>
                <w:rFonts w:hint="default"/>
              </w:rPr>
              <w:t>oš</w:t>
            </w:r>
            <w:r w:rsidRPr="00770DD8" w:rsidR="00E62488">
              <w:rPr>
                <w:rFonts w:hint="default"/>
              </w:rPr>
              <w:t xml:space="preserve">ovku). </w:t>
            </w:r>
            <w:r w:rsidRPr="00770DD8" w:rsidR="00770DD8">
              <w:rPr>
                <w:rFonts w:hint="default"/>
              </w:rPr>
              <w:t>Oč</w:t>
            </w:r>
            <w:r w:rsidRPr="00770DD8" w:rsidR="00770DD8">
              <w:rPr>
                <w:rFonts w:hint="default"/>
              </w:rPr>
              <w:t>aká</w:t>
            </w:r>
            <w:r w:rsidRPr="00770DD8" w:rsidR="00770DD8">
              <w:rPr>
                <w:rFonts w:hint="default"/>
              </w:rPr>
              <w:t>va sa efektí</w:t>
            </w:r>
            <w:r w:rsidRPr="00770DD8" w:rsidR="00770DD8">
              <w:rPr>
                <w:rFonts w:hint="default"/>
              </w:rPr>
              <w:t>vnejš</w:t>
            </w:r>
            <w:r w:rsidRPr="00770DD8" w:rsidR="00770DD8">
              <w:rPr>
                <w:rFonts w:hint="default"/>
              </w:rPr>
              <w:t>ie ovplyvnenie tvorby a </w:t>
            </w:r>
            <w:r w:rsidRPr="00770DD8" w:rsidR="00770DD8">
              <w:rPr>
                <w:rFonts w:hint="default"/>
              </w:rPr>
              <w:t>ochrany zdravý</w:t>
            </w:r>
            <w:r w:rsidRPr="00770DD8" w:rsidR="00770DD8">
              <w:rPr>
                <w:rFonts w:hint="default"/>
              </w:rPr>
              <w:t>ch pracovný</w:t>
            </w:r>
            <w:r w:rsidRPr="00770DD8" w:rsidR="00770DD8">
              <w:rPr>
                <w:rFonts w:hint="default"/>
              </w:rPr>
              <w:t>ch podmienok, č</w:t>
            </w:r>
            <w:r w:rsidRPr="00770DD8" w:rsidR="00770DD8">
              <w:rPr>
                <w:rFonts w:hint="default"/>
              </w:rPr>
              <w:t>oho vý</w:t>
            </w:r>
            <w:r w:rsidRPr="00770DD8" w:rsidR="00770DD8">
              <w:rPr>
                <w:rFonts w:hint="default"/>
              </w:rPr>
              <w:t>sledkom by mala byť</w:t>
            </w:r>
            <w:r w:rsidRPr="00770DD8" w:rsidR="00770DD8">
              <w:rPr>
                <w:rFonts w:hint="default"/>
              </w:rPr>
              <w:t xml:space="preserve"> úč</w:t>
            </w:r>
            <w:r w:rsidRPr="00770DD8" w:rsidR="00770DD8">
              <w:rPr>
                <w:rFonts w:hint="default"/>
              </w:rPr>
              <w:t>innejš</w:t>
            </w:r>
            <w:r w:rsidRPr="00770DD8" w:rsidR="00770DD8">
              <w:rPr>
                <w:rFonts w:hint="default"/>
              </w:rPr>
              <w:t>ia primá</w:t>
            </w:r>
            <w:r w:rsidRPr="00770DD8" w:rsidR="00770DD8">
              <w:rPr>
                <w:rFonts w:hint="default"/>
              </w:rPr>
              <w:t>rna prevencia a </w:t>
            </w:r>
            <w:r w:rsidRPr="00770DD8" w:rsidR="00770DD8">
              <w:rPr>
                <w:rFonts w:hint="default"/>
              </w:rPr>
              <w:t>pozití</w:t>
            </w:r>
            <w:r w:rsidRPr="00770DD8" w:rsidR="00770DD8">
              <w:rPr>
                <w:rFonts w:hint="default"/>
              </w:rPr>
              <w:t>vny rozvoj zdravia zamestnancov.</w:t>
            </w:r>
          </w:p>
          <w:p w:rsidR="002D4823" w:rsidRPr="00770DD8" w:rsidP="0005480A">
            <w:pPr>
              <w:bidi w:val="0"/>
              <w:contextualSpacing/>
              <w:jc w:val="both"/>
            </w:pPr>
          </w:p>
          <w:p w:rsidR="00E62488" w:rsidRPr="00770DD8" w:rsidP="0005480A">
            <w:pPr>
              <w:bidi w:val="0"/>
              <w:contextualSpacing/>
              <w:jc w:val="both"/>
            </w:pPr>
          </w:p>
          <w:p w:rsidR="00423A85" w:rsidRPr="00770DD8" w:rsidP="0005480A">
            <w:pPr>
              <w:bidi w:val="0"/>
              <w:contextualSpacing/>
              <w:jc w:val="both"/>
            </w:pPr>
            <w:r w:rsidRPr="00770DD8" w:rsidR="00947D6C">
              <w:rPr>
                <w:rFonts w:hint="default"/>
              </w:rPr>
              <w:t>Predkladaný</w:t>
            </w:r>
            <w:r w:rsidRPr="00770DD8" w:rsidR="00947D6C">
              <w:rPr>
                <w:rFonts w:hint="default"/>
              </w:rPr>
              <w:t xml:space="preserve"> ná</w:t>
            </w:r>
            <w:r w:rsidRPr="00770DD8" w:rsidR="00947D6C">
              <w:rPr>
                <w:rFonts w:hint="default"/>
              </w:rPr>
              <w:t>vrh</w:t>
            </w:r>
            <w:r w:rsidR="00770DD8">
              <w:rPr>
                <w:rFonts w:hint="default"/>
              </w:rPr>
              <w:t xml:space="preserve"> zá</w:t>
            </w:r>
            <w:r w:rsidR="00770DD8">
              <w:rPr>
                <w:rFonts w:hint="default"/>
              </w:rPr>
              <w:t>kona</w:t>
            </w:r>
            <w:r w:rsidRPr="00770DD8" w:rsidR="00947D6C">
              <w:t xml:space="preserve"> </w:t>
            </w:r>
            <w:r w:rsidRPr="00770DD8" w:rsidR="002D4823">
              <w:rPr>
                <w:rFonts w:hint="default"/>
              </w:rPr>
              <w:t>umožň</w:t>
            </w:r>
            <w:r w:rsidRPr="00770DD8" w:rsidR="002D4823">
              <w:rPr>
                <w:rFonts w:hint="default"/>
              </w:rPr>
              <w:t>uje lepší</w:t>
            </w:r>
            <w:r w:rsidRPr="00770DD8" w:rsidR="002D4823">
              <w:rPr>
                <w:rFonts w:hint="default"/>
              </w:rPr>
              <w:t xml:space="preserve"> prí</w:t>
            </w:r>
            <w:r w:rsidRPr="00770DD8" w:rsidR="002D4823">
              <w:rPr>
                <w:rFonts w:hint="default"/>
              </w:rPr>
              <w:t>stup k </w:t>
            </w:r>
            <w:r w:rsidRPr="00770DD8" w:rsidR="002D4823">
              <w:rPr>
                <w:rFonts w:hint="default"/>
              </w:rPr>
              <w:t>informá</w:t>
            </w:r>
            <w:r w:rsidRPr="00770DD8" w:rsidR="002D4823">
              <w:rPr>
                <w:rFonts w:hint="default"/>
              </w:rPr>
              <w:t>ciá</w:t>
            </w:r>
            <w:r w:rsidRPr="00770DD8" w:rsidR="002D4823">
              <w:rPr>
                <w:rFonts w:hint="default"/>
              </w:rPr>
              <w:t>m o </w:t>
            </w:r>
            <w:r w:rsidRPr="00770DD8" w:rsidR="002D4823">
              <w:rPr>
                <w:rFonts w:hint="default"/>
              </w:rPr>
              <w:t>vplyve rá</w:t>
            </w:r>
            <w:r w:rsidRPr="00770DD8" w:rsidR="002D4823">
              <w:rPr>
                <w:rFonts w:hint="default"/>
              </w:rPr>
              <w:t>dionuklidov na zdravie. Z </w:t>
            </w:r>
            <w:r w:rsidRPr="00770DD8" w:rsidR="002D4823">
              <w:rPr>
                <w:rFonts w:hint="default"/>
              </w:rPr>
              <w:t>prieskumov vyplynulo, ž</w:t>
            </w:r>
            <w:r w:rsidRPr="00770DD8" w:rsidR="002D4823">
              <w:rPr>
                <w:rFonts w:hint="default"/>
              </w:rPr>
              <w:t>e obyvatelia vní</w:t>
            </w:r>
            <w:r w:rsidRPr="00770DD8" w:rsidR="002D4823">
              <w:rPr>
                <w:rFonts w:hint="default"/>
              </w:rPr>
              <w:t>majú</w:t>
            </w:r>
            <w:r w:rsidRPr="00770DD8" w:rsidR="002D4823">
              <w:rPr>
                <w:rFonts w:hint="default"/>
              </w:rPr>
              <w:t xml:space="preserve"> ož</w:t>
            </w:r>
            <w:r w:rsidRPr="00770DD8" w:rsidR="002D4823">
              <w:rPr>
                <w:rFonts w:hint="default"/>
              </w:rPr>
              <w:t>iarenie radó</w:t>
            </w:r>
            <w:r w:rsidRPr="00770DD8" w:rsidR="002D4823">
              <w:rPr>
                <w:rFonts w:hint="default"/>
              </w:rPr>
              <w:t>nom ako najmenej vý</w:t>
            </w:r>
            <w:r w:rsidRPr="00770DD8" w:rsidR="002D4823">
              <w:rPr>
                <w:rFonts w:hint="default"/>
              </w:rPr>
              <w:t>znamné</w:t>
            </w:r>
            <w:r w:rsidRPr="00770DD8" w:rsidR="002D4823">
              <w:rPr>
                <w:rFonts w:hint="default"/>
              </w:rPr>
              <w:t xml:space="preserve"> riziko pre zdravie v </w:t>
            </w:r>
            <w:r w:rsidRPr="00770DD8" w:rsidR="002D4823">
              <w:rPr>
                <w:rFonts w:hint="default"/>
              </w:rPr>
              <w:t>porovnaní</w:t>
            </w:r>
            <w:r w:rsidRPr="00770DD8" w:rsidR="002D4823">
              <w:rPr>
                <w:rFonts w:hint="default"/>
              </w:rPr>
              <w:t xml:space="preserve"> s </w:t>
            </w:r>
            <w:r w:rsidRPr="00770DD8" w:rsidR="002D4823">
              <w:rPr>
                <w:rFonts w:hint="default"/>
              </w:rPr>
              <w:t>ostatný</w:t>
            </w:r>
            <w:r w:rsidRPr="00770DD8" w:rsidR="002D4823">
              <w:rPr>
                <w:rFonts w:hint="default"/>
              </w:rPr>
              <w:t>mi rizikový</w:t>
            </w:r>
            <w:r w:rsidRPr="00770DD8" w:rsidR="002D4823">
              <w:rPr>
                <w:rFonts w:hint="default"/>
              </w:rPr>
              <w:t>mi faktormi ako sú</w:t>
            </w:r>
            <w:r w:rsidRPr="00770DD8" w:rsidR="002D4823">
              <w:rPr>
                <w:rFonts w:hint="default"/>
              </w:rPr>
              <w:t xml:space="preserve"> UV </w:t>
            </w:r>
            <w:r w:rsidRPr="00770DD8" w:rsidR="002D4823">
              <w:rPr>
                <w:rFonts w:hint="default"/>
              </w:rPr>
              <w:t>ž</w:t>
            </w:r>
            <w:r w:rsidRPr="00770DD8" w:rsidR="002D4823">
              <w:rPr>
                <w:rFonts w:hint="default"/>
              </w:rPr>
              <w:t>iarenie, rtg ž</w:t>
            </w:r>
            <w:r w:rsidRPr="00770DD8" w:rsidR="002D4823">
              <w:rPr>
                <w:rFonts w:hint="default"/>
              </w:rPr>
              <w:t>iarenie a </w:t>
            </w:r>
            <w:r w:rsidRPr="00770DD8" w:rsidR="002D4823">
              <w:rPr>
                <w:rFonts w:hint="default"/>
              </w:rPr>
              <w:t>elektromagnetické</w:t>
            </w:r>
            <w:r w:rsidRPr="00770DD8" w:rsidR="002D4823">
              <w:rPr>
                <w:rFonts w:hint="default"/>
              </w:rPr>
              <w:t xml:space="preserve"> polia. Súč</w:t>
            </w:r>
            <w:r w:rsidRPr="00770DD8" w:rsidR="002D4823">
              <w:rPr>
                <w:rFonts w:hint="default"/>
              </w:rPr>
              <w:t>asné</w:t>
            </w:r>
            <w:r w:rsidRPr="00770DD8" w:rsidR="002D4823">
              <w:rPr>
                <w:rFonts w:hint="default"/>
              </w:rPr>
              <w:t xml:space="preserve"> poznatky potvrdzujú</w:t>
            </w:r>
            <w:r w:rsidRPr="00770DD8" w:rsidR="002D4823">
              <w:rPr>
                <w:rFonts w:hint="default"/>
              </w:rPr>
              <w:t>, ž</w:t>
            </w:r>
            <w:r w:rsidRPr="00770DD8" w:rsidR="002D4823">
              <w:rPr>
                <w:rFonts w:hint="default"/>
              </w:rPr>
              <w:t>e najvyšš</w:t>
            </w:r>
            <w:r w:rsidRPr="00770DD8" w:rsidR="002D4823">
              <w:rPr>
                <w:rFonts w:hint="default"/>
              </w:rPr>
              <w:t>ie riziko pre zdravie je z </w:t>
            </w:r>
            <w:r w:rsidRPr="00770DD8" w:rsidR="002D4823">
              <w:rPr>
                <w:rFonts w:hint="default"/>
              </w:rPr>
              <w:t>ož</w:t>
            </w:r>
            <w:r w:rsidRPr="00770DD8" w:rsidR="002D4823">
              <w:rPr>
                <w:rFonts w:hint="default"/>
              </w:rPr>
              <w:t>iarenia radó</w:t>
            </w:r>
            <w:r w:rsidRPr="00770DD8" w:rsidR="002D4823">
              <w:rPr>
                <w:rFonts w:hint="default"/>
              </w:rPr>
              <w:t>nom v </w:t>
            </w:r>
            <w:r w:rsidRPr="00770DD8" w:rsidR="002D4823">
              <w:rPr>
                <w:rFonts w:hint="default"/>
              </w:rPr>
              <w:t>porovnaní</w:t>
            </w:r>
            <w:r w:rsidRPr="00770DD8" w:rsidR="002D4823">
              <w:rPr>
                <w:rFonts w:hint="default"/>
              </w:rPr>
              <w:t xml:space="preserve"> s </w:t>
            </w:r>
            <w:r w:rsidRPr="00770DD8" w:rsidR="002D4823">
              <w:rPr>
                <w:rFonts w:hint="default"/>
              </w:rPr>
              <w:t>uvedený</w:t>
            </w:r>
            <w:r w:rsidRPr="00770DD8" w:rsidR="002D4823">
              <w:rPr>
                <w:rFonts w:hint="default"/>
              </w:rPr>
              <w:t>mi rizikový</w:t>
            </w:r>
            <w:r w:rsidRPr="00770DD8" w:rsidR="002D4823">
              <w:rPr>
                <w:rFonts w:hint="default"/>
              </w:rPr>
              <w:t xml:space="preserve">mi faktormi. </w:t>
            </w:r>
          </w:p>
          <w:p w:rsidR="008123A1" w:rsidRPr="008375B9" w:rsidP="008123A1">
            <w:pPr>
              <w:bidi w:val="0"/>
              <w:contextualSpacing/>
              <w:jc w:val="both"/>
              <w:rPr>
                <w:sz w:val="20"/>
                <w:szCs w:val="20"/>
              </w:rPr>
            </w:pPr>
            <w:r w:rsidRPr="00770DD8">
              <w:rPr>
                <w:rFonts w:hint="default"/>
              </w:rPr>
              <w:t>Sú</w:t>
            </w:r>
            <w:r w:rsidRPr="00770DD8">
              <w:rPr>
                <w:rFonts w:hint="default"/>
              </w:rPr>
              <w:t>vislosť</w:t>
            </w:r>
            <w:r w:rsidRPr="00770DD8">
              <w:rPr>
                <w:rFonts w:hint="default"/>
              </w:rPr>
              <w:t xml:space="preserve"> medzi zvýš</w:t>
            </w:r>
            <w:r w:rsidRPr="00770DD8">
              <w:rPr>
                <w:rFonts w:hint="default"/>
              </w:rPr>
              <w:t>ený</w:t>
            </w:r>
            <w:r w:rsidRPr="00770DD8">
              <w:rPr>
                <w:rFonts w:hint="default"/>
              </w:rPr>
              <w:t>m vý</w:t>
            </w:r>
            <w:r w:rsidRPr="00770DD8">
              <w:rPr>
                <w:rFonts w:hint="default"/>
              </w:rPr>
              <w:t>skytom rakoviny pľú</w:t>
            </w:r>
            <w:r w:rsidRPr="00770DD8">
              <w:rPr>
                <w:rFonts w:hint="default"/>
              </w:rPr>
              <w:t>c a </w:t>
            </w:r>
            <w:r w:rsidRPr="00770DD8">
              <w:rPr>
                <w:rFonts w:hint="default"/>
              </w:rPr>
              <w:t>radó</w:t>
            </w:r>
            <w:r w:rsidRPr="00770DD8">
              <w:rPr>
                <w:rFonts w:hint="default"/>
              </w:rPr>
              <w:t>nom bola jednoznač</w:t>
            </w:r>
            <w:r w:rsidRPr="00770DD8">
              <w:rPr>
                <w:rFonts w:hint="default"/>
              </w:rPr>
              <w:t>ne p</w:t>
            </w:r>
            <w:r w:rsidRPr="00770DD8">
              <w:rPr>
                <w:rFonts w:hint="default"/>
              </w:rPr>
              <w:t>reuká</w:t>
            </w:r>
            <w:r w:rsidRPr="00770DD8">
              <w:rPr>
                <w:rFonts w:hint="default"/>
              </w:rPr>
              <w:t>zaná</w:t>
            </w:r>
            <w:r w:rsidRPr="00770DD8">
              <w:rPr>
                <w:rFonts w:hint="default"/>
              </w:rPr>
              <w:t xml:space="preserve"> epidemiologický</w:t>
            </w:r>
            <w:r w:rsidRPr="00770DD8">
              <w:rPr>
                <w:rFonts w:hint="default"/>
              </w:rPr>
              <w:t>mi š</w:t>
            </w:r>
            <w:r w:rsidRPr="00770DD8">
              <w:rPr>
                <w:rFonts w:hint="default"/>
              </w:rPr>
              <w:t>tú</w:t>
            </w:r>
            <w:r w:rsidRPr="00770DD8">
              <w:rPr>
                <w:rFonts w:hint="default"/>
              </w:rPr>
              <w:t>diami na obyvateľ</w:t>
            </w:r>
            <w:r w:rsidRPr="00770DD8">
              <w:rPr>
                <w:rFonts w:hint="default"/>
              </w:rPr>
              <w:t>ov v oblastiach s </w:t>
            </w:r>
            <w:r w:rsidRPr="00770DD8">
              <w:rPr>
                <w:rFonts w:hint="default"/>
              </w:rPr>
              <w:t>vyšš</w:t>
            </w:r>
            <w:r w:rsidRPr="00770DD8">
              <w:rPr>
                <w:rFonts w:hint="default"/>
              </w:rPr>
              <w:t>ou koncentrá</w:t>
            </w:r>
            <w:r w:rsidRPr="00770DD8">
              <w:rPr>
                <w:rFonts w:hint="default"/>
              </w:rPr>
              <w:t>ciou radó</w:t>
            </w:r>
            <w:r w:rsidRPr="00770DD8">
              <w:rPr>
                <w:rFonts w:hint="default"/>
              </w:rPr>
              <w:t>nu v </w:t>
            </w:r>
            <w:r w:rsidRPr="00770DD8">
              <w:rPr>
                <w:rFonts w:hint="default"/>
              </w:rPr>
              <w:t>podloží</w:t>
            </w:r>
            <w:r w:rsidRPr="00770DD8">
              <w:rPr>
                <w:rFonts w:hint="default"/>
              </w:rPr>
              <w:t>, v domoch a v bytoch. Z </w:t>
            </w:r>
            <w:r w:rsidRPr="00770DD8">
              <w:rPr>
                <w:rFonts w:hint="default"/>
              </w:rPr>
              <w:t>uvedený</w:t>
            </w:r>
            <w:r w:rsidRPr="00770DD8">
              <w:rPr>
                <w:rFonts w:hint="default"/>
              </w:rPr>
              <w:t>ch š</w:t>
            </w:r>
            <w:r w:rsidRPr="00770DD8">
              <w:rPr>
                <w:rFonts w:hint="default"/>
              </w:rPr>
              <w:t>tú</w:t>
            </w:r>
            <w:r w:rsidRPr="00770DD8">
              <w:rPr>
                <w:rFonts w:hint="default"/>
              </w:rPr>
              <w:t>dií</w:t>
            </w:r>
            <w:r w:rsidRPr="00770DD8">
              <w:rPr>
                <w:rFonts w:hint="default"/>
              </w:rPr>
              <w:t xml:space="preserve"> vyplynulo, ž</w:t>
            </w:r>
            <w:r w:rsidRPr="00770DD8">
              <w:rPr>
                <w:rFonts w:hint="default"/>
              </w:rPr>
              <w:t>e 3% až</w:t>
            </w:r>
            <w:r w:rsidRPr="00770DD8">
              <w:rPr>
                <w:rFonts w:hint="default"/>
              </w:rPr>
              <w:t xml:space="preserve"> 14% rakoviny pľú</w:t>
            </w:r>
            <w:r w:rsidRPr="00770DD8">
              <w:rPr>
                <w:rFonts w:hint="default"/>
              </w:rPr>
              <w:t>c je zapríč</w:t>
            </w:r>
            <w:r w:rsidRPr="00770DD8">
              <w:rPr>
                <w:rFonts w:hint="default"/>
              </w:rPr>
              <w:t>inené</w:t>
            </w:r>
            <w:r w:rsidRPr="00770DD8">
              <w:rPr>
                <w:rFonts w:hint="default"/>
              </w:rPr>
              <w:t xml:space="preserve"> ož</w:t>
            </w:r>
            <w:r w:rsidRPr="00770DD8">
              <w:rPr>
                <w:rFonts w:hint="default"/>
              </w:rPr>
              <w:t>iarení</w:t>
            </w:r>
            <w:r w:rsidRPr="00770DD8">
              <w:rPr>
                <w:rFonts w:hint="default"/>
              </w:rPr>
              <w:t>m radó</w:t>
            </w:r>
            <w:r w:rsidRPr="00770DD8">
              <w:rPr>
                <w:rFonts w:hint="default"/>
              </w:rPr>
              <w:t>nom v </w:t>
            </w:r>
            <w:r w:rsidRPr="00770DD8">
              <w:rPr>
                <w:rFonts w:hint="default"/>
              </w:rPr>
              <w:t>zá</w:t>
            </w:r>
            <w:r w:rsidRPr="00770DD8">
              <w:rPr>
                <w:rFonts w:hint="default"/>
              </w:rPr>
              <w:t>vislosti od priemernej koncentrá</w:t>
            </w:r>
            <w:r w:rsidRPr="00770DD8">
              <w:rPr>
                <w:rFonts w:hint="default"/>
              </w:rPr>
              <w:t>cie</w:t>
            </w:r>
            <w:r w:rsidRPr="00770DD8">
              <w:rPr>
                <w:rFonts w:hint="default"/>
              </w:rPr>
              <w:t xml:space="preserve"> </w:t>
            </w:r>
            <w:r w:rsidRPr="00770DD8">
              <w:rPr>
                <w:rFonts w:hint="default"/>
              </w:rPr>
              <w:t>radó</w:t>
            </w:r>
            <w:r w:rsidRPr="00770DD8">
              <w:rPr>
                <w:rFonts w:hint="default"/>
              </w:rPr>
              <w:t>nu v domoch a v bytoch.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P="0005480A">
            <w:pPr>
              <w:bidi w:val="0"/>
              <w:jc w:val="both"/>
              <w:rPr>
                <w:rFonts w:hint="default"/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Má</w:t>
            </w:r>
            <w:r>
              <w:rPr>
                <w:rFonts w:hint="default"/>
                <w:i/>
                <w:sz w:val="20"/>
                <w:szCs w:val="20"/>
              </w:rPr>
              <w:t xml:space="preserve"> ná</w:t>
            </w:r>
            <w:r>
              <w:rPr>
                <w:rFonts w:hint="default"/>
                <w:i/>
                <w:sz w:val="20"/>
                <w:szCs w:val="20"/>
              </w:rPr>
              <w:t>vrh vý</w:t>
            </w:r>
            <w:r>
              <w:rPr>
                <w:rFonts w:hint="default"/>
                <w:i/>
                <w:sz w:val="20"/>
                <w:szCs w:val="20"/>
              </w:rPr>
              <w:t>znamný</w:t>
            </w:r>
            <w:r>
              <w:rPr>
                <w:rFonts w:hint="default"/>
                <w:i/>
                <w:sz w:val="20"/>
                <w:szCs w:val="20"/>
              </w:rPr>
              <w:t xml:space="preserve"> vplyv na niektorú</w:t>
            </w:r>
            <w:r>
              <w:rPr>
                <w:rFonts w:hint="default"/>
                <w:i/>
                <w:sz w:val="20"/>
                <w:szCs w:val="20"/>
              </w:rPr>
              <w:t xml:space="preserve"> zo zraniteľ</w:t>
            </w:r>
            <w:r>
              <w:rPr>
                <w:rFonts w:hint="default"/>
                <w:i/>
                <w:sz w:val="20"/>
                <w:szCs w:val="20"/>
              </w:rPr>
              <w:t>ný</w:t>
            </w:r>
            <w:r>
              <w:rPr>
                <w:rFonts w:hint="default"/>
                <w:i/>
                <w:sz w:val="20"/>
                <w:szCs w:val="20"/>
              </w:rPr>
              <w:t>ch skupí</w:t>
            </w:r>
            <w:r>
              <w:rPr>
                <w:rFonts w:hint="default"/>
                <w:i/>
                <w:sz w:val="20"/>
                <w:szCs w:val="20"/>
              </w:rPr>
              <w:t>n obyvateľ</w:t>
            </w:r>
            <w:r>
              <w:rPr>
                <w:rFonts w:hint="default"/>
                <w:i/>
                <w:sz w:val="20"/>
                <w:szCs w:val="20"/>
              </w:rPr>
              <w:t>stva alebo skupí</w:t>
            </w:r>
            <w:r>
              <w:rPr>
                <w:rFonts w:hint="default"/>
                <w:i/>
                <w:sz w:val="20"/>
                <w:szCs w:val="20"/>
              </w:rPr>
              <w:t>n v riziku chudoby alebo sociá</w:t>
            </w:r>
            <w:r>
              <w:rPr>
                <w:rFonts w:hint="default"/>
                <w:i/>
                <w:sz w:val="20"/>
                <w:szCs w:val="20"/>
              </w:rPr>
              <w:t>lneho vylúč</w:t>
            </w:r>
            <w:r>
              <w:rPr>
                <w:rFonts w:hint="default"/>
                <w:i/>
                <w:sz w:val="20"/>
                <w:szCs w:val="20"/>
              </w:rPr>
              <w:t xml:space="preserve">enia? </w:t>
            </w:r>
          </w:p>
          <w:p w:rsidR="00423A85" w:rsidRPr="008375B9" w:rsidP="0005480A">
            <w:pPr>
              <w:bidi w:val="0"/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Š</w:t>
            </w:r>
            <w:r>
              <w:rPr>
                <w:rFonts w:hint="default"/>
                <w:i/>
                <w:sz w:val="20"/>
                <w:szCs w:val="20"/>
              </w:rPr>
              <w:t>pecifikujte ovplyvnené</w:t>
            </w:r>
            <w:r>
              <w:rPr>
                <w:rFonts w:hint="default"/>
                <w:i/>
                <w:sz w:val="20"/>
                <w:szCs w:val="20"/>
              </w:rPr>
              <w:t xml:space="preserve"> skupiny v riziku chudoby a sociá</w:t>
            </w:r>
            <w:r>
              <w:rPr>
                <w:rFonts w:hint="default"/>
                <w:i/>
                <w:sz w:val="20"/>
                <w:szCs w:val="20"/>
              </w:rPr>
              <w:t>lneho vylúč</w:t>
            </w:r>
            <w:r>
              <w:rPr>
                <w:rFonts w:hint="default"/>
                <w:i/>
                <w:sz w:val="20"/>
                <w:szCs w:val="20"/>
              </w:rPr>
              <w:t>enia a </w:t>
            </w:r>
            <w:r>
              <w:rPr>
                <w:rFonts w:hint="default"/>
                <w:i/>
                <w:sz w:val="20"/>
                <w:szCs w:val="20"/>
              </w:rPr>
              <w:t>popíš</w:t>
            </w:r>
            <w:r>
              <w:rPr>
                <w:rFonts w:hint="default"/>
                <w:i/>
                <w:sz w:val="20"/>
                <w:szCs w:val="20"/>
              </w:rPr>
              <w:t>te vplyv na ne. Je tento vplyv väčší</w:t>
            </w:r>
            <w:r>
              <w:rPr>
                <w:rFonts w:hint="default"/>
                <w:i/>
                <w:sz w:val="20"/>
                <w:szCs w:val="20"/>
              </w:rPr>
              <w:t xml:space="preserve"> ako vplyv na iné</w:t>
            </w:r>
            <w:r>
              <w:rPr>
                <w:rFonts w:hint="default"/>
                <w:i/>
                <w:sz w:val="20"/>
                <w:szCs w:val="20"/>
              </w:rPr>
              <w:t xml:space="preserve"> skupiny č</w:t>
            </w:r>
            <w:r>
              <w:rPr>
                <w:rFonts w:hint="default"/>
                <w:i/>
                <w:sz w:val="20"/>
                <w:szCs w:val="20"/>
              </w:rPr>
              <w:t>i subjekty? Uveď</w:t>
            </w:r>
            <w:r>
              <w:rPr>
                <w:rFonts w:hint="default"/>
                <w:i/>
                <w:sz w:val="20"/>
                <w:szCs w:val="20"/>
              </w:rPr>
              <w:t>te veľ</w:t>
            </w:r>
            <w:r>
              <w:rPr>
                <w:rFonts w:hint="default"/>
                <w:i/>
                <w:sz w:val="20"/>
                <w:szCs w:val="20"/>
              </w:rPr>
              <w:t>kosť</w:t>
            </w:r>
            <w:r>
              <w:rPr>
                <w:rFonts w:hint="default"/>
                <w:i/>
                <w:sz w:val="20"/>
                <w:szCs w:val="20"/>
              </w:rPr>
              <w:t xml:space="preserve"> jednotlivý</w:t>
            </w:r>
            <w:r>
              <w:rPr>
                <w:rFonts w:hint="default"/>
                <w:i/>
                <w:sz w:val="20"/>
                <w:szCs w:val="20"/>
              </w:rPr>
              <w:t>ch ovplyvnený</w:t>
            </w:r>
            <w:r>
              <w:rPr>
                <w:rFonts w:hint="default"/>
                <w:i/>
                <w:sz w:val="20"/>
                <w:szCs w:val="20"/>
              </w:rPr>
              <w:t>ch skupí</w:t>
            </w:r>
            <w:r>
              <w:rPr>
                <w:rFonts w:hint="default"/>
                <w:i/>
                <w:sz w:val="20"/>
                <w:szCs w:val="20"/>
              </w:rPr>
              <w:t>n.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CD4982" w:rsidP="0005480A">
            <w:pPr>
              <w:bidi w:val="0"/>
              <w:jc w:val="both"/>
              <w:rPr>
                <w:i/>
                <w:sz w:val="18"/>
                <w:szCs w:val="18"/>
              </w:rPr>
            </w:pPr>
            <w:r>
              <w:rPr>
                <w:rFonts w:hint="default"/>
                <w:i/>
                <w:sz w:val="18"/>
                <w:szCs w:val="18"/>
              </w:rPr>
              <w:t>Zraniteľ</w:t>
            </w:r>
            <w:r>
              <w:rPr>
                <w:rFonts w:hint="default"/>
                <w:i/>
                <w:sz w:val="18"/>
                <w:szCs w:val="18"/>
              </w:rPr>
              <w:t>né</w:t>
            </w:r>
            <w:r>
              <w:rPr>
                <w:rFonts w:hint="default"/>
                <w:i/>
                <w:sz w:val="18"/>
                <w:szCs w:val="18"/>
              </w:rPr>
              <w:t xml:space="preserve"> skupiny alebo s</w:t>
            </w:r>
            <w:r w:rsidRPr="00CD4982">
              <w:rPr>
                <w:i/>
                <w:sz w:val="18"/>
                <w:szCs w:val="18"/>
              </w:rPr>
              <w:t>kupiny v </w:t>
            </w:r>
            <w:r w:rsidRPr="00CD4982">
              <w:rPr>
                <w:rFonts w:hint="default"/>
                <w:i/>
                <w:sz w:val="18"/>
                <w:szCs w:val="18"/>
              </w:rPr>
              <w:t>riziku chudoby alebo sociá</w:t>
            </w:r>
            <w:r w:rsidRPr="00CD4982">
              <w:rPr>
                <w:rFonts w:hint="default"/>
                <w:i/>
                <w:sz w:val="18"/>
                <w:szCs w:val="18"/>
              </w:rPr>
              <w:t>lneho vylúč</w:t>
            </w:r>
            <w:r w:rsidRPr="00CD4982">
              <w:rPr>
                <w:rFonts w:hint="default"/>
                <w:i/>
                <w:sz w:val="18"/>
                <w:szCs w:val="18"/>
              </w:rPr>
              <w:t>enia</w:t>
            </w:r>
            <w:r>
              <w:rPr>
                <w:rFonts w:hint="default"/>
                <w:i/>
                <w:sz w:val="18"/>
                <w:szCs w:val="18"/>
              </w:rPr>
              <w:t xml:space="preserve"> sú</w:t>
            </w:r>
            <w:r>
              <w:rPr>
                <w:rFonts w:hint="default"/>
                <w:i/>
                <w:sz w:val="18"/>
                <w:szCs w:val="18"/>
              </w:rPr>
              <w:t xml:space="preserve"> napr.</w:t>
            </w:r>
            <w:r w:rsidRPr="00CD4982">
              <w:rPr>
                <w:i/>
                <w:sz w:val="18"/>
                <w:szCs w:val="18"/>
              </w:rPr>
              <w:t>:</w:t>
            </w:r>
          </w:p>
          <w:p w:rsidR="00423A85" w:rsidRPr="008375B9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domá</w:t>
            </w:r>
            <w:r w:rsidRPr="00CD4982">
              <w:rPr>
                <w:rFonts w:hint="default"/>
                <w:i/>
                <w:sz w:val="18"/>
                <w:szCs w:val="18"/>
              </w:rPr>
              <w:t>cnosti s ní</w:t>
            </w:r>
            <w:r w:rsidRPr="00CD4982">
              <w:rPr>
                <w:rFonts w:hint="default"/>
                <w:i/>
                <w:sz w:val="18"/>
                <w:szCs w:val="18"/>
              </w:rPr>
              <w:t>zkym prí</w:t>
            </w:r>
            <w:r w:rsidRPr="00CD4982">
              <w:rPr>
                <w:rFonts w:hint="default"/>
                <w:i/>
                <w:sz w:val="18"/>
                <w:szCs w:val="18"/>
              </w:rPr>
              <w:t>jmom (napr. ž</w:t>
            </w:r>
            <w:r w:rsidRPr="00CD4982">
              <w:rPr>
                <w:rFonts w:hint="default"/>
                <w:i/>
                <w:sz w:val="18"/>
                <w:szCs w:val="18"/>
              </w:rPr>
              <w:t>ijú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ce </w:t>
            </w:r>
            <w:r w:rsidRPr="00CD4982">
              <w:rPr>
                <w:rFonts w:hint="default"/>
                <w:i/>
                <w:sz w:val="18"/>
                <w:szCs w:val="18"/>
              </w:rPr>
              <w:t>iba zo sociá</w:t>
            </w:r>
            <w:r w:rsidRPr="00CD4982">
              <w:rPr>
                <w:rFonts w:hint="default"/>
                <w:i/>
                <w:sz w:val="18"/>
                <w:szCs w:val="18"/>
              </w:rPr>
              <w:t>lnych prí</w:t>
            </w:r>
            <w:r w:rsidRPr="00CD4982">
              <w:rPr>
                <w:rFonts w:hint="default"/>
                <w:i/>
                <w:sz w:val="18"/>
                <w:szCs w:val="18"/>
              </w:rPr>
              <w:t>jmov, alebo z prí</w:t>
            </w:r>
            <w:r w:rsidRPr="00CD4982">
              <w:rPr>
                <w:rFonts w:hint="default"/>
                <w:i/>
                <w:sz w:val="18"/>
                <w:szCs w:val="18"/>
              </w:rPr>
              <w:t>jmov pod hranicou rizika chudoby, alebo s prí</w:t>
            </w:r>
            <w:r w:rsidRPr="00CD4982">
              <w:rPr>
                <w:rFonts w:hint="default"/>
                <w:i/>
                <w:sz w:val="18"/>
                <w:szCs w:val="18"/>
              </w:rPr>
              <w:t>jmom pod ž</w:t>
            </w:r>
            <w:r w:rsidRPr="00CD4982">
              <w:rPr>
                <w:rFonts w:hint="default"/>
                <w:i/>
                <w:sz w:val="18"/>
                <w:szCs w:val="18"/>
              </w:rPr>
              <w:t>ivotný</w:t>
            </w:r>
            <w:r w:rsidRPr="00CD4982">
              <w:rPr>
                <w:rFonts w:hint="default"/>
                <w:i/>
                <w:sz w:val="18"/>
                <w:szCs w:val="18"/>
              </w:rPr>
              <w:t>m minimom, alebo patriace medzi 25% domá</w:t>
            </w:r>
            <w:r w:rsidRPr="00CD4982">
              <w:rPr>
                <w:rFonts w:hint="default"/>
                <w:i/>
                <w:sz w:val="18"/>
                <w:szCs w:val="18"/>
              </w:rPr>
              <w:t>cností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s najnižší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m </w:t>
            </w:r>
            <w:r w:rsidRPr="008375B9">
              <w:rPr>
                <w:rFonts w:hint="default"/>
                <w:i/>
                <w:sz w:val="18"/>
                <w:szCs w:val="18"/>
              </w:rPr>
              <w:t>prí</w:t>
            </w:r>
            <w:r w:rsidRPr="008375B9">
              <w:rPr>
                <w:rFonts w:hint="default"/>
                <w:i/>
                <w:sz w:val="18"/>
                <w:szCs w:val="18"/>
              </w:rPr>
              <w:t>jmom),</w:t>
            </w:r>
          </w:p>
          <w:p w:rsidR="00423A85" w:rsidRPr="008375B9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nezamestnaní</w:t>
            </w:r>
            <w:r w:rsidRPr="008375B9">
              <w:rPr>
                <w:rFonts w:hint="default"/>
                <w:i/>
                <w:sz w:val="18"/>
                <w:szCs w:val="18"/>
              </w:rPr>
              <w:t>, najmä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dlhodobo nezamestnaní</w:t>
            </w:r>
            <w:r w:rsidRPr="008375B9">
              <w:rPr>
                <w:rFonts w:hint="default"/>
                <w:i/>
                <w:sz w:val="18"/>
                <w:szCs w:val="18"/>
              </w:rPr>
              <w:t>, mladí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nezamestnaní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a nezamestnaní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nad 50 ro</w:t>
            </w:r>
            <w:r w:rsidRPr="008375B9">
              <w:rPr>
                <w:rFonts w:hint="default"/>
                <w:i/>
                <w:sz w:val="18"/>
                <w:szCs w:val="18"/>
              </w:rPr>
              <w:t>kov,</w:t>
            </w:r>
          </w:p>
          <w:p w:rsidR="00423A85" w:rsidRPr="008375B9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 xml:space="preserve">deti (0 </w:t>
            </w:r>
            <w:r w:rsidRPr="008375B9">
              <w:rPr>
                <w:rFonts w:hint="default"/>
                <w:i/>
                <w:sz w:val="18"/>
                <w:szCs w:val="18"/>
              </w:rPr>
              <w:t>–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17),</w:t>
            </w:r>
          </w:p>
          <w:p w:rsidR="00423A85" w:rsidRPr="008375B9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mladí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ľ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udia (18 </w:t>
            </w:r>
            <w:r w:rsidRPr="008375B9">
              <w:rPr>
                <w:rFonts w:hint="default"/>
                <w:i/>
                <w:sz w:val="18"/>
                <w:szCs w:val="18"/>
              </w:rPr>
              <w:t>–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25 rokov),</w:t>
            </w:r>
          </w:p>
          <w:p w:rsidR="00423A85" w:rsidRPr="008375B9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starší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ľ</w:t>
            </w:r>
            <w:r w:rsidRPr="008375B9">
              <w:rPr>
                <w:rFonts w:hint="default"/>
                <w:i/>
                <w:sz w:val="18"/>
                <w:szCs w:val="18"/>
              </w:rPr>
              <w:t>udia, napr. ľ</w:t>
            </w:r>
            <w:r w:rsidRPr="008375B9">
              <w:rPr>
                <w:rFonts w:hint="default"/>
                <w:i/>
                <w:sz w:val="18"/>
                <w:szCs w:val="18"/>
              </w:rPr>
              <w:t>udia vo veku nad 65 rokov alebo dô</w:t>
            </w:r>
            <w:r w:rsidRPr="008375B9">
              <w:rPr>
                <w:rFonts w:hint="default"/>
                <w:i/>
                <w:sz w:val="18"/>
                <w:szCs w:val="18"/>
              </w:rPr>
              <w:t>chodcovia,</w:t>
            </w:r>
          </w:p>
          <w:p w:rsidR="00423A85" w:rsidRPr="008375B9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8375B9">
              <w:rPr>
                <w:rFonts w:hint="default"/>
                <w:i/>
                <w:sz w:val="18"/>
                <w:szCs w:val="18"/>
              </w:rPr>
              <w:t>ľ</w:t>
            </w:r>
            <w:r w:rsidRPr="008375B9">
              <w:rPr>
                <w:rFonts w:hint="default"/>
                <w:i/>
                <w:sz w:val="18"/>
                <w:szCs w:val="18"/>
              </w:rPr>
              <w:t>udia so zdravotný</w:t>
            </w:r>
            <w:r w:rsidRPr="008375B9">
              <w:rPr>
                <w:rFonts w:hint="default"/>
                <w:i/>
                <w:sz w:val="18"/>
                <w:szCs w:val="18"/>
              </w:rPr>
              <w:t>m postihnutí</w:t>
            </w:r>
            <w:r w:rsidRPr="008375B9">
              <w:rPr>
                <w:rFonts w:hint="default"/>
                <w:i/>
                <w:sz w:val="18"/>
                <w:szCs w:val="18"/>
              </w:rPr>
              <w:t>m,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marginalizované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ró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mske komunity 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domá</w:t>
            </w:r>
            <w:r w:rsidRPr="00CD4982">
              <w:rPr>
                <w:rFonts w:hint="default"/>
                <w:i/>
                <w:sz w:val="18"/>
                <w:szCs w:val="18"/>
              </w:rPr>
              <w:t>cnosti s 3 a viac deť</w:t>
            </w:r>
            <w:r w:rsidRPr="00CD4982">
              <w:rPr>
                <w:rFonts w:hint="default"/>
                <w:i/>
                <w:sz w:val="18"/>
                <w:szCs w:val="18"/>
              </w:rPr>
              <w:t>mi,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jednorodič</w:t>
            </w:r>
            <w:r w:rsidRPr="00CD4982">
              <w:rPr>
                <w:rFonts w:hint="default"/>
                <w:i/>
                <w:sz w:val="18"/>
                <w:szCs w:val="18"/>
              </w:rPr>
              <w:t>ovské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domá</w:t>
            </w:r>
            <w:r w:rsidRPr="00CD4982">
              <w:rPr>
                <w:rFonts w:hint="default"/>
                <w:i/>
                <w:sz w:val="18"/>
                <w:szCs w:val="18"/>
              </w:rPr>
              <w:t>cnosti s deť</w:t>
            </w:r>
            <w:r w:rsidRPr="00CD4982">
              <w:rPr>
                <w:rFonts w:hint="default"/>
                <w:i/>
                <w:sz w:val="18"/>
                <w:szCs w:val="18"/>
              </w:rPr>
              <w:t>mi (neú</w:t>
            </w:r>
            <w:r w:rsidRPr="00CD4982">
              <w:rPr>
                <w:rFonts w:hint="default"/>
                <w:i/>
                <w:sz w:val="18"/>
                <w:szCs w:val="18"/>
              </w:rPr>
              <w:t>plné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rodiny, ktoré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tvoria najmä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osamelé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matky s </w:t>
            </w:r>
            <w:r w:rsidRPr="00CD4982">
              <w:rPr>
                <w:rFonts w:hint="default"/>
                <w:i/>
                <w:sz w:val="18"/>
                <w:szCs w:val="18"/>
              </w:rPr>
              <w:t>deť</w:t>
            </w:r>
            <w:r w:rsidRPr="00CD4982">
              <w:rPr>
                <w:rFonts w:hint="default"/>
                <w:i/>
                <w:sz w:val="18"/>
                <w:szCs w:val="18"/>
              </w:rPr>
              <w:t>mi),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prí</w:t>
            </w:r>
            <w:r w:rsidRPr="00CD4982">
              <w:rPr>
                <w:rFonts w:hint="default"/>
                <w:i/>
                <w:sz w:val="18"/>
                <w:szCs w:val="18"/>
              </w:rPr>
              <w:t>sluš</w:t>
            </w:r>
            <w:r w:rsidRPr="00CD4982">
              <w:rPr>
                <w:rFonts w:hint="default"/>
                <w:i/>
                <w:sz w:val="18"/>
                <w:szCs w:val="18"/>
              </w:rPr>
              <w:t>ní</w:t>
            </w:r>
            <w:r w:rsidRPr="00CD4982">
              <w:rPr>
                <w:rFonts w:hint="default"/>
                <w:i/>
                <w:sz w:val="18"/>
                <w:szCs w:val="18"/>
              </w:rPr>
              <w:t>ci tretí</w:t>
            </w:r>
            <w:r w:rsidRPr="00CD4982">
              <w:rPr>
                <w:rFonts w:hint="default"/>
                <w:i/>
                <w:sz w:val="18"/>
                <w:szCs w:val="18"/>
              </w:rPr>
              <w:t>ch krají</w:t>
            </w:r>
            <w:r w:rsidRPr="00CD4982">
              <w:rPr>
                <w:rFonts w:hint="default"/>
                <w:i/>
                <w:sz w:val="18"/>
                <w:szCs w:val="18"/>
              </w:rPr>
              <w:t>n, azylanti, ž</w:t>
            </w:r>
            <w:r w:rsidRPr="00CD4982">
              <w:rPr>
                <w:rFonts w:hint="default"/>
                <w:i/>
                <w:sz w:val="18"/>
                <w:szCs w:val="18"/>
              </w:rPr>
              <w:t>iadatelia o azyl,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iné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zraniteľ</w:t>
            </w:r>
            <w:r w:rsidRPr="00CD4982">
              <w:rPr>
                <w:rFonts w:hint="default"/>
                <w:i/>
                <w:sz w:val="18"/>
                <w:szCs w:val="18"/>
              </w:rPr>
              <w:t>né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skupiny, ako sú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napr. bezdomovci, ľ</w:t>
            </w:r>
            <w:r w:rsidRPr="00CD4982">
              <w:rPr>
                <w:rFonts w:hint="default"/>
                <w:i/>
                <w:sz w:val="18"/>
                <w:szCs w:val="18"/>
              </w:rPr>
              <w:t>udia opúšť</w:t>
            </w:r>
            <w:r w:rsidRPr="00CD4982">
              <w:rPr>
                <w:rFonts w:hint="default"/>
                <w:i/>
                <w:sz w:val="18"/>
                <w:szCs w:val="18"/>
              </w:rPr>
              <w:t>ajú</w:t>
            </w:r>
            <w:r w:rsidRPr="00CD4982">
              <w:rPr>
                <w:rFonts w:hint="default"/>
                <w:i/>
                <w:sz w:val="18"/>
                <w:szCs w:val="18"/>
              </w:rPr>
              <w:t>ci detské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domovy alebo iné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inš</w:t>
            </w:r>
            <w:r w:rsidRPr="00CD4982">
              <w:rPr>
                <w:rFonts w:hint="default"/>
                <w:i/>
                <w:sz w:val="18"/>
                <w:szCs w:val="18"/>
              </w:rPr>
              <w:t>titucioná</w:t>
            </w:r>
            <w:r w:rsidRPr="00CD4982">
              <w:rPr>
                <w:rFonts w:hint="default"/>
                <w:i/>
                <w:sz w:val="18"/>
                <w:szCs w:val="18"/>
              </w:rPr>
              <w:t>lne zariadenia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488" w:rsidP="00423A85">
            <w:pPr>
              <w:bidi w:val="0"/>
              <w:jc w:val="both"/>
              <w:rPr>
                <w:sz w:val="20"/>
              </w:rPr>
            </w:pPr>
          </w:p>
          <w:p w:rsidR="00E62488" w:rsidP="00423A85">
            <w:pPr>
              <w:bidi w:val="0"/>
              <w:jc w:val="both"/>
              <w:rPr>
                <w:sz w:val="20"/>
              </w:rPr>
            </w:pPr>
          </w:p>
          <w:p w:rsidR="00E62488" w:rsidP="00423A85">
            <w:pPr>
              <w:bidi w:val="0"/>
              <w:jc w:val="both"/>
              <w:rPr>
                <w:sz w:val="20"/>
              </w:rPr>
            </w:pPr>
          </w:p>
          <w:p w:rsidR="00E62488" w:rsidP="00423A85">
            <w:pPr>
              <w:bidi w:val="0"/>
              <w:jc w:val="both"/>
              <w:rPr>
                <w:sz w:val="20"/>
              </w:rPr>
            </w:pPr>
          </w:p>
          <w:p w:rsidR="00E62488" w:rsidP="00423A85">
            <w:pPr>
              <w:bidi w:val="0"/>
              <w:jc w:val="both"/>
              <w:rPr>
                <w:sz w:val="20"/>
              </w:rPr>
            </w:pPr>
          </w:p>
          <w:p w:rsidR="00E62488" w:rsidP="00423A85">
            <w:pPr>
              <w:bidi w:val="0"/>
              <w:jc w:val="both"/>
              <w:rPr>
                <w:sz w:val="20"/>
              </w:rPr>
            </w:pPr>
          </w:p>
          <w:p w:rsidR="00E62488" w:rsidP="00423A85">
            <w:pPr>
              <w:bidi w:val="0"/>
              <w:jc w:val="both"/>
              <w:rPr>
                <w:sz w:val="20"/>
              </w:rPr>
            </w:pPr>
          </w:p>
          <w:p w:rsidR="00423A85" w:rsidRPr="00FA7507" w:rsidP="00423A85">
            <w:pPr>
              <w:bidi w:val="0"/>
              <w:jc w:val="both"/>
            </w:pPr>
            <w:r w:rsidRPr="00FA7507" w:rsidR="00E62488">
              <w:t>Bez vply</w:t>
            </w:r>
            <w:r w:rsidRPr="00FA7507" w:rsidR="00E62488">
              <w:t>vu.</w:t>
            </w:r>
          </w:p>
        </w:tc>
      </w:tr>
    </w:tbl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30"/>
        <w:gridCol w:w="5778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23A85" w:rsidP="0005480A">
            <w:pPr>
              <w:bidi w:val="0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4.3 Identifikujte a popíš</w:t>
            </w:r>
            <w:r>
              <w:rPr>
                <w:rFonts w:hint="default"/>
                <w:b/>
              </w:rPr>
              <w:t>te vplyv na rovnosť</w:t>
            </w:r>
            <w:r>
              <w:rPr>
                <w:rFonts w:hint="default"/>
                <w:b/>
              </w:rPr>
              <w:t xml:space="preserve"> prí</w:t>
            </w:r>
            <w:r>
              <w:rPr>
                <w:rFonts w:hint="default"/>
                <w:b/>
              </w:rPr>
              <w:t>lež</w:t>
            </w:r>
            <w:r>
              <w:rPr>
                <w:rFonts w:hint="default"/>
                <w:b/>
              </w:rPr>
              <w:t>itostí.</w:t>
            </w:r>
          </w:p>
          <w:p w:rsidR="00423A85" w:rsidRPr="0040544D" w:rsidP="0005480A">
            <w:pPr>
              <w:bidi w:val="0"/>
              <w:jc w:val="both"/>
              <w:rPr>
                <w:sz w:val="20"/>
              </w:rPr>
            </w:pPr>
            <w:r>
              <w:rPr>
                <w:rFonts w:hint="default"/>
                <w:b/>
              </w:rPr>
              <w:t>Identifikujte, popíš</w:t>
            </w:r>
            <w:r>
              <w:rPr>
                <w:rFonts w:hint="default"/>
                <w:b/>
              </w:rPr>
              <w:t>te a kvantifikujte vplyv na rodovú</w:t>
            </w:r>
            <w:r>
              <w:rPr>
                <w:rFonts w:hint="default"/>
                <w:b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40544D" w:rsidP="0005480A">
            <w:pPr>
              <w:bidi w:val="0"/>
              <w:jc w:val="both"/>
              <w:rPr>
                <w:sz w:val="20"/>
              </w:rPr>
            </w:pPr>
            <w:r>
              <w:rPr>
                <w:rFonts w:hint="default"/>
                <w:i/>
                <w:sz w:val="20"/>
              </w:rPr>
              <w:t>Dodrž</w:t>
            </w:r>
            <w:r>
              <w:rPr>
                <w:rFonts w:hint="default"/>
                <w:i/>
                <w:sz w:val="20"/>
              </w:rPr>
              <w:t>uje ná</w:t>
            </w:r>
            <w:r>
              <w:rPr>
                <w:rFonts w:hint="default"/>
                <w:i/>
                <w:sz w:val="20"/>
              </w:rPr>
              <w:t>vrh povinnosť</w:t>
            </w:r>
            <w:r>
              <w:rPr>
                <w:rFonts w:hint="default"/>
                <w:i/>
                <w:sz w:val="20"/>
              </w:rPr>
              <w:t xml:space="preserve"> rovnaké</w:t>
            </w:r>
            <w:r>
              <w:rPr>
                <w:rFonts w:hint="default"/>
                <w:i/>
                <w:sz w:val="20"/>
              </w:rPr>
              <w:t>ho zaobchá</w:t>
            </w:r>
            <w:r>
              <w:rPr>
                <w:rFonts w:hint="default"/>
                <w:i/>
                <w:sz w:val="20"/>
              </w:rPr>
              <w:t>dzania so skupinami alebo jednotlivcami na zá</w:t>
            </w:r>
            <w:r>
              <w:rPr>
                <w:rFonts w:hint="default"/>
                <w:i/>
                <w:sz w:val="20"/>
              </w:rPr>
              <w:t>klade pohlavia, rasy, etnicity, ná</w:t>
            </w:r>
            <w:r>
              <w:rPr>
                <w:rFonts w:hint="default"/>
                <w:i/>
                <w:sz w:val="20"/>
              </w:rPr>
              <w:t>bož</w:t>
            </w:r>
            <w:r>
              <w:rPr>
                <w:rFonts w:hint="default"/>
                <w:i/>
                <w:sz w:val="20"/>
              </w:rPr>
              <w:t>enstva alebo viery, zdravotné</w:t>
            </w:r>
            <w:r>
              <w:rPr>
                <w:rFonts w:hint="default"/>
                <w:i/>
                <w:sz w:val="20"/>
              </w:rPr>
              <w:t>ho postihnutia veku a sexuá</w:t>
            </w:r>
            <w:r>
              <w:rPr>
                <w:rFonts w:hint="default"/>
                <w:i/>
                <w:sz w:val="20"/>
              </w:rPr>
              <w:t>lnej orientá</w:t>
            </w:r>
            <w:r>
              <w:rPr>
                <w:rFonts w:hint="default"/>
                <w:i/>
                <w:sz w:val="20"/>
              </w:rPr>
              <w:t>cie? Mohol by viesť</w:t>
            </w:r>
            <w:r>
              <w:rPr>
                <w:rFonts w:hint="default"/>
                <w:i/>
                <w:sz w:val="20"/>
              </w:rPr>
              <w:t xml:space="preserve"> k </w:t>
            </w:r>
            <w:r>
              <w:rPr>
                <w:rFonts w:hint="default"/>
                <w:i/>
                <w:sz w:val="20"/>
              </w:rPr>
              <w:t>nepriamej diskriminá</w:t>
            </w:r>
            <w:r>
              <w:rPr>
                <w:rFonts w:hint="default"/>
                <w:i/>
                <w:sz w:val="20"/>
              </w:rPr>
              <w:t>cii niektorý</w:t>
            </w:r>
            <w:r>
              <w:rPr>
                <w:rFonts w:hint="default"/>
                <w:i/>
                <w:sz w:val="20"/>
              </w:rPr>
              <w:t>ch skupí</w:t>
            </w:r>
            <w:r>
              <w:rPr>
                <w:rFonts w:hint="default"/>
                <w:i/>
                <w:sz w:val="20"/>
              </w:rPr>
              <w:t>n obyvateľ</w:t>
            </w:r>
            <w:r>
              <w:rPr>
                <w:rFonts w:hint="default"/>
                <w:i/>
                <w:sz w:val="20"/>
              </w:rPr>
              <w:t>stva? Podporuje ná</w:t>
            </w:r>
            <w:r>
              <w:rPr>
                <w:rFonts w:hint="default"/>
                <w:i/>
                <w:sz w:val="20"/>
              </w:rPr>
              <w:t>vrh rovnosť</w:t>
            </w:r>
            <w:r>
              <w:rPr>
                <w:rFonts w:hint="default"/>
                <w:i/>
                <w:sz w:val="20"/>
              </w:rPr>
              <w:t xml:space="preserve"> prí</w:t>
            </w:r>
            <w:r>
              <w:rPr>
                <w:rFonts w:hint="default"/>
                <w:i/>
                <w:sz w:val="20"/>
              </w:rPr>
              <w:t>lež</w:t>
            </w:r>
            <w:r>
              <w:rPr>
                <w:rFonts w:hint="default"/>
                <w:i/>
                <w:sz w:val="20"/>
              </w:rPr>
              <w:t>itostí</w:t>
            </w:r>
            <w:r>
              <w:rPr>
                <w:rFonts w:hint="default"/>
                <w:i/>
                <w:sz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40544D" w:rsidP="0005480A">
            <w:pPr>
              <w:bidi w:val="0"/>
              <w:jc w:val="both"/>
              <w:rPr>
                <w:sz w:val="20"/>
              </w:rPr>
            </w:pPr>
            <w:r>
              <w:rPr>
                <w:sz w:val="20"/>
              </w:rPr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40544D" w:rsidP="0005480A">
            <w:pPr>
              <w:bidi w:val="0"/>
              <w:jc w:val="both"/>
              <w:rPr>
                <w:sz w:val="20"/>
              </w:rPr>
            </w:pPr>
            <w:r>
              <w:rPr>
                <w:rFonts w:hint="default"/>
                <w:i/>
                <w:sz w:val="20"/>
                <w:szCs w:val="20"/>
              </w:rPr>
              <w:t>Môž</w:t>
            </w:r>
            <w:r>
              <w:rPr>
                <w:rFonts w:hint="default"/>
                <w:i/>
                <w:sz w:val="20"/>
                <w:szCs w:val="20"/>
              </w:rPr>
              <w:t>e mať</w:t>
            </w:r>
            <w:r>
              <w:rPr>
                <w:rFonts w:hint="default"/>
                <w:i/>
                <w:sz w:val="20"/>
                <w:szCs w:val="20"/>
              </w:rPr>
              <w:t xml:space="preserve"> ná</w:t>
            </w:r>
            <w:r>
              <w:rPr>
                <w:rFonts w:hint="default"/>
                <w:i/>
                <w:sz w:val="20"/>
                <w:szCs w:val="20"/>
              </w:rPr>
              <w:t>vrh odliš</w:t>
            </w:r>
            <w:r>
              <w:rPr>
                <w:rFonts w:hint="default"/>
                <w:i/>
                <w:sz w:val="20"/>
                <w:szCs w:val="20"/>
              </w:rPr>
              <w:t>ný</w:t>
            </w:r>
            <w:r>
              <w:rPr>
                <w:rFonts w:hint="default"/>
                <w:i/>
                <w:sz w:val="20"/>
                <w:szCs w:val="20"/>
              </w:rPr>
              <w:t xml:space="preserve"> vplyv na ž</w:t>
            </w:r>
            <w:r>
              <w:rPr>
                <w:rFonts w:hint="default"/>
                <w:i/>
                <w:sz w:val="20"/>
                <w:szCs w:val="20"/>
              </w:rPr>
              <w:t>eny a muž</w:t>
            </w:r>
            <w:r>
              <w:rPr>
                <w:rFonts w:hint="default"/>
                <w:i/>
                <w:sz w:val="20"/>
                <w:szCs w:val="20"/>
              </w:rPr>
              <w:t>ov? Podporuje ná</w:t>
            </w:r>
            <w:r>
              <w:rPr>
                <w:rFonts w:hint="default"/>
                <w:i/>
                <w:sz w:val="20"/>
                <w:szCs w:val="20"/>
              </w:rPr>
              <w:t>vrh rovnosť</w:t>
            </w:r>
            <w:r>
              <w:rPr>
                <w:rFonts w:hint="default"/>
                <w:i/>
                <w:sz w:val="20"/>
                <w:szCs w:val="20"/>
              </w:rPr>
              <w:t xml:space="preserve"> medzi ž</w:t>
            </w:r>
            <w:r>
              <w:rPr>
                <w:rFonts w:hint="default"/>
                <w:i/>
                <w:sz w:val="20"/>
                <w:szCs w:val="20"/>
              </w:rPr>
              <w:t>enami a </w:t>
            </w:r>
            <w:r>
              <w:rPr>
                <w:rFonts w:hint="default"/>
                <w:i/>
                <w:sz w:val="20"/>
                <w:szCs w:val="20"/>
              </w:rPr>
              <w:t>muž</w:t>
            </w:r>
            <w:r>
              <w:rPr>
                <w:rFonts w:hint="default"/>
                <w:i/>
                <w:sz w:val="20"/>
                <w:szCs w:val="20"/>
              </w:rPr>
              <w:t>mi alebo naopak bude viesť</w:t>
            </w:r>
            <w:r>
              <w:rPr>
                <w:rFonts w:hint="default"/>
                <w:i/>
                <w:sz w:val="20"/>
                <w:szCs w:val="20"/>
              </w:rPr>
              <w:t xml:space="preserve"> k </w:t>
            </w:r>
            <w:r>
              <w:rPr>
                <w:rFonts w:hint="default"/>
                <w:i/>
                <w:sz w:val="20"/>
                <w:szCs w:val="20"/>
              </w:rPr>
              <w:t>zväčš</w:t>
            </w:r>
            <w:r>
              <w:rPr>
                <w:rFonts w:hint="default"/>
                <w:i/>
                <w:sz w:val="20"/>
                <w:szCs w:val="20"/>
              </w:rPr>
              <w:t>ovaniu rodový</w:t>
            </w:r>
            <w:r>
              <w:rPr>
                <w:rFonts w:hint="default"/>
                <w:i/>
                <w:sz w:val="20"/>
                <w:szCs w:val="20"/>
              </w:rPr>
              <w:t>ch nerovností</w:t>
            </w:r>
            <w:r>
              <w:rPr>
                <w:rFonts w:hint="default"/>
                <w:i/>
                <w:sz w:val="20"/>
                <w:szCs w:val="20"/>
              </w:rPr>
              <w:t>? Popíš</w:t>
            </w:r>
            <w:r>
              <w:rPr>
                <w:rFonts w:hint="default"/>
                <w:i/>
                <w:sz w:val="20"/>
                <w:szCs w:val="20"/>
              </w:rPr>
              <w:t>te vplyvy.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RPr="00CD4982" w:rsidP="0005480A">
            <w:p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Pri identifikovaní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rodový</w:t>
            </w:r>
            <w:r w:rsidRPr="00CD4982">
              <w:rPr>
                <w:rFonts w:hint="default"/>
                <w:i/>
                <w:sz w:val="18"/>
                <w:szCs w:val="18"/>
              </w:rPr>
              <w:t>ch vplyvov treba vziať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do ú</w:t>
            </w:r>
            <w:r w:rsidRPr="00CD4982">
              <w:rPr>
                <w:rFonts w:hint="default"/>
                <w:i/>
                <w:sz w:val="18"/>
                <w:szCs w:val="18"/>
              </w:rPr>
              <w:t>vahy existujú</w:t>
            </w:r>
            <w:r w:rsidRPr="00CD4982">
              <w:rPr>
                <w:rFonts w:hint="default"/>
                <w:i/>
                <w:sz w:val="18"/>
                <w:szCs w:val="18"/>
              </w:rPr>
              <w:t>ce rozdiely medzi muž</w:t>
            </w:r>
            <w:r w:rsidRPr="00CD4982">
              <w:rPr>
                <w:rFonts w:hint="default"/>
                <w:i/>
                <w:sz w:val="18"/>
                <w:szCs w:val="18"/>
              </w:rPr>
              <w:t>mi a </w:t>
            </w:r>
            <w:r w:rsidRPr="00CD4982">
              <w:rPr>
                <w:rFonts w:hint="default"/>
                <w:i/>
                <w:sz w:val="18"/>
                <w:szCs w:val="18"/>
              </w:rPr>
              <w:t>ž</w:t>
            </w:r>
            <w:r w:rsidRPr="00CD4982">
              <w:rPr>
                <w:rFonts w:hint="default"/>
                <w:i/>
                <w:sz w:val="18"/>
                <w:szCs w:val="18"/>
              </w:rPr>
              <w:t>enami, ktoré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sú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relevantné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k danej politike. Podpora ro</w:t>
            </w:r>
            <w:r w:rsidRPr="00CD4982">
              <w:rPr>
                <w:rFonts w:hint="default"/>
                <w:i/>
                <w:sz w:val="18"/>
                <w:szCs w:val="18"/>
              </w:rPr>
              <w:t>dovej rovnosti spočí</w:t>
            </w:r>
            <w:r w:rsidRPr="00CD4982">
              <w:rPr>
                <w:rFonts w:hint="default"/>
                <w:i/>
                <w:sz w:val="18"/>
                <w:szCs w:val="18"/>
              </w:rPr>
              <w:t>va v </w:t>
            </w:r>
            <w:r w:rsidRPr="00CD4982">
              <w:rPr>
                <w:rFonts w:hint="default"/>
                <w:i/>
                <w:sz w:val="18"/>
                <w:szCs w:val="18"/>
              </w:rPr>
              <w:t>odstraň</w:t>
            </w:r>
            <w:r w:rsidRPr="00CD4982">
              <w:rPr>
                <w:rFonts w:hint="default"/>
                <w:i/>
                <w:sz w:val="18"/>
                <w:szCs w:val="18"/>
              </w:rPr>
              <w:t>ovaní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obmedzení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a barié</w:t>
            </w:r>
            <w:r w:rsidRPr="00CD4982">
              <w:rPr>
                <w:rFonts w:hint="default"/>
                <w:i/>
                <w:sz w:val="18"/>
                <w:szCs w:val="18"/>
              </w:rPr>
              <w:t>r pre plnohodnotnú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úč</w:t>
            </w:r>
            <w:r w:rsidRPr="00CD4982">
              <w:rPr>
                <w:rFonts w:hint="default"/>
                <w:i/>
                <w:sz w:val="18"/>
                <w:szCs w:val="18"/>
              </w:rPr>
              <w:t>asť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na ekonomickom, politickom a </w:t>
            </w:r>
            <w:r w:rsidRPr="00CD4982">
              <w:rPr>
                <w:rFonts w:hint="default"/>
                <w:i/>
                <w:sz w:val="18"/>
                <w:szCs w:val="18"/>
              </w:rPr>
              <w:t>sociá</w:t>
            </w:r>
            <w:r w:rsidRPr="00CD4982">
              <w:rPr>
                <w:rFonts w:hint="default"/>
                <w:i/>
                <w:sz w:val="18"/>
                <w:szCs w:val="18"/>
              </w:rPr>
              <w:t>lnom ž</w:t>
            </w:r>
            <w:r w:rsidRPr="00CD4982">
              <w:rPr>
                <w:rFonts w:hint="default"/>
                <w:i/>
                <w:sz w:val="18"/>
                <w:szCs w:val="18"/>
              </w:rPr>
              <w:t>ivote spoloč</w:t>
            </w:r>
            <w:r w:rsidRPr="00CD4982">
              <w:rPr>
                <w:rFonts w:hint="default"/>
                <w:i/>
                <w:sz w:val="18"/>
                <w:szCs w:val="18"/>
              </w:rPr>
              <w:t>nosti, ktoré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sú</w:t>
            </w:r>
            <w:r w:rsidRPr="00CD4982">
              <w:rPr>
                <w:rFonts w:hint="default"/>
                <w:i/>
                <w:sz w:val="18"/>
                <w:szCs w:val="18"/>
              </w:rPr>
              <w:t>visia s rodový</w:t>
            </w:r>
            <w:r w:rsidRPr="00CD4982">
              <w:rPr>
                <w:rFonts w:hint="default"/>
                <w:i/>
                <w:sz w:val="18"/>
                <w:szCs w:val="18"/>
              </w:rPr>
              <w:t>mi rolami č</w:t>
            </w:r>
            <w:r w:rsidRPr="00CD4982">
              <w:rPr>
                <w:rFonts w:hint="default"/>
                <w:i/>
                <w:sz w:val="18"/>
                <w:szCs w:val="18"/>
              </w:rPr>
              <w:t>i pohlaví</w:t>
            </w:r>
            <w:r w:rsidRPr="00CD4982">
              <w:rPr>
                <w:rFonts w:hint="default"/>
                <w:i/>
                <w:sz w:val="18"/>
                <w:szCs w:val="18"/>
              </w:rPr>
              <w:t>m. Hlavné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 oblasti podpory rodovej rovnosti: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podpora vyrovná</w:t>
            </w:r>
            <w:r w:rsidRPr="00CD4982">
              <w:rPr>
                <w:rFonts w:hint="default"/>
                <w:i/>
                <w:sz w:val="18"/>
                <w:szCs w:val="18"/>
              </w:rPr>
              <w:t>vania ekonomickej nezá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vislosti, 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zosú</w:t>
            </w:r>
            <w:r w:rsidRPr="00CD4982">
              <w:rPr>
                <w:rFonts w:hint="default"/>
                <w:i/>
                <w:sz w:val="18"/>
                <w:szCs w:val="18"/>
              </w:rPr>
              <w:t>ladenie pracovné</w:t>
            </w:r>
            <w:r w:rsidRPr="00CD4982">
              <w:rPr>
                <w:rFonts w:hint="default"/>
                <w:i/>
                <w:sz w:val="18"/>
                <w:szCs w:val="18"/>
              </w:rPr>
              <w:t>ho, sú</w:t>
            </w:r>
            <w:r w:rsidRPr="00CD4982">
              <w:rPr>
                <w:rFonts w:hint="default"/>
                <w:i/>
                <w:sz w:val="18"/>
                <w:szCs w:val="18"/>
              </w:rPr>
              <w:t>kromné</w:t>
            </w:r>
            <w:r w:rsidRPr="00CD4982">
              <w:rPr>
                <w:rFonts w:hint="default"/>
                <w:i/>
                <w:sz w:val="18"/>
                <w:szCs w:val="18"/>
              </w:rPr>
              <w:t>ho a </w:t>
            </w:r>
            <w:r w:rsidRPr="00CD4982">
              <w:rPr>
                <w:rFonts w:hint="default"/>
                <w:i/>
                <w:sz w:val="18"/>
                <w:szCs w:val="18"/>
              </w:rPr>
              <w:t>rodinné</w:t>
            </w:r>
            <w:r w:rsidRPr="00CD4982">
              <w:rPr>
                <w:rFonts w:hint="default"/>
                <w:i/>
                <w:sz w:val="18"/>
                <w:szCs w:val="18"/>
              </w:rPr>
              <w:t>ho ž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ivota, 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podpora rovnej participá</w:t>
            </w:r>
            <w:r w:rsidRPr="00CD4982">
              <w:rPr>
                <w:rFonts w:hint="default"/>
                <w:i/>
                <w:sz w:val="18"/>
                <w:szCs w:val="18"/>
              </w:rPr>
              <w:t>cie na rozhodovaní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, 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boj proti rodovo podmienené</w:t>
            </w:r>
            <w:r w:rsidRPr="00CD4982">
              <w:rPr>
                <w:rFonts w:hint="default"/>
                <w:i/>
                <w:sz w:val="18"/>
                <w:szCs w:val="18"/>
              </w:rPr>
              <w:t>mu ná</w:t>
            </w:r>
            <w:r w:rsidRPr="00CD4982">
              <w:rPr>
                <w:rFonts w:hint="default"/>
                <w:i/>
                <w:sz w:val="18"/>
                <w:szCs w:val="18"/>
              </w:rPr>
              <w:t>siliu a obchodovaniu s </w:t>
            </w:r>
            <w:r w:rsidRPr="00CD4982">
              <w:rPr>
                <w:rFonts w:hint="default"/>
                <w:i/>
                <w:sz w:val="18"/>
                <w:szCs w:val="18"/>
              </w:rPr>
              <w:t>ľ</w:t>
            </w:r>
            <w:r w:rsidRPr="00CD4982">
              <w:rPr>
                <w:rFonts w:hint="default"/>
                <w:i/>
                <w:sz w:val="18"/>
                <w:szCs w:val="18"/>
              </w:rPr>
              <w:t>uď</w:t>
            </w:r>
            <w:r w:rsidRPr="00CD4982">
              <w:rPr>
                <w:rFonts w:hint="default"/>
                <w:i/>
                <w:sz w:val="18"/>
                <w:szCs w:val="18"/>
              </w:rPr>
              <w:t xml:space="preserve">mi, </w:t>
            </w:r>
          </w:p>
          <w:p w:rsidR="00423A85" w:rsidRPr="00CD4982" w:rsidP="00423A85">
            <w:pPr>
              <w:numPr>
                <w:numId w:val="7"/>
              </w:numPr>
              <w:bidi w:val="0"/>
              <w:jc w:val="both"/>
              <w:rPr>
                <w:rFonts w:hint="default"/>
                <w:i/>
                <w:sz w:val="18"/>
                <w:szCs w:val="18"/>
              </w:rPr>
            </w:pPr>
            <w:r w:rsidRPr="00CD4982">
              <w:rPr>
                <w:rFonts w:hint="default"/>
                <w:i/>
                <w:sz w:val="18"/>
                <w:szCs w:val="18"/>
              </w:rPr>
              <w:t>eliminá</w:t>
            </w:r>
            <w:r w:rsidRPr="00CD4982">
              <w:rPr>
                <w:rFonts w:hint="default"/>
                <w:i/>
                <w:sz w:val="18"/>
                <w:szCs w:val="18"/>
              </w:rPr>
              <w:t>cia rodový</w:t>
            </w:r>
            <w:r w:rsidRPr="00CD4982">
              <w:rPr>
                <w:rFonts w:hint="default"/>
                <w:i/>
                <w:sz w:val="18"/>
                <w:szCs w:val="18"/>
              </w:rPr>
              <w:t>ch stereotypov.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3A85" w:rsidP="0005480A">
            <w:pPr>
              <w:bidi w:val="0"/>
              <w:rPr>
                <w:sz w:val="20"/>
              </w:rPr>
            </w:pPr>
          </w:p>
          <w:p w:rsidR="00423A85" w:rsidP="0005480A">
            <w:pPr>
              <w:bidi w:val="0"/>
              <w:rPr>
                <w:sz w:val="20"/>
              </w:rPr>
            </w:pPr>
          </w:p>
          <w:p w:rsidR="00423A85" w:rsidP="0005480A">
            <w:pPr>
              <w:bidi w:val="0"/>
              <w:rPr>
                <w:sz w:val="20"/>
              </w:rPr>
            </w:pPr>
          </w:p>
          <w:p w:rsidR="00423A85" w:rsidP="0005480A">
            <w:pPr>
              <w:bidi w:val="0"/>
              <w:rPr>
                <w:sz w:val="20"/>
              </w:rPr>
            </w:pPr>
          </w:p>
          <w:p w:rsidR="00423A85" w:rsidRPr="00CA6BAF" w:rsidP="0005480A">
            <w:pPr>
              <w:bidi w:val="0"/>
              <w:rPr>
                <w:sz w:val="20"/>
              </w:rPr>
            </w:pPr>
            <w:r w:rsidRPr="00FA7507" w:rsidR="00FA7507">
              <w:t>Bez vplyvu.</w:t>
            </w:r>
          </w:p>
        </w:tc>
      </w:tr>
    </w:tbl>
    <w:p w:rsidR="00423A85" w:rsidP="00E3363B">
      <w:pPr>
        <w:bidi w:val="0"/>
        <w:rPr>
          <w:b/>
          <w:bCs/>
        </w:rPr>
      </w:pPr>
    </w:p>
    <w:p w:rsidR="00274748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30"/>
        <w:gridCol w:w="5778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23A85" w:rsidP="0005480A">
            <w:pPr>
              <w:bidi w:val="0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4.4 Identifikujte, popíš</w:t>
            </w:r>
            <w:r>
              <w:rPr>
                <w:rFonts w:hint="default"/>
                <w:b/>
              </w:rPr>
              <w:t>te a kvantifikujte vplyvy na zamestnanosť</w:t>
            </w:r>
            <w:r>
              <w:rPr>
                <w:rFonts w:hint="default"/>
                <w:b/>
              </w:rPr>
              <w:t xml:space="preserve"> a na trh prá</w:t>
            </w:r>
            <w:r>
              <w:rPr>
                <w:rFonts w:hint="default"/>
                <w:b/>
              </w:rPr>
              <w:t>ce.</w:t>
            </w:r>
          </w:p>
          <w:p w:rsidR="00423A85" w:rsidRPr="00527915" w:rsidP="0005480A">
            <w:pPr>
              <w:bidi w:val="0"/>
              <w:rPr>
                <w:sz w:val="20"/>
                <w:szCs w:val="20"/>
              </w:rPr>
            </w:pPr>
            <w:r>
              <w:rPr>
                <w:rFonts w:hint="default"/>
                <w:i/>
              </w:rPr>
              <w:t>V prí</w:t>
            </w:r>
            <w:r>
              <w:rPr>
                <w:rFonts w:hint="default"/>
                <w:i/>
              </w:rPr>
              <w:t xml:space="preserve">pade kladnej odpovede pripojte </w:t>
            </w:r>
            <w:r>
              <w:rPr>
                <w:rFonts w:hint="default"/>
                <w:b/>
                <w:i/>
              </w:rPr>
              <w:t>odô</w:t>
            </w:r>
            <w:r>
              <w:rPr>
                <w:rFonts w:hint="default"/>
                <w:b/>
                <w:i/>
              </w:rPr>
              <w:t>vodnenie</w:t>
            </w:r>
            <w:r>
              <w:rPr>
                <w:rFonts w:hint="default"/>
                <w:i/>
              </w:rPr>
              <w:t xml:space="preserve"> v sú</w:t>
            </w:r>
            <w:r>
              <w:rPr>
                <w:rFonts w:hint="default"/>
                <w:i/>
              </w:rPr>
              <w:t>lade s Metodický</w:t>
            </w:r>
            <w:r>
              <w:rPr>
                <w:rFonts w:hint="default"/>
                <w:i/>
              </w:rPr>
              <w:t>m postupom pre analý</w:t>
            </w:r>
            <w:r>
              <w:rPr>
                <w:rFonts w:hint="default"/>
                <w:i/>
              </w:rPr>
              <w:t>zu sociá</w:t>
            </w:r>
            <w:r>
              <w:rPr>
                <w:rFonts w:hint="default"/>
                <w:i/>
              </w:rPr>
              <w:t>lnych vplyvov.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994C53" w:rsidP="0005480A">
            <w:pPr>
              <w:bidi w:val="0"/>
              <w:rPr>
                <w:i/>
                <w:sz w:val="20"/>
                <w:szCs w:val="20"/>
              </w:rPr>
            </w:pPr>
            <w:r w:rsidRPr="00994C53">
              <w:rPr>
                <w:rFonts w:hint="default"/>
                <w:i/>
                <w:sz w:val="20"/>
                <w:szCs w:val="20"/>
              </w:rPr>
              <w:t>Uľ</w:t>
            </w:r>
            <w:r w:rsidRPr="00994C53">
              <w:rPr>
                <w:rFonts w:hint="default"/>
                <w:i/>
                <w:sz w:val="20"/>
                <w:szCs w:val="20"/>
              </w:rPr>
              <w:t>ahč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uje </w:t>
            </w:r>
            <w:r w:rsidRPr="008375B9">
              <w:rPr>
                <w:rFonts w:hint="default"/>
                <w:i/>
                <w:sz w:val="20"/>
                <w:szCs w:val="20"/>
              </w:rPr>
              <w:t>ná</w:t>
            </w:r>
            <w:r w:rsidRPr="008375B9">
              <w:rPr>
                <w:rFonts w:hint="default"/>
                <w:i/>
                <w:sz w:val="20"/>
                <w:szCs w:val="20"/>
              </w:rPr>
              <w:t>vrh vznik nový</w:t>
            </w:r>
            <w:r w:rsidRPr="008375B9">
              <w:rPr>
                <w:rFonts w:hint="default"/>
                <w:i/>
                <w:sz w:val="20"/>
                <w:szCs w:val="20"/>
              </w:rPr>
              <w:t>ch pracovný</w:t>
            </w:r>
            <w:r w:rsidRPr="008375B9">
              <w:rPr>
                <w:rFonts w:hint="default"/>
                <w:i/>
                <w:sz w:val="20"/>
                <w:szCs w:val="20"/>
              </w:rPr>
              <w:t>ch miest? Ak á</w:t>
            </w:r>
            <w:r w:rsidRPr="008375B9">
              <w:rPr>
                <w:rFonts w:hint="default"/>
                <w:i/>
                <w:sz w:val="20"/>
                <w:szCs w:val="20"/>
              </w:rPr>
              <w:t>no, ako? Ak je to mož</w:t>
            </w:r>
            <w:r w:rsidRPr="008375B9">
              <w:rPr>
                <w:rFonts w:hint="default"/>
                <w:i/>
                <w:sz w:val="20"/>
                <w:szCs w:val="20"/>
              </w:rPr>
              <w:t>né</w:t>
            </w:r>
            <w:r w:rsidRPr="008375B9">
              <w:rPr>
                <w:rFonts w:hint="default"/>
                <w:i/>
                <w:sz w:val="20"/>
                <w:szCs w:val="20"/>
              </w:rPr>
              <w:t>, doplň</w:t>
            </w:r>
            <w:r w:rsidRPr="008375B9">
              <w:rPr>
                <w:rFonts w:hint="default"/>
                <w:i/>
                <w:sz w:val="20"/>
                <w:szCs w:val="20"/>
              </w:rPr>
              <w:t>te kvantifiká</w:t>
            </w:r>
            <w:r w:rsidRPr="008375B9">
              <w:rPr>
                <w:rFonts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RPr="00994C53" w:rsidP="0005480A">
            <w:pPr>
              <w:bidi w:val="0"/>
              <w:rPr>
                <w:rFonts w:hint="default"/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v </w:t>
            </w:r>
            <w:r w:rsidRPr="008375B9">
              <w:rPr>
                <w:rFonts w:hint="default"/>
                <w:i/>
                <w:sz w:val="18"/>
                <w:szCs w:val="18"/>
              </w:rPr>
              <w:t>ktorý</w:t>
            </w:r>
            <w:r w:rsidRPr="008375B9">
              <w:rPr>
                <w:rFonts w:hint="default"/>
                <w:i/>
                <w:sz w:val="18"/>
                <w:szCs w:val="18"/>
              </w:rPr>
              <w:t>ch sektoroch a odvetviach ekonomiky, v ktorý</w:t>
            </w:r>
            <w:r w:rsidRPr="008375B9">
              <w:rPr>
                <w:rFonts w:hint="default"/>
                <w:i/>
                <w:sz w:val="18"/>
                <w:szCs w:val="18"/>
              </w:rPr>
              <w:t>ch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regió</w:t>
            </w:r>
            <w:r w:rsidRPr="00994C53">
              <w:rPr>
                <w:rFonts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hint="default"/>
                <w:i/>
                <w:sz w:val="18"/>
                <w:szCs w:val="18"/>
              </w:rPr>
              <w:t>o aké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hint="default"/>
                <w:i/>
                <w:sz w:val="18"/>
                <w:szCs w:val="18"/>
              </w:rPr>
              <w:t>ch ú</w:t>
            </w:r>
            <w:r w:rsidRPr="00994C53">
              <w:rPr>
                <w:rFonts w:hint="default"/>
                <w:i/>
                <w:sz w:val="18"/>
                <w:szCs w:val="18"/>
              </w:rPr>
              <w:t>vä</w:t>
            </w:r>
            <w:r w:rsidRPr="00994C53">
              <w:rPr>
                <w:rFonts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62488" w:rsidP="0005480A">
            <w:pPr>
              <w:bidi w:val="0"/>
              <w:contextualSpacing/>
              <w:jc w:val="both"/>
              <w:rPr>
                <w:sz w:val="20"/>
              </w:rPr>
            </w:pPr>
          </w:p>
          <w:p w:rsidR="00423A85" w:rsidRPr="00737268" w:rsidP="0005480A">
            <w:pPr>
              <w:bidi w:val="0"/>
              <w:contextualSpacing/>
              <w:jc w:val="both"/>
              <w:rPr>
                <w:sz w:val="20"/>
                <w:szCs w:val="18"/>
                <w:highlight w:val="yellow"/>
              </w:rPr>
            </w:pPr>
            <w:r w:rsidRPr="00FA7507" w:rsidR="00FA7507"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994C53" w:rsidP="0005480A">
            <w:pPr>
              <w:bidi w:val="0"/>
              <w:rPr>
                <w:rFonts w:hint="default"/>
                <w:i/>
                <w:sz w:val="20"/>
                <w:szCs w:val="20"/>
              </w:rPr>
            </w:pPr>
            <w:r w:rsidRPr="00994C53">
              <w:rPr>
                <w:rFonts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vrh k </w:t>
            </w:r>
            <w:r w:rsidRPr="008375B9">
              <w:rPr>
                <w:rFonts w:hint="default"/>
                <w:i/>
                <w:sz w:val="20"/>
                <w:szCs w:val="20"/>
              </w:rPr>
              <w:t>zá</w:t>
            </w:r>
            <w:r w:rsidRPr="008375B9">
              <w:rPr>
                <w:rFonts w:hint="default"/>
                <w:i/>
                <w:sz w:val="20"/>
                <w:szCs w:val="20"/>
              </w:rPr>
              <w:t>niku pracovný</w:t>
            </w:r>
            <w:r w:rsidRPr="008375B9">
              <w:rPr>
                <w:rFonts w:hint="default"/>
                <w:i/>
                <w:sz w:val="20"/>
                <w:szCs w:val="20"/>
              </w:rPr>
              <w:t>ch miest?</w:t>
            </w:r>
            <w:r w:rsidRPr="008375B9">
              <w:rPr>
                <w:sz w:val="20"/>
                <w:szCs w:val="20"/>
              </w:rPr>
              <w:t xml:space="preserve"> </w:t>
            </w:r>
            <w:r w:rsidRPr="008375B9">
              <w:rPr>
                <w:rFonts w:hint="default"/>
                <w:i/>
                <w:sz w:val="20"/>
                <w:szCs w:val="20"/>
              </w:rPr>
              <w:t>Ak á</w:t>
            </w:r>
            <w:r w:rsidRPr="008375B9">
              <w:rPr>
                <w:rFonts w:hint="default"/>
                <w:i/>
                <w:sz w:val="20"/>
                <w:szCs w:val="20"/>
              </w:rPr>
              <w:t>n</w:t>
            </w:r>
            <w:r w:rsidRPr="00994C53">
              <w:rPr>
                <w:i/>
                <w:sz w:val="20"/>
                <w:szCs w:val="20"/>
              </w:rPr>
              <w:t>o, ako a </w:t>
            </w:r>
            <w:r w:rsidRPr="00994C53">
              <w:rPr>
                <w:rFonts w:hint="default"/>
                <w:i/>
                <w:sz w:val="20"/>
                <w:szCs w:val="20"/>
              </w:rPr>
              <w:t>aký</w:t>
            </w:r>
            <w:r w:rsidRPr="00994C53">
              <w:rPr>
                <w:rFonts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hint="default"/>
                <w:i/>
                <w:sz w:val="20"/>
                <w:szCs w:val="20"/>
              </w:rPr>
              <w:t>né</w:t>
            </w:r>
            <w:r w:rsidRPr="00994C53">
              <w:rPr>
                <w:rFonts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RPr="00994C53" w:rsidP="0005480A">
            <w:pPr>
              <w:bidi w:val="0"/>
              <w:rPr>
                <w:rFonts w:hint="default"/>
                <w:i/>
                <w:sz w:val="18"/>
                <w:szCs w:val="18"/>
              </w:rPr>
            </w:pPr>
            <w:r w:rsidRPr="00994C53">
              <w:rPr>
                <w:rFonts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hint="default"/>
                <w:i/>
                <w:sz w:val="18"/>
                <w:szCs w:val="18"/>
              </w:rPr>
              <w:t>ch ú</w:t>
            </w:r>
            <w:r w:rsidRPr="00994C53">
              <w:rPr>
                <w:rFonts w:hint="default"/>
                <w:i/>
                <w:sz w:val="18"/>
                <w:szCs w:val="18"/>
              </w:rPr>
              <w:t>vä</w:t>
            </w:r>
            <w:r w:rsidRPr="00994C53">
              <w:rPr>
                <w:rFonts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hint="default"/>
                <w:i/>
                <w:sz w:val="18"/>
                <w:szCs w:val="18"/>
              </w:rPr>
              <w:t>né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hint="default"/>
                <w:i/>
                <w:sz w:val="18"/>
                <w:szCs w:val="18"/>
              </w:rPr>
              <w:t>sledky, skupin</w:t>
            </w:r>
            <w:r w:rsidRPr="00994C53">
              <w:rPr>
                <w:rFonts w:hint="default"/>
                <w:i/>
                <w:sz w:val="18"/>
                <w:szCs w:val="18"/>
              </w:rPr>
              <w:t>y zamestnancov, ktoré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P="0005480A">
            <w:pPr>
              <w:bidi w:val="0"/>
              <w:rPr>
                <w:sz w:val="20"/>
                <w:szCs w:val="18"/>
              </w:rPr>
            </w:pPr>
          </w:p>
          <w:p w:rsidR="00E62488" w:rsidP="0005480A">
            <w:pPr>
              <w:bidi w:val="0"/>
              <w:rPr>
                <w:sz w:val="20"/>
              </w:rPr>
            </w:pPr>
          </w:p>
          <w:p w:rsidR="00423A85" w:rsidRPr="00A30F1C" w:rsidP="0005480A">
            <w:pPr>
              <w:bidi w:val="0"/>
              <w:rPr>
                <w:sz w:val="20"/>
                <w:szCs w:val="18"/>
              </w:rPr>
            </w:pPr>
            <w:r w:rsidRPr="00FA7507" w:rsidR="00FA7507"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994C53" w:rsidP="0005480A">
            <w:pPr>
              <w:bidi w:val="0"/>
              <w:jc w:val="both"/>
              <w:rPr>
                <w:sz w:val="20"/>
                <w:szCs w:val="20"/>
              </w:rPr>
            </w:pPr>
            <w:r w:rsidRPr="00994C53">
              <w:rPr>
                <w:rFonts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hint="default"/>
                <w:i/>
                <w:sz w:val="20"/>
                <w:szCs w:val="20"/>
              </w:rPr>
              <w:t>uje ná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vrh </w:t>
            </w:r>
            <w:r w:rsidRPr="008375B9">
              <w:rPr>
                <w:rFonts w:hint="default"/>
                <w:i/>
                <w:sz w:val="20"/>
                <w:szCs w:val="20"/>
              </w:rPr>
              <w:t>dopyt po prá</w:t>
            </w:r>
            <w:r w:rsidRPr="008375B9">
              <w:rPr>
                <w:rFonts w:hint="default"/>
                <w:i/>
                <w:sz w:val="20"/>
                <w:szCs w:val="20"/>
              </w:rPr>
              <w:t>ci?</w:t>
            </w:r>
            <w:r w:rsidRPr="008375B9">
              <w:rPr>
                <w:sz w:val="20"/>
                <w:szCs w:val="20"/>
              </w:rPr>
              <w:t xml:space="preserve"> </w:t>
            </w:r>
            <w:r w:rsidRPr="008375B9">
              <w:rPr>
                <w:rFonts w:hint="default"/>
                <w:i/>
                <w:sz w:val="20"/>
                <w:szCs w:val="20"/>
              </w:rPr>
              <w:t>Ak á</w:t>
            </w:r>
            <w:r w:rsidRPr="008375B9">
              <w:rPr>
                <w:rFonts w:hint="default"/>
                <w:i/>
                <w:sz w:val="20"/>
                <w:szCs w:val="20"/>
              </w:rPr>
              <w:t>no, ako</w:t>
            </w:r>
            <w:r w:rsidRPr="00994C53">
              <w:rPr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RPr="00994C53" w:rsidP="0005480A">
            <w:pPr>
              <w:bidi w:val="0"/>
              <w:rPr>
                <w:rFonts w:hint="default"/>
                <w:i/>
                <w:sz w:val="18"/>
                <w:szCs w:val="18"/>
              </w:rPr>
            </w:pPr>
            <w:r w:rsidRPr="00994C53">
              <w:rPr>
                <w:rFonts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hint="default"/>
                <w:i/>
                <w:sz w:val="18"/>
                <w:szCs w:val="18"/>
              </w:rPr>
              <w:t>ci zá</w:t>
            </w:r>
            <w:r w:rsidRPr="00994C53">
              <w:rPr>
                <w:rFonts w:hint="default"/>
                <w:i/>
                <w:sz w:val="18"/>
                <w:szCs w:val="18"/>
              </w:rPr>
              <w:t>visí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RPr="00A30F1C" w:rsidP="0005480A">
            <w:pPr>
              <w:bidi w:val="0"/>
              <w:jc w:val="both"/>
              <w:rPr>
                <w:sz w:val="20"/>
                <w:szCs w:val="18"/>
              </w:rPr>
            </w:pPr>
            <w:r w:rsidRPr="00FA7507" w:rsidR="00FA7507"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994C53" w:rsidP="0005480A">
            <w:pPr>
              <w:bidi w:val="0"/>
              <w:rPr>
                <w:sz w:val="20"/>
                <w:szCs w:val="20"/>
              </w:rPr>
            </w:pPr>
            <w:r w:rsidRPr="00994C53">
              <w:rPr>
                <w:rFonts w:hint="default"/>
                <w:i/>
                <w:sz w:val="20"/>
                <w:szCs w:val="20"/>
              </w:rPr>
              <w:t>Má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vrh dosah </w:t>
            </w:r>
            <w:r w:rsidRPr="008375B9">
              <w:rPr>
                <w:rFonts w:hint="default"/>
                <w:i/>
                <w:sz w:val="20"/>
                <w:szCs w:val="20"/>
              </w:rPr>
              <w:t>na fungovanie trhu prá</w:t>
            </w:r>
            <w:r w:rsidRPr="008375B9">
              <w:rPr>
                <w:rFonts w:hint="default"/>
                <w:i/>
                <w:sz w:val="20"/>
                <w:szCs w:val="20"/>
              </w:rPr>
              <w:t>ce?</w:t>
            </w:r>
            <w:r w:rsidRPr="008375B9">
              <w:rPr>
                <w:sz w:val="20"/>
                <w:szCs w:val="20"/>
              </w:rPr>
              <w:t xml:space="preserve"> </w:t>
            </w:r>
            <w:r w:rsidRPr="008375B9">
              <w:rPr>
                <w:rFonts w:hint="default"/>
                <w:i/>
                <w:sz w:val="20"/>
                <w:szCs w:val="20"/>
              </w:rPr>
              <w:t>Ak á</w:t>
            </w:r>
            <w:r w:rsidRPr="008375B9">
              <w:rPr>
                <w:rFonts w:hint="default"/>
                <w:i/>
                <w:sz w:val="20"/>
                <w:szCs w:val="20"/>
              </w:rPr>
              <w:t>no</w:t>
            </w:r>
            <w:r w:rsidRPr="00994C53">
              <w:rPr>
                <w:rFonts w:hint="default"/>
                <w:i/>
                <w:sz w:val="20"/>
                <w:szCs w:val="20"/>
              </w:rPr>
              <w:t>, aký</w:t>
            </w:r>
            <w:r w:rsidRPr="00994C53">
              <w:rPr>
                <w:rFonts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RPr="00994C53" w:rsidP="0005480A">
            <w:pPr>
              <w:bidi w:val="0"/>
              <w:rPr>
                <w:rFonts w:hint="default"/>
                <w:i/>
                <w:sz w:val="18"/>
                <w:szCs w:val="18"/>
              </w:rPr>
            </w:pPr>
            <w:r w:rsidRPr="00994C53">
              <w:rPr>
                <w:rFonts w:hint="default"/>
                <w:i/>
                <w:sz w:val="18"/>
                <w:szCs w:val="18"/>
              </w:rPr>
              <w:t>Tý</w:t>
            </w:r>
            <w:r w:rsidRPr="00994C53">
              <w:rPr>
                <w:rFonts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hint="default"/>
                <w:i/>
                <w:sz w:val="18"/>
                <w:szCs w:val="18"/>
              </w:rPr>
              <w:t>ch dosahov ako je napr. participá</w:t>
            </w:r>
            <w:r w:rsidRPr="00994C53">
              <w:rPr>
                <w:rFonts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sz w:val="18"/>
                <w:szCs w:val="18"/>
              </w:rPr>
              <w:t xml:space="preserve"> </w:t>
            </w:r>
            <w:r w:rsidRPr="00994C53">
              <w:rPr>
                <w:rFonts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hint="default"/>
                <w:i/>
                <w:sz w:val="18"/>
                <w:szCs w:val="18"/>
              </w:rPr>
              <w:t>e byť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hint="default"/>
                <w:i/>
                <w:sz w:val="18"/>
                <w:szCs w:val="18"/>
              </w:rPr>
              <w:t>ro</w:t>
            </w:r>
            <w:r w:rsidRPr="00994C53">
              <w:rPr>
                <w:rFonts w:hint="default"/>
                <w:i/>
                <w:sz w:val="18"/>
                <w:szCs w:val="18"/>
              </w:rPr>
              <w:t>vň</w:t>
            </w:r>
            <w:r w:rsidRPr="00994C53">
              <w:rPr>
                <w:rFonts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hint="default"/>
                <w:i/>
                <w:sz w:val="18"/>
                <w:szCs w:val="18"/>
              </w:rPr>
              <w:t>kromné</w:t>
            </w:r>
            <w:r w:rsidRPr="00994C53">
              <w:rPr>
                <w:rFonts w:hint="default"/>
                <w:i/>
                <w:sz w:val="18"/>
                <w:szCs w:val="18"/>
              </w:rPr>
              <w:t>ho ž</w:t>
            </w:r>
            <w:r w:rsidRPr="00994C53">
              <w:rPr>
                <w:rFonts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hint="default"/>
                <w:i/>
                <w:sz w:val="18"/>
                <w:szCs w:val="18"/>
              </w:rPr>
              <w:t>ahč</w:t>
            </w:r>
            <w:r w:rsidRPr="00994C53">
              <w:rPr>
                <w:rFonts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62488" w:rsidP="0005480A">
            <w:pPr>
              <w:bidi w:val="0"/>
              <w:jc w:val="both"/>
              <w:rPr>
                <w:sz w:val="20"/>
              </w:rPr>
            </w:pPr>
          </w:p>
          <w:p w:rsidR="00E62488" w:rsidP="0005480A">
            <w:pPr>
              <w:bidi w:val="0"/>
              <w:jc w:val="both"/>
              <w:rPr>
                <w:sz w:val="20"/>
              </w:rPr>
            </w:pPr>
          </w:p>
          <w:p w:rsidR="00423A85" w:rsidRPr="00A30F1C" w:rsidP="0005480A">
            <w:pPr>
              <w:bidi w:val="0"/>
              <w:jc w:val="both"/>
              <w:rPr>
                <w:sz w:val="20"/>
                <w:szCs w:val="18"/>
              </w:rPr>
            </w:pPr>
            <w:r w:rsidRPr="00FA7507" w:rsidR="00FA7507"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994C53" w:rsidP="0005480A">
            <w:pPr>
              <w:bidi w:val="0"/>
              <w:rPr>
                <w:sz w:val="20"/>
                <w:szCs w:val="20"/>
              </w:rPr>
            </w:pPr>
            <w:r w:rsidRPr="00994C53">
              <w:rPr>
                <w:rFonts w:hint="default"/>
                <w:i/>
                <w:sz w:val="20"/>
                <w:szCs w:val="20"/>
              </w:rPr>
              <w:t>Má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vrh </w:t>
            </w:r>
            <w:r w:rsidRPr="008375B9">
              <w:rPr>
                <w:rFonts w:hint="default"/>
                <w:i/>
                <w:sz w:val="20"/>
                <w:szCs w:val="20"/>
              </w:rPr>
              <w:t>š</w:t>
            </w:r>
            <w:r w:rsidRPr="008375B9">
              <w:rPr>
                <w:rFonts w:hint="default"/>
                <w:i/>
                <w:sz w:val="20"/>
                <w:szCs w:val="20"/>
              </w:rPr>
              <w:t>pecifické</w:t>
            </w:r>
            <w:r w:rsidRPr="008375B9">
              <w:rPr>
                <w:rFonts w:hint="default"/>
                <w:i/>
                <w:sz w:val="20"/>
                <w:szCs w:val="20"/>
              </w:rPr>
              <w:t xml:space="preserve"> negatí</w:t>
            </w:r>
            <w:r w:rsidRPr="008375B9">
              <w:rPr>
                <w:rFonts w:hint="default"/>
                <w:i/>
                <w:sz w:val="20"/>
                <w:szCs w:val="20"/>
              </w:rPr>
              <w:t>vne dô</w:t>
            </w:r>
            <w:r w:rsidRPr="008375B9">
              <w:rPr>
                <w:rFonts w:hint="default"/>
                <w:i/>
                <w:sz w:val="20"/>
                <w:szCs w:val="20"/>
              </w:rPr>
              <w:t>sledky pre isté</w:t>
            </w:r>
            <w:r w:rsidRPr="008375B9">
              <w:rPr>
                <w:rFonts w:hint="default"/>
                <w:i/>
                <w:sz w:val="20"/>
                <w:szCs w:val="20"/>
              </w:rPr>
              <w:t xml:space="preserve"> skupiny profesií</w:t>
            </w:r>
            <w:r w:rsidRPr="008375B9">
              <w:rPr>
                <w:rFonts w:hint="default"/>
                <w:i/>
                <w:sz w:val="20"/>
                <w:szCs w:val="20"/>
              </w:rPr>
              <w:t>, skupí</w:t>
            </w:r>
            <w:r w:rsidRPr="008375B9">
              <w:rPr>
                <w:rFonts w:hint="default"/>
                <w:i/>
                <w:sz w:val="20"/>
                <w:szCs w:val="20"/>
              </w:rPr>
              <w:t>n zamestnancov č</w:t>
            </w:r>
            <w:r w:rsidRPr="008375B9">
              <w:rPr>
                <w:rFonts w:hint="default"/>
                <w:i/>
                <w:sz w:val="20"/>
                <w:szCs w:val="20"/>
              </w:rPr>
              <w:t>i ž</w:t>
            </w:r>
            <w:r w:rsidRPr="008375B9">
              <w:rPr>
                <w:rFonts w:hint="default"/>
                <w:i/>
                <w:sz w:val="20"/>
                <w:szCs w:val="20"/>
              </w:rPr>
              <w:t>ivnostní</w:t>
            </w:r>
            <w:r w:rsidRPr="008375B9">
              <w:rPr>
                <w:rFonts w:hint="default"/>
                <w:i/>
                <w:sz w:val="20"/>
                <w:szCs w:val="20"/>
              </w:rPr>
              <w:t>kov?</w:t>
            </w:r>
            <w:r w:rsidRPr="008375B9">
              <w:rPr>
                <w:sz w:val="20"/>
                <w:szCs w:val="20"/>
              </w:rPr>
              <w:t xml:space="preserve"> </w:t>
            </w:r>
            <w:r w:rsidRPr="008375B9">
              <w:rPr>
                <w:i/>
                <w:sz w:val="20"/>
                <w:szCs w:val="20"/>
              </w:rPr>
              <w:t xml:space="preserve">Ak </w:t>
            </w:r>
            <w:r w:rsidRPr="008375B9">
              <w:rPr>
                <w:rFonts w:hint="default"/>
                <w:i/>
                <w:sz w:val="20"/>
                <w:szCs w:val="20"/>
              </w:rPr>
              <w:t>á</w:t>
            </w:r>
            <w:r w:rsidRPr="008375B9">
              <w:rPr>
                <w:rFonts w:hint="default"/>
                <w:i/>
                <w:sz w:val="20"/>
                <w:szCs w:val="20"/>
              </w:rPr>
              <w:t>no, aké</w:t>
            </w:r>
            <w:r w:rsidRPr="008375B9">
              <w:rPr>
                <w:rFonts w:hint="default"/>
                <w:i/>
                <w:sz w:val="20"/>
                <w:szCs w:val="20"/>
              </w:rPr>
              <w:t xml:space="preserve"> a </w:t>
            </w:r>
            <w:r w:rsidRPr="008375B9">
              <w:rPr>
                <w:rFonts w:hint="default"/>
                <w:i/>
                <w:sz w:val="20"/>
                <w:szCs w:val="20"/>
              </w:rPr>
              <w:t>pre ktoré</w:t>
            </w:r>
            <w:r w:rsidRPr="008375B9">
              <w:rPr>
                <w:rFonts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RPr="00994C53" w:rsidP="0005480A">
            <w:pPr>
              <w:bidi w:val="0"/>
              <w:rPr>
                <w:rFonts w:hint="default"/>
                <w:i/>
                <w:sz w:val="18"/>
                <w:szCs w:val="18"/>
              </w:rPr>
            </w:pPr>
            <w:r w:rsidRPr="00994C53">
              <w:rPr>
                <w:rFonts w:hint="default"/>
                <w:i/>
                <w:sz w:val="18"/>
                <w:szCs w:val="18"/>
              </w:rPr>
              <w:t>Ná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vrh </w:t>
            </w:r>
            <w:r w:rsidRPr="008375B9">
              <w:rPr>
                <w:rFonts w:hint="default"/>
                <w:i/>
                <w:sz w:val="18"/>
                <w:szCs w:val="18"/>
              </w:rPr>
              <w:t>môž</w:t>
            </w:r>
            <w:r w:rsidRPr="008375B9">
              <w:rPr>
                <w:rFonts w:hint="default"/>
                <w:i/>
                <w:sz w:val="18"/>
                <w:szCs w:val="18"/>
              </w:rPr>
              <w:t>e ohrozovať</w:t>
            </w:r>
            <w:r w:rsidRPr="008375B9">
              <w:rPr>
                <w:rFonts w:hint="default"/>
                <w:i/>
                <w:sz w:val="18"/>
                <w:szCs w:val="18"/>
              </w:rPr>
              <w:t xml:space="preserve"> napr</w:t>
            </w:r>
            <w:r w:rsidRPr="00994C53">
              <w:rPr>
                <w:rFonts w:hint="default"/>
                <w:i/>
                <w:sz w:val="18"/>
                <w:szCs w:val="18"/>
              </w:rPr>
              <w:t>. pracovní</w:t>
            </w:r>
            <w:r w:rsidRPr="00994C53">
              <w:rPr>
                <w:rFonts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hint="default"/>
                <w:i/>
                <w:sz w:val="18"/>
                <w:szCs w:val="18"/>
              </w:rPr>
              <w:t>m š</w:t>
            </w:r>
            <w:r w:rsidRPr="00994C53">
              <w:rPr>
                <w:rFonts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hint="default"/>
                <w:i/>
                <w:sz w:val="18"/>
                <w:szCs w:val="18"/>
              </w:rPr>
              <w:t>t č</w:t>
            </w:r>
            <w:r w:rsidRPr="00994C53">
              <w:rPr>
                <w:rFonts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RPr="001B1239" w:rsidP="0005480A">
            <w:pPr>
              <w:bidi w:val="0"/>
              <w:jc w:val="both"/>
              <w:rPr>
                <w:sz w:val="20"/>
                <w:szCs w:val="18"/>
              </w:rPr>
            </w:pPr>
            <w:r w:rsidRPr="00FA7507" w:rsidR="00FA7507">
              <w:t>Bez vplyvu.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423A85" w:rsidRPr="00994C53" w:rsidP="0005480A">
            <w:pPr>
              <w:bidi w:val="0"/>
              <w:rPr>
                <w:sz w:val="20"/>
                <w:szCs w:val="20"/>
              </w:rPr>
            </w:pPr>
            <w:r w:rsidRPr="00994C53">
              <w:rPr>
                <w:rFonts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hint="default"/>
                <w:i/>
                <w:sz w:val="20"/>
                <w:szCs w:val="20"/>
              </w:rPr>
              <w:t>uje ná</w:t>
            </w:r>
            <w:r w:rsidRPr="00994C53">
              <w:rPr>
                <w:rFonts w:hint="default"/>
                <w:i/>
                <w:sz w:val="20"/>
                <w:szCs w:val="20"/>
              </w:rPr>
              <w:t>vrh š</w:t>
            </w:r>
            <w:r w:rsidRPr="00994C53">
              <w:rPr>
                <w:rFonts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hint="default"/>
                <w:i/>
                <w:sz w:val="20"/>
                <w:szCs w:val="20"/>
              </w:rPr>
              <w:t>? Aký</w:t>
            </w:r>
            <w:r w:rsidRPr="00994C53">
              <w:rPr>
                <w:rFonts w:hint="default"/>
                <w:i/>
                <w:sz w:val="20"/>
                <w:szCs w:val="20"/>
              </w:rPr>
              <w:t>m spô</w:t>
            </w:r>
            <w:r w:rsidRPr="00994C53">
              <w:rPr>
                <w:rFonts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RPr="00994C53" w:rsidP="0005480A">
            <w:pPr>
              <w:bidi w:val="0"/>
              <w:rPr>
                <w:rFonts w:hint="default"/>
                <w:i/>
                <w:sz w:val="18"/>
                <w:szCs w:val="18"/>
              </w:rPr>
            </w:pPr>
            <w:r w:rsidRPr="00994C53">
              <w:rPr>
                <w:rFonts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hint="default"/>
                <w:i/>
                <w:sz w:val="18"/>
                <w:szCs w:val="18"/>
              </w:rPr>
              <w:t>i ná</w:t>
            </w:r>
            <w:r w:rsidRPr="00994C53">
              <w:rPr>
                <w:rFonts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rozhodnutia zamestnancov alebo zamestná</w:t>
            </w:r>
            <w:r w:rsidRPr="00994C53">
              <w:rPr>
                <w:rFonts w:hint="default"/>
                <w:i/>
                <w:sz w:val="18"/>
                <w:szCs w:val="18"/>
              </w:rPr>
              <w:t>vateľ</w:t>
            </w:r>
            <w:r w:rsidRPr="00994C53">
              <w:rPr>
                <w:rFonts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hint="default"/>
                <w:i/>
                <w:sz w:val="18"/>
                <w:szCs w:val="18"/>
              </w:rPr>
              <w:t>e byť</w:t>
            </w:r>
            <w:r w:rsidRPr="00994C53">
              <w:rPr>
                <w:rFonts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hint="default"/>
                <w:i/>
                <w:sz w:val="18"/>
                <w:szCs w:val="18"/>
              </w:rPr>
              <w:t>asné</w:t>
            </w:r>
            <w:r w:rsidRPr="00994C53">
              <w:rPr>
                <w:rFonts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23A85" w:rsidP="0005480A">
            <w:pPr>
              <w:bidi w:val="0"/>
              <w:jc w:val="both"/>
              <w:rPr>
                <w:sz w:val="20"/>
                <w:szCs w:val="18"/>
                <w:highlight w:val="yellow"/>
              </w:rPr>
            </w:pPr>
          </w:p>
          <w:p w:rsidR="00E62488" w:rsidRPr="00737268" w:rsidP="0005480A">
            <w:pPr>
              <w:bidi w:val="0"/>
              <w:jc w:val="both"/>
              <w:rPr>
                <w:sz w:val="20"/>
                <w:szCs w:val="18"/>
                <w:highlight w:val="yellow"/>
              </w:rPr>
            </w:pPr>
            <w:r w:rsidRPr="00FA7507" w:rsidR="00FA7507">
              <w:t>Bez vplyvu.</w:t>
            </w:r>
          </w:p>
        </w:tc>
      </w:tr>
    </w:tbl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p w:rsidR="00423A85" w:rsidP="00E3363B">
      <w:pPr>
        <w:bidi w:val="0"/>
        <w:rPr>
          <w:b/>
          <w:bCs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MS Gothic">
    <w:altName w:val="MS Mincho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03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0A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5480A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0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236D38">
      <w:rPr>
        <w:noProof/>
      </w:rPr>
      <w:t>8</w:t>
    </w:r>
    <w:r>
      <w:fldChar w:fldCharType="end"/>
    </w:r>
  </w:p>
  <w:p w:rsidR="0005480A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0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5480A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0A" w:rsidP="00E3363B">
    <w:pPr>
      <w:pStyle w:val="Header"/>
      <w:bidi w:val="0"/>
      <w:jc w:val="right"/>
      <w:rPr>
        <w:rFonts w:hint="default"/>
        <w:sz w:val="24"/>
        <w:szCs w:val="24"/>
      </w:rPr>
    </w:pPr>
    <w:r>
      <w:rPr>
        <w:rFonts w:hint="default"/>
        <w:sz w:val="24"/>
        <w:szCs w:val="24"/>
      </w:rPr>
      <w:t>Prí</w:t>
    </w:r>
    <w:r>
      <w:rPr>
        <w:rFonts w:hint="default"/>
        <w:sz w:val="24"/>
        <w:szCs w:val="24"/>
      </w:rPr>
      <w:t>loha č</w:t>
    </w:r>
    <w:r>
      <w:rPr>
        <w:rFonts w:hint="default"/>
        <w:sz w:val="24"/>
        <w:szCs w:val="24"/>
      </w:rPr>
      <w:t>. 2</w:t>
    </w:r>
  </w:p>
  <w:p w:rsidR="0005480A" w:rsidRPr="00EB59C8" w:rsidP="00E3363B">
    <w:pPr>
      <w:pStyle w:val="Header"/>
      <w:bidi w:val="0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0A" w:rsidRPr="0024067A" w:rsidP="00E3363B">
    <w:pPr>
      <w:pStyle w:val="Header"/>
      <w:bidi w:val="0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0A" w:rsidRPr="000A15AE" w:rsidP="00E3363B">
    <w:pPr>
      <w:pStyle w:val="Header"/>
      <w:bidi w:val="0"/>
      <w:jc w:val="right"/>
      <w:rPr>
        <w:sz w:val="24"/>
        <w:szCs w:val="24"/>
      </w:rPr>
    </w:pPr>
    <w:r>
      <w:rPr>
        <w:rFonts w:hint="default"/>
        <w:sz w:val="24"/>
        <w:szCs w:val="24"/>
      </w:rPr>
      <w:t>Prí</w:t>
    </w:r>
    <w:r>
      <w:rPr>
        <w:rFonts w:hint="default"/>
        <w:sz w:val="24"/>
        <w:szCs w:val="24"/>
      </w:rPr>
      <w:t>loha č</w:t>
    </w:r>
    <w:r>
      <w:rPr>
        <w:rFonts w:hint="default"/>
        <w:sz w:val="24"/>
        <w:szCs w:val="24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A5550"/>
    <w:multiLevelType w:val="hybridMultilevel"/>
    <w:tmpl w:val="5EDEC1C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D5491"/>
    <w:multiLevelType w:val="hybridMultilevel"/>
    <w:tmpl w:val="2F54395C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112D7"/>
    <w:multiLevelType w:val="hybridMultilevel"/>
    <w:tmpl w:val="B0844086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3976CBF"/>
    <w:multiLevelType w:val="hybridMultilevel"/>
    <w:tmpl w:val="5A4A229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72238"/>
    <w:multiLevelType w:val="hybridMultilevel"/>
    <w:tmpl w:val="E96202D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416C5"/>
    <w:multiLevelType w:val="hybridMultilevel"/>
    <w:tmpl w:val="770EBB4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compat>
    <w:useFELayout/>
    <w:doNotUseIndentAsNumberingTabStop/>
    <w:allowSpaceOfSameStyleInTable/>
    <w:splitPgBreakAndParaMark/>
    <w:useAnsiKerningPairs/>
  </w:compat>
  <w:rsids>
    <w:rsidRoot w:val="00E3363B"/>
    <w:rsid w:val="00004226"/>
    <w:rsid w:val="00011174"/>
    <w:rsid w:val="000143FF"/>
    <w:rsid w:val="00032A46"/>
    <w:rsid w:val="00044112"/>
    <w:rsid w:val="000506C4"/>
    <w:rsid w:val="0005480A"/>
    <w:rsid w:val="0006482C"/>
    <w:rsid w:val="00084C64"/>
    <w:rsid w:val="00093780"/>
    <w:rsid w:val="000A0ACB"/>
    <w:rsid w:val="000A15AE"/>
    <w:rsid w:val="000A45A1"/>
    <w:rsid w:val="000F2992"/>
    <w:rsid w:val="000F580B"/>
    <w:rsid w:val="0010497B"/>
    <w:rsid w:val="00111F28"/>
    <w:rsid w:val="0015154A"/>
    <w:rsid w:val="00152D8B"/>
    <w:rsid w:val="001544DF"/>
    <w:rsid w:val="00166F3A"/>
    <w:rsid w:val="001729BF"/>
    <w:rsid w:val="00176FA0"/>
    <w:rsid w:val="001810B6"/>
    <w:rsid w:val="00197988"/>
    <w:rsid w:val="001A3BC5"/>
    <w:rsid w:val="001A55F0"/>
    <w:rsid w:val="001B1239"/>
    <w:rsid w:val="001C0E39"/>
    <w:rsid w:val="001C7A6B"/>
    <w:rsid w:val="001D1FC8"/>
    <w:rsid w:val="001E6515"/>
    <w:rsid w:val="001F2C44"/>
    <w:rsid w:val="001F7183"/>
    <w:rsid w:val="002069EC"/>
    <w:rsid w:val="00212894"/>
    <w:rsid w:val="002206A8"/>
    <w:rsid w:val="00232AD7"/>
    <w:rsid w:val="0023339D"/>
    <w:rsid w:val="00236D38"/>
    <w:rsid w:val="00237017"/>
    <w:rsid w:val="0024067A"/>
    <w:rsid w:val="0024258C"/>
    <w:rsid w:val="00256042"/>
    <w:rsid w:val="0026425D"/>
    <w:rsid w:val="002661E0"/>
    <w:rsid w:val="00274748"/>
    <w:rsid w:val="00290D46"/>
    <w:rsid w:val="00294257"/>
    <w:rsid w:val="00297012"/>
    <w:rsid w:val="002A4CFF"/>
    <w:rsid w:val="002A7E22"/>
    <w:rsid w:val="002B0975"/>
    <w:rsid w:val="002C0EA7"/>
    <w:rsid w:val="002D4823"/>
    <w:rsid w:val="002E32C0"/>
    <w:rsid w:val="002E4091"/>
    <w:rsid w:val="002F6484"/>
    <w:rsid w:val="002F6BCD"/>
    <w:rsid w:val="002F6FA8"/>
    <w:rsid w:val="00307925"/>
    <w:rsid w:val="00314FC2"/>
    <w:rsid w:val="00337CF7"/>
    <w:rsid w:val="00342C1B"/>
    <w:rsid w:val="00352AF6"/>
    <w:rsid w:val="0035711F"/>
    <w:rsid w:val="00366AF6"/>
    <w:rsid w:val="00377BCA"/>
    <w:rsid w:val="00384331"/>
    <w:rsid w:val="00387479"/>
    <w:rsid w:val="003B78B5"/>
    <w:rsid w:val="003C57E5"/>
    <w:rsid w:val="003D2539"/>
    <w:rsid w:val="003E621A"/>
    <w:rsid w:val="003F10CA"/>
    <w:rsid w:val="00404706"/>
    <w:rsid w:val="0040544D"/>
    <w:rsid w:val="00415876"/>
    <w:rsid w:val="00423A85"/>
    <w:rsid w:val="00433FDF"/>
    <w:rsid w:val="00440CC5"/>
    <w:rsid w:val="0044128D"/>
    <w:rsid w:val="004510C1"/>
    <w:rsid w:val="0045223C"/>
    <w:rsid w:val="00454A80"/>
    <w:rsid w:val="004610DF"/>
    <w:rsid w:val="00490DE8"/>
    <w:rsid w:val="004A224C"/>
    <w:rsid w:val="004A2FED"/>
    <w:rsid w:val="004A3975"/>
    <w:rsid w:val="004B4C6F"/>
    <w:rsid w:val="004B520D"/>
    <w:rsid w:val="004C4059"/>
    <w:rsid w:val="004C427E"/>
    <w:rsid w:val="004D5DB7"/>
    <w:rsid w:val="004E1D1D"/>
    <w:rsid w:val="004F1CBE"/>
    <w:rsid w:val="005040A7"/>
    <w:rsid w:val="0051734B"/>
    <w:rsid w:val="0052166F"/>
    <w:rsid w:val="00527915"/>
    <w:rsid w:val="005353FD"/>
    <w:rsid w:val="00550700"/>
    <w:rsid w:val="00557E51"/>
    <w:rsid w:val="005603E1"/>
    <w:rsid w:val="00560844"/>
    <w:rsid w:val="00561DBE"/>
    <w:rsid w:val="0057333E"/>
    <w:rsid w:val="00574998"/>
    <w:rsid w:val="005A5FCF"/>
    <w:rsid w:val="005B53AA"/>
    <w:rsid w:val="005B5A3C"/>
    <w:rsid w:val="005B743F"/>
    <w:rsid w:val="005C059A"/>
    <w:rsid w:val="005C24BE"/>
    <w:rsid w:val="005C4B9C"/>
    <w:rsid w:val="005D0EAF"/>
    <w:rsid w:val="005D6238"/>
    <w:rsid w:val="005E2BB4"/>
    <w:rsid w:val="005F0008"/>
    <w:rsid w:val="005F5AEC"/>
    <w:rsid w:val="00605C42"/>
    <w:rsid w:val="00635CC1"/>
    <w:rsid w:val="00664042"/>
    <w:rsid w:val="00665915"/>
    <w:rsid w:val="00673ECE"/>
    <w:rsid w:val="0067782E"/>
    <w:rsid w:val="006B416C"/>
    <w:rsid w:val="006C0B3B"/>
    <w:rsid w:val="006C1DF7"/>
    <w:rsid w:val="006C52CD"/>
    <w:rsid w:val="006D5141"/>
    <w:rsid w:val="006E6399"/>
    <w:rsid w:val="006E7018"/>
    <w:rsid w:val="006F556A"/>
    <w:rsid w:val="007074CA"/>
    <w:rsid w:val="00737268"/>
    <w:rsid w:val="00737ECC"/>
    <w:rsid w:val="007542C7"/>
    <w:rsid w:val="00760C0F"/>
    <w:rsid w:val="00765578"/>
    <w:rsid w:val="00765C24"/>
    <w:rsid w:val="00770DD8"/>
    <w:rsid w:val="00786F74"/>
    <w:rsid w:val="007A0B72"/>
    <w:rsid w:val="007B20C6"/>
    <w:rsid w:val="007B59CB"/>
    <w:rsid w:val="007C0B66"/>
    <w:rsid w:val="007C277D"/>
    <w:rsid w:val="007C4720"/>
    <w:rsid w:val="007D1264"/>
    <w:rsid w:val="007D30D8"/>
    <w:rsid w:val="007D5748"/>
    <w:rsid w:val="007D7DCF"/>
    <w:rsid w:val="007E1A6D"/>
    <w:rsid w:val="007E3DE4"/>
    <w:rsid w:val="007F1A29"/>
    <w:rsid w:val="007F7A4D"/>
    <w:rsid w:val="007F7C83"/>
    <w:rsid w:val="0080670F"/>
    <w:rsid w:val="008123A1"/>
    <w:rsid w:val="00824F0C"/>
    <w:rsid w:val="008364E5"/>
    <w:rsid w:val="008375B9"/>
    <w:rsid w:val="00841CA8"/>
    <w:rsid w:val="00845454"/>
    <w:rsid w:val="008469C3"/>
    <w:rsid w:val="0085046B"/>
    <w:rsid w:val="0086107F"/>
    <w:rsid w:val="00863EC8"/>
    <w:rsid w:val="008708A0"/>
    <w:rsid w:val="0088080A"/>
    <w:rsid w:val="008C5C26"/>
    <w:rsid w:val="008D339D"/>
    <w:rsid w:val="008D3F07"/>
    <w:rsid w:val="008F0D9C"/>
    <w:rsid w:val="0090482D"/>
    <w:rsid w:val="00947D6C"/>
    <w:rsid w:val="009523CC"/>
    <w:rsid w:val="009608F5"/>
    <w:rsid w:val="009727A4"/>
    <w:rsid w:val="00990CD0"/>
    <w:rsid w:val="00994C53"/>
    <w:rsid w:val="00995EE0"/>
    <w:rsid w:val="009E57C5"/>
    <w:rsid w:val="009F3186"/>
    <w:rsid w:val="00A1107C"/>
    <w:rsid w:val="00A30701"/>
    <w:rsid w:val="00A30F1C"/>
    <w:rsid w:val="00A6284E"/>
    <w:rsid w:val="00A642E4"/>
    <w:rsid w:val="00A85E25"/>
    <w:rsid w:val="00A90694"/>
    <w:rsid w:val="00A93C16"/>
    <w:rsid w:val="00A97733"/>
    <w:rsid w:val="00AC7E13"/>
    <w:rsid w:val="00AD1A65"/>
    <w:rsid w:val="00AD2788"/>
    <w:rsid w:val="00AE1C83"/>
    <w:rsid w:val="00AE59EE"/>
    <w:rsid w:val="00AF6957"/>
    <w:rsid w:val="00B07AA5"/>
    <w:rsid w:val="00B15B75"/>
    <w:rsid w:val="00B272E4"/>
    <w:rsid w:val="00B35041"/>
    <w:rsid w:val="00B36689"/>
    <w:rsid w:val="00B41C07"/>
    <w:rsid w:val="00B54DBE"/>
    <w:rsid w:val="00B74C60"/>
    <w:rsid w:val="00B85C10"/>
    <w:rsid w:val="00BA36F6"/>
    <w:rsid w:val="00BA4608"/>
    <w:rsid w:val="00BA524B"/>
    <w:rsid w:val="00BA6726"/>
    <w:rsid w:val="00BB5354"/>
    <w:rsid w:val="00BC060B"/>
    <w:rsid w:val="00BC35AE"/>
    <w:rsid w:val="00BC589B"/>
    <w:rsid w:val="00BD2C14"/>
    <w:rsid w:val="00BF1F0B"/>
    <w:rsid w:val="00C01A6E"/>
    <w:rsid w:val="00C02E98"/>
    <w:rsid w:val="00C07C36"/>
    <w:rsid w:val="00C1548A"/>
    <w:rsid w:val="00C34AB7"/>
    <w:rsid w:val="00C44E16"/>
    <w:rsid w:val="00C469CF"/>
    <w:rsid w:val="00C47B32"/>
    <w:rsid w:val="00C50BE8"/>
    <w:rsid w:val="00C52B95"/>
    <w:rsid w:val="00C61BC5"/>
    <w:rsid w:val="00C67C47"/>
    <w:rsid w:val="00CA447D"/>
    <w:rsid w:val="00CA6BAF"/>
    <w:rsid w:val="00CB4D55"/>
    <w:rsid w:val="00CB7338"/>
    <w:rsid w:val="00CC6670"/>
    <w:rsid w:val="00CD4982"/>
    <w:rsid w:val="00CE20C5"/>
    <w:rsid w:val="00CE26E4"/>
    <w:rsid w:val="00CE3FD6"/>
    <w:rsid w:val="00CE4EDD"/>
    <w:rsid w:val="00CE56F1"/>
    <w:rsid w:val="00CF50F4"/>
    <w:rsid w:val="00D101E8"/>
    <w:rsid w:val="00D1051F"/>
    <w:rsid w:val="00D46429"/>
    <w:rsid w:val="00D608C9"/>
    <w:rsid w:val="00D61F0D"/>
    <w:rsid w:val="00D64DC8"/>
    <w:rsid w:val="00D77219"/>
    <w:rsid w:val="00D87C7B"/>
    <w:rsid w:val="00D91F04"/>
    <w:rsid w:val="00DA3E29"/>
    <w:rsid w:val="00DA4EE1"/>
    <w:rsid w:val="00DA641C"/>
    <w:rsid w:val="00DC4DC2"/>
    <w:rsid w:val="00DC68C8"/>
    <w:rsid w:val="00DD1092"/>
    <w:rsid w:val="00DD6723"/>
    <w:rsid w:val="00DE5002"/>
    <w:rsid w:val="00DF7DCF"/>
    <w:rsid w:val="00E06E69"/>
    <w:rsid w:val="00E26981"/>
    <w:rsid w:val="00E3363B"/>
    <w:rsid w:val="00E51151"/>
    <w:rsid w:val="00E54AFE"/>
    <w:rsid w:val="00E62488"/>
    <w:rsid w:val="00E75ED7"/>
    <w:rsid w:val="00E8097B"/>
    <w:rsid w:val="00E833E0"/>
    <w:rsid w:val="00E9273A"/>
    <w:rsid w:val="00E94E31"/>
    <w:rsid w:val="00E963FF"/>
    <w:rsid w:val="00EA7022"/>
    <w:rsid w:val="00EB59C8"/>
    <w:rsid w:val="00EC320D"/>
    <w:rsid w:val="00EC368F"/>
    <w:rsid w:val="00ED1648"/>
    <w:rsid w:val="00ED21E2"/>
    <w:rsid w:val="00ED7492"/>
    <w:rsid w:val="00EE75AC"/>
    <w:rsid w:val="00EF293B"/>
    <w:rsid w:val="00F21468"/>
    <w:rsid w:val="00F21C03"/>
    <w:rsid w:val="00F55C44"/>
    <w:rsid w:val="00F60DEF"/>
    <w:rsid w:val="00F66623"/>
    <w:rsid w:val="00F94526"/>
    <w:rsid w:val="00FA06DA"/>
    <w:rsid w:val="00FA7507"/>
    <w:rsid w:val="00FD2F95"/>
    <w:rsid w:val="00FE36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42C7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42C7"/>
    <w:rPr>
      <w:rFonts w:ascii="Cambria" w:hAnsi="Cambria" w:cs="Times New Roman"/>
      <w:b/>
      <w:kern w:val="32"/>
      <w:sz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E3363B"/>
    <w:pPr>
      <w:spacing w:before="100" w:beforeAutospacing="1" w:after="100" w:afterAutospacing="1"/>
      <w:jc w:val="left"/>
    </w:pPr>
  </w:style>
  <w:style w:type="paragraph" w:customStyle="1" w:styleId="Odsekzoznamu1">
    <w:name w:val="Odsek zoznamu1"/>
    <w:basedOn w:val="Normal"/>
    <w:qFormat/>
    <w:rsid w:val="00E3363B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E3363B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E3363B"/>
    <w:rPr>
      <w:rFonts w:cs="Times New Roman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unhideWhenUsed/>
    <w:rsid w:val="00E3363B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E3363B"/>
    <w:rPr>
      <w:rFonts w:cs="Times New Roman"/>
      <w:rtl w:val="0"/>
      <w:cs w:val="0"/>
      <w:lang w:val="sk-SK" w:eastAsia="sk-SK"/>
    </w:rPr>
  </w:style>
  <w:style w:type="character" w:styleId="PageNumber">
    <w:name w:val="page number"/>
    <w:basedOn w:val="DefaultParagraphFont"/>
    <w:uiPriority w:val="99"/>
    <w:rsid w:val="00E3363B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E3363B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rtl w:val="0"/>
      <w:cs w:val="0"/>
    </w:rPr>
  </w:style>
  <w:style w:type="paragraph" w:customStyle="1" w:styleId="Casti">
    <w:name w:val="Casti"/>
    <w:basedOn w:val="Heading1"/>
    <w:rsid w:val="007542C7"/>
    <w:pPr>
      <w:spacing w:before="360" w:after="360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F556A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BA460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A4608"/>
    <w:rPr>
      <w:rFonts w:eastAsia="Times New Roman" w:cs="Times New Roman"/>
      <w:sz w:val="24"/>
      <w:rtl w:val="0"/>
      <w:cs w:val="0"/>
    </w:rPr>
  </w:style>
  <w:style w:type="table" w:styleId="TableGrid">
    <w:name w:val="Table Grid"/>
    <w:basedOn w:val="TableNormal"/>
    <w:uiPriority w:val="59"/>
    <w:rsid w:val="00CE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stavceChar">
    <w:name w:val="Text odstavce Char"/>
    <w:link w:val="Textodstavce"/>
    <w:uiPriority w:val="99"/>
    <w:locked/>
    <w:rsid w:val="00CE20C5"/>
    <w:rPr>
      <w:rFonts w:ascii="Calibri" w:hAnsi="Calibri" w:cs="Calibri"/>
    </w:rPr>
  </w:style>
  <w:style w:type="paragraph" w:customStyle="1" w:styleId="Textodstavce">
    <w:name w:val="Text odstavce"/>
    <w:basedOn w:val="Normal"/>
    <w:link w:val="TextodstavceChar"/>
    <w:uiPriority w:val="99"/>
    <w:rsid w:val="00CE20C5"/>
    <w:pPr>
      <w:spacing w:before="120" w:after="120"/>
      <w:ind w:left="-62"/>
      <w:jc w:val="both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rsid w:val="002069EC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E26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MS Mincho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PlaceholderText1">
    <w:name w:val="Placeholder Text1"/>
    <w:uiPriority w:val="99"/>
    <w:semiHidden/>
    <w:rsid w:val="00E06E6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TextbublinyChar"/>
    <w:uiPriority w:val="99"/>
    <w:rsid w:val="00A642E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642E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ludmila.auxtova@vzbb.sk" TargetMode="External" /><Relationship Id="rId5" Type="http://schemas.openxmlformats.org/officeDocument/2006/relationships/hyperlink" Target="mailto:vladimir.jurina@uvzsr.sk" TargetMode="External" /><Relationship Id="rId6" Type="http://schemas.openxmlformats.org/officeDocument/2006/relationships/hyperlink" Target="mailto:martina.dubnickova@uvzsr.sk" TargetMode="External" /><Relationship Id="rId7" Type="http://schemas.openxmlformats.org/officeDocument/2006/relationships/hyperlink" Target="mailto:karol.bohm@uvzsr.sk" TargetMode="External" /><Relationship Id="rId8" Type="http://schemas.openxmlformats.org/officeDocument/2006/relationships/hyperlink" Target="mailto:roman.soska@uvzsr.sk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23</Pages>
  <Words>8460</Words>
  <Characters>48223</Characters>
  <Application>Microsoft Office Word</Application>
  <DocSecurity>0</DocSecurity>
  <Lines>0</Lines>
  <Paragraphs>0</Paragraphs>
  <ScaleCrop>false</ScaleCrop>
  <Company>Regionálny úrad verejného zdravotníctva B. Bystrica</Company>
  <LinksUpToDate>false</LinksUpToDate>
  <CharactersWithSpaces>56570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auxtova</dc:creator>
  <cp:lastModifiedBy>Lacová Magdaléna</cp:lastModifiedBy>
  <cp:revision>2</cp:revision>
  <cp:lastPrinted>2017-11-07T13:22:00Z</cp:lastPrinted>
  <dcterms:created xsi:type="dcterms:W3CDTF">2017-11-07T13:37:00Z</dcterms:created>
  <dcterms:modified xsi:type="dcterms:W3CDTF">2017-11-07T13:37:00Z</dcterms:modified>
</cp:coreProperties>
</file>