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F00DB" w:rsidRPr="004D4E20" w:rsidP="00D710A5">
      <w:pPr>
        <w:widowControl/>
        <w:bidi w:val="0"/>
        <w:spacing w:after="0" w:line="240" w:lineRule="auto"/>
        <w:jc w:val="center"/>
        <w:rPr>
          <w:rFonts w:ascii="Times New Roman" w:hAnsi="Times New Roman"/>
          <w:b/>
          <w:caps/>
          <w:spacing w:val="30"/>
          <w:sz w:val="24"/>
          <w:szCs w:val="24"/>
          <w:lang w:eastAsia="sk-SK"/>
        </w:rPr>
      </w:pPr>
      <w:r w:rsidRPr="004D4E20" w:rsidR="00CD025D">
        <w:rPr>
          <w:rFonts w:ascii="Times New Roman" w:hAnsi="Times New Roman"/>
          <w:b/>
          <w:caps/>
          <w:spacing w:val="30"/>
          <w:sz w:val="24"/>
          <w:szCs w:val="24"/>
          <w:lang w:eastAsia="sk-SK"/>
        </w:rPr>
        <w:t>Dôvodová správa</w:t>
      </w:r>
    </w:p>
    <w:p w:rsidR="00730901" w:rsidRPr="004D4E20" w:rsidP="00D710A5">
      <w:pPr>
        <w:widowControl/>
        <w:bidi w:val="0"/>
        <w:spacing w:after="0" w:line="240" w:lineRule="auto"/>
        <w:jc w:val="center"/>
        <w:rPr>
          <w:rFonts w:ascii="Times New Roman" w:hAnsi="Times New Roman"/>
          <w:b/>
          <w:caps/>
          <w:sz w:val="24"/>
          <w:szCs w:val="24"/>
        </w:rPr>
      </w:pPr>
    </w:p>
    <w:p w:rsidR="00AB1F57" w:rsidRPr="004D4E20" w:rsidP="00D710A5">
      <w:pPr>
        <w:widowControl/>
        <w:bidi w:val="0"/>
        <w:spacing w:after="0" w:line="240" w:lineRule="auto"/>
        <w:jc w:val="center"/>
        <w:rPr>
          <w:rFonts w:ascii="Times New Roman" w:hAnsi="Times New Roman"/>
          <w:iCs/>
          <w:sz w:val="24"/>
          <w:szCs w:val="24"/>
        </w:rPr>
      </w:pPr>
    </w:p>
    <w:p w:rsidR="00730901" w:rsidRPr="004D4E20" w:rsidP="00730901">
      <w:pPr>
        <w:widowControl/>
        <w:bidi w:val="0"/>
        <w:spacing w:after="0" w:line="240" w:lineRule="auto"/>
        <w:rPr>
          <w:rFonts w:ascii="Times New Roman" w:hAnsi="Times New Roman"/>
          <w:iCs/>
          <w:sz w:val="24"/>
          <w:szCs w:val="24"/>
        </w:rPr>
      </w:pPr>
      <w:r w:rsidRPr="004D4E20">
        <w:rPr>
          <w:rFonts w:ascii="Times New Roman" w:hAnsi="Times New Roman"/>
          <w:b/>
          <w:sz w:val="24"/>
          <w:szCs w:val="24"/>
          <w:lang w:eastAsia="sk-SK"/>
        </w:rPr>
        <w:t>A. Všeobecná časť</w:t>
      </w:r>
    </w:p>
    <w:p w:rsidR="00730901" w:rsidRPr="004D4E20" w:rsidP="00D710A5">
      <w:pPr>
        <w:widowControl/>
        <w:bidi w:val="0"/>
        <w:spacing w:after="0" w:line="240" w:lineRule="auto"/>
        <w:jc w:val="center"/>
        <w:rPr>
          <w:rFonts w:ascii="Times New Roman" w:hAnsi="Times New Roman"/>
          <w:iCs/>
          <w:sz w:val="24"/>
          <w:szCs w:val="24"/>
        </w:rPr>
      </w:pPr>
    </w:p>
    <w:p w:rsidR="00730901" w:rsidRPr="004D4E20" w:rsidP="00D710A5">
      <w:pPr>
        <w:widowControl/>
        <w:bidi w:val="0"/>
        <w:spacing w:after="0" w:line="240" w:lineRule="auto"/>
        <w:jc w:val="center"/>
        <w:rPr>
          <w:rFonts w:ascii="Times New Roman" w:hAnsi="Times New Roman"/>
          <w:iCs/>
          <w:sz w:val="24"/>
          <w:szCs w:val="24"/>
        </w:rPr>
      </w:pPr>
    </w:p>
    <w:p w:rsidR="007509F2" w:rsidRPr="004D4E20" w:rsidP="007509F2">
      <w:pPr>
        <w:divId w:val="1"/>
        <w:bidi w:val="0"/>
        <w:jc w:val="both"/>
        <w:rPr>
          <w:rFonts w:ascii="Times New Roman" w:hAnsi="Times New Roman"/>
          <w:sz w:val="24"/>
          <w:szCs w:val="24"/>
        </w:rPr>
      </w:pPr>
      <w:r w:rsidRPr="004D4E20" w:rsidR="00801B9C">
        <w:rPr>
          <w:rFonts w:ascii="Times New Roman" w:hAnsi="Times New Roman"/>
          <w:sz w:val="24"/>
          <w:szCs w:val="24"/>
        </w:rPr>
        <w:t xml:space="preserve">Návrh zákona o technickej normalizácii a o zmene zákona č. 264/1999 Z. z. o technických požiadavkách na výrobky a o posudzovaní zhody a o zmene a doplnení niektorých zákonov </w:t>
      </w:r>
      <w:r w:rsidRPr="004D4E20" w:rsidR="00700DBA">
        <w:rPr>
          <w:rFonts w:ascii="Times New Roman" w:hAnsi="Times New Roman"/>
          <w:sz w:val="24"/>
          <w:szCs w:val="24"/>
        </w:rPr>
        <w:t xml:space="preserve">                     </w:t>
      </w:r>
      <w:r w:rsidRPr="004D4E20" w:rsidR="00801B9C">
        <w:rPr>
          <w:rFonts w:ascii="Times New Roman" w:hAnsi="Times New Roman"/>
          <w:sz w:val="24"/>
          <w:szCs w:val="24"/>
        </w:rPr>
        <w:t xml:space="preserve">v znení neskorších predpisov (ďalej len „návrh zákona“) do legislatívneho procesu predkladá predseda Úradu pre normalizáciu, metrológiu a skúšobníctvo Slovenskej republiky (ďalej </w:t>
      </w:r>
      <w:r w:rsidRPr="004D4E20" w:rsidR="00700DBA">
        <w:rPr>
          <w:rFonts w:ascii="Times New Roman" w:hAnsi="Times New Roman"/>
          <w:sz w:val="24"/>
          <w:szCs w:val="24"/>
        </w:rPr>
        <w:t xml:space="preserve">                  </w:t>
      </w:r>
      <w:r w:rsidRPr="004D4E20" w:rsidR="00801B9C">
        <w:rPr>
          <w:rFonts w:ascii="Times New Roman" w:hAnsi="Times New Roman"/>
          <w:sz w:val="24"/>
          <w:szCs w:val="24"/>
        </w:rPr>
        <w:t>len „úrad“) na základe úlohy C.1. uznesenia vlády Slovenskej republiky č. 496/2016.</w:t>
      </w:r>
    </w:p>
    <w:p w:rsidR="007509F2" w:rsidRPr="004D4E20" w:rsidP="007509F2">
      <w:pPr>
        <w:divId w:val="1"/>
        <w:bidi w:val="0"/>
        <w:jc w:val="both"/>
        <w:rPr>
          <w:rFonts w:ascii="Times New Roman" w:hAnsi="Times New Roman"/>
          <w:sz w:val="24"/>
          <w:szCs w:val="24"/>
        </w:rPr>
      </w:pPr>
      <w:r w:rsidRPr="004D4E20" w:rsidR="00801B9C">
        <w:rPr>
          <w:rFonts w:ascii="Times New Roman" w:hAnsi="Times New Roman"/>
          <w:sz w:val="24"/>
          <w:szCs w:val="24"/>
        </w:rPr>
        <w:t>Cieľom novej právnej úpravy je ustanoviť samostatný a komplexný legislatívny rámec plne pokrývajúci oblasť technickej normalizácie, vychádzajúci z požiadaviek harmonizovanej európskej legislatívy a z požiadaviek aplikačnej praxe.</w:t>
      </w:r>
    </w:p>
    <w:p w:rsidR="007509F2" w:rsidRPr="004D4E20" w:rsidP="007509F2">
      <w:pPr>
        <w:divId w:val="1"/>
        <w:bidi w:val="0"/>
        <w:jc w:val="both"/>
        <w:rPr>
          <w:rFonts w:ascii="Times New Roman" w:hAnsi="Times New Roman"/>
          <w:sz w:val="24"/>
          <w:szCs w:val="24"/>
        </w:rPr>
      </w:pPr>
      <w:r w:rsidRPr="004D4E20" w:rsidR="00801B9C">
        <w:rPr>
          <w:rFonts w:ascii="Times New Roman" w:hAnsi="Times New Roman"/>
          <w:sz w:val="24"/>
          <w:szCs w:val="24"/>
        </w:rPr>
        <w:t>Predmetom návrhu zákona je úprava základných pojmov v súlade s </w:t>
      </w:r>
      <w:r w:rsidRPr="004D4E20" w:rsidR="00DE092B">
        <w:rPr>
          <w:rFonts w:ascii="Times New Roman" w:hAnsi="Times New Roman"/>
          <w:sz w:val="24"/>
          <w:szCs w:val="24"/>
        </w:rPr>
        <w:t>nariadením Európskeho parlamentu a Rady (EÚ) č. 1025/2012 z 25. októbra 2012 o európskej normalizácii, ktorým                   sa menia a dopĺňajú smernice Rady 89/686/EHS a 93/15/EHS a smernice Európskeho parlamentu a Rady 94/9/ES, 94/25/ES, 95/16/ES, 97/23/ES, 98/34/ES, 2004/22/ES, 2007/23/ES, 2009/23/ES a 2009/105/ES a ktorým sa zrušuje rozhodnutie Rady 87/95/EHS a rozhodnutie Európskeho parlamentu a Rady č. 1673/2006/ES (Ú. v. ES L 316 14. 11. 2012) v platnom znení (ďalej                   len „nariadenie (EÚ) č. 1025/2012</w:t>
      </w:r>
      <w:r w:rsidRPr="004D4E20" w:rsidR="00D637AD">
        <w:rPr>
          <w:rFonts w:ascii="Times New Roman" w:hAnsi="Times New Roman"/>
          <w:sz w:val="24"/>
          <w:szCs w:val="24"/>
        </w:rPr>
        <w:t>“)</w:t>
      </w:r>
      <w:r w:rsidRPr="004D4E20" w:rsidR="00801B9C">
        <w:rPr>
          <w:rFonts w:ascii="Times New Roman" w:hAnsi="Times New Roman"/>
          <w:sz w:val="24"/>
          <w:szCs w:val="24"/>
        </w:rPr>
        <w:t xml:space="preserve">, </w:t>
      </w:r>
      <w:r w:rsidRPr="004D4E20" w:rsidR="00026E6B">
        <w:rPr>
          <w:rFonts w:ascii="Times New Roman" w:hAnsi="Times New Roman"/>
          <w:sz w:val="24"/>
          <w:szCs w:val="24"/>
        </w:rPr>
        <w:t xml:space="preserve">pôsobnosti, </w:t>
      </w:r>
      <w:r w:rsidRPr="004D4E20" w:rsidR="00801B9C">
        <w:rPr>
          <w:rFonts w:ascii="Times New Roman" w:hAnsi="Times New Roman"/>
          <w:sz w:val="24"/>
          <w:szCs w:val="24"/>
        </w:rPr>
        <w:t>práv a povinností slovenského národného normalizačného orgánu, hlavných princípov a postupu pri tvorbe slovenských technických noriem, zapojenia zainteresovaných strán prostredníctvom technických komisií do tvorby slovenských technických noriem, nákladov</w:t>
      </w:r>
      <w:r w:rsidRPr="004D4E20" w:rsidR="00700DBA">
        <w:rPr>
          <w:rFonts w:ascii="Times New Roman" w:hAnsi="Times New Roman"/>
          <w:sz w:val="24"/>
          <w:szCs w:val="24"/>
        </w:rPr>
        <w:t xml:space="preserve"> </w:t>
      </w:r>
      <w:r w:rsidRPr="004D4E20" w:rsidR="00801B9C">
        <w:rPr>
          <w:rFonts w:ascii="Times New Roman" w:hAnsi="Times New Roman"/>
          <w:sz w:val="24"/>
          <w:szCs w:val="24"/>
        </w:rPr>
        <w:t xml:space="preserve">na </w:t>
      </w:r>
      <w:r w:rsidRPr="004D4E20" w:rsidR="00026E6B">
        <w:rPr>
          <w:rFonts w:ascii="Times New Roman" w:hAnsi="Times New Roman"/>
          <w:sz w:val="24"/>
          <w:szCs w:val="24"/>
        </w:rPr>
        <w:t xml:space="preserve">činnosť slovenského národného normalizačného orgánu, </w:t>
      </w:r>
      <w:r w:rsidRPr="004D4E20" w:rsidR="00801B9C">
        <w:rPr>
          <w:rFonts w:ascii="Times New Roman" w:hAnsi="Times New Roman"/>
          <w:sz w:val="24"/>
          <w:szCs w:val="24"/>
        </w:rPr>
        <w:t xml:space="preserve">poskytovania technických noriem, ochrany technických noriem a s tým súvisiaci dohľad </w:t>
      </w:r>
      <w:r w:rsidRPr="004D4E20">
        <w:rPr>
          <w:rFonts w:ascii="Times New Roman" w:hAnsi="Times New Roman"/>
          <w:sz w:val="24"/>
          <w:szCs w:val="24"/>
        </w:rPr>
        <w:t xml:space="preserve">nad </w:t>
      </w:r>
      <w:r w:rsidRPr="004D4E20" w:rsidR="00801B9C">
        <w:rPr>
          <w:rFonts w:ascii="Times New Roman" w:hAnsi="Times New Roman"/>
          <w:sz w:val="24"/>
          <w:szCs w:val="24"/>
        </w:rPr>
        <w:t>dodržiavaním zákona a ukladanie pokút.</w:t>
      </w:r>
    </w:p>
    <w:p w:rsidR="007509F2" w:rsidRPr="004D4E20" w:rsidP="007509F2">
      <w:pPr>
        <w:divId w:val="1"/>
        <w:bidi w:val="0"/>
        <w:jc w:val="both"/>
        <w:rPr>
          <w:rFonts w:ascii="Times New Roman" w:hAnsi="Times New Roman"/>
          <w:sz w:val="24"/>
          <w:szCs w:val="24"/>
        </w:rPr>
      </w:pPr>
      <w:r w:rsidRPr="004D4E20" w:rsidR="00801B9C">
        <w:rPr>
          <w:rFonts w:ascii="Times New Roman" w:hAnsi="Times New Roman"/>
          <w:sz w:val="24"/>
          <w:szCs w:val="24"/>
        </w:rPr>
        <w:t>Pojmy definované v návrhu zákona vychádzajú z prepracovanej definície technickej normy používanej v nariadení (EÚ) č. 1025/2012 a ďalšie pojmy sú uvádzané pre potreby technickej normalizácie na národnej úrovni.</w:t>
      </w:r>
    </w:p>
    <w:p w:rsidR="007509F2" w:rsidRPr="004D4E20" w:rsidP="007509F2">
      <w:pPr>
        <w:divId w:val="1"/>
        <w:bidi w:val="0"/>
        <w:jc w:val="both"/>
        <w:rPr>
          <w:rFonts w:ascii="Times New Roman" w:hAnsi="Times New Roman"/>
          <w:sz w:val="24"/>
          <w:szCs w:val="24"/>
        </w:rPr>
      </w:pPr>
      <w:r w:rsidRPr="004D4E20" w:rsidR="00801B9C">
        <w:rPr>
          <w:rFonts w:ascii="Times New Roman" w:hAnsi="Times New Roman"/>
          <w:sz w:val="24"/>
          <w:szCs w:val="24"/>
        </w:rPr>
        <w:t>V návrhu zákona sa ďalej ustanovujú požiadavky, ktoré musí zabezpečiť slovenský národný normalizačný orgán, ktorým je úrad. Na zabezpečenie nezávislosti slovenského normalizačného orgánu je pri úrade zriadená Rada pre technickú normalizáciu (ďalej len „Rada“), ktorej poslaním je najmä dohliadanie na dodržiavanie zakladajúcich zásad normalizačnej činnosti</w:t>
      </w:r>
      <w:r w:rsidRPr="004D4E20" w:rsidR="008009C5">
        <w:rPr>
          <w:rFonts w:ascii="Times New Roman" w:hAnsi="Times New Roman"/>
          <w:sz w:val="24"/>
          <w:szCs w:val="24"/>
        </w:rPr>
        <w:t>,</w:t>
      </w:r>
      <w:r w:rsidRPr="004D4E20" w:rsidR="00801B9C">
        <w:rPr>
          <w:rFonts w:ascii="Times New Roman" w:hAnsi="Times New Roman"/>
          <w:sz w:val="24"/>
          <w:szCs w:val="24"/>
        </w:rPr>
        <w:t xml:space="preserve"> ktorými </w:t>
      </w:r>
      <w:r w:rsidRPr="004D4E20" w:rsidR="00700DBA">
        <w:rPr>
          <w:rFonts w:ascii="Times New Roman" w:hAnsi="Times New Roman"/>
          <w:sz w:val="24"/>
          <w:szCs w:val="24"/>
        </w:rPr>
        <w:t xml:space="preserve">                    </w:t>
      </w:r>
      <w:r w:rsidRPr="004D4E20" w:rsidR="00801B9C">
        <w:rPr>
          <w:rFonts w:ascii="Times New Roman" w:hAnsi="Times New Roman"/>
          <w:sz w:val="24"/>
          <w:szCs w:val="24"/>
        </w:rPr>
        <w:t xml:space="preserve">sú koherencia, transparentnosť, otvorenosť, konsenzus, dobrovoľné uplatňovanie, nezávislosť </w:t>
      </w:r>
      <w:r w:rsidRPr="004D4E20" w:rsidR="00700DBA">
        <w:rPr>
          <w:rFonts w:ascii="Times New Roman" w:hAnsi="Times New Roman"/>
          <w:sz w:val="24"/>
          <w:szCs w:val="24"/>
        </w:rPr>
        <w:t xml:space="preserve">              </w:t>
      </w:r>
      <w:r w:rsidRPr="004D4E20" w:rsidR="00801B9C">
        <w:rPr>
          <w:rFonts w:ascii="Times New Roman" w:hAnsi="Times New Roman"/>
          <w:sz w:val="24"/>
          <w:szCs w:val="24"/>
        </w:rPr>
        <w:t>od osobitných záujmov a</w:t>
      </w:r>
      <w:r w:rsidRPr="004D4E20" w:rsidR="008009C5">
        <w:rPr>
          <w:rFonts w:ascii="Times New Roman" w:hAnsi="Times New Roman"/>
          <w:sz w:val="24"/>
          <w:szCs w:val="24"/>
        </w:rPr>
        <w:t> </w:t>
      </w:r>
      <w:r w:rsidRPr="004D4E20" w:rsidR="00801B9C">
        <w:rPr>
          <w:rFonts w:ascii="Times New Roman" w:hAnsi="Times New Roman"/>
          <w:sz w:val="24"/>
          <w:szCs w:val="24"/>
        </w:rPr>
        <w:t>efektívnosť</w:t>
      </w:r>
      <w:r w:rsidRPr="004D4E20" w:rsidR="008009C5">
        <w:rPr>
          <w:rFonts w:ascii="Times New Roman" w:hAnsi="Times New Roman"/>
          <w:sz w:val="24"/>
          <w:szCs w:val="24"/>
        </w:rPr>
        <w:t>,</w:t>
      </w:r>
      <w:r w:rsidRPr="004D4E20" w:rsidR="00801B9C">
        <w:rPr>
          <w:rFonts w:ascii="Times New Roman" w:hAnsi="Times New Roman"/>
          <w:sz w:val="24"/>
          <w:szCs w:val="24"/>
        </w:rPr>
        <w:t xml:space="preserve"> uznaných Svetovou obchodnou organizáciou (WTO) </w:t>
      </w:r>
      <w:r w:rsidRPr="004D4E20" w:rsidR="00026E6B">
        <w:rPr>
          <w:rFonts w:ascii="Times New Roman" w:hAnsi="Times New Roman"/>
          <w:sz w:val="24"/>
          <w:szCs w:val="24"/>
        </w:rPr>
        <w:t xml:space="preserve">                     </w:t>
      </w:r>
      <w:r w:rsidRPr="004D4E20" w:rsidR="00801B9C">
        <w:rPr>
          <w:rFonts w:ascii="Times New Roman" w:hAnsi="Times New Roman"/>
          <w:sz w:val="24"/>
          <w:szCs w:val="24"/>
        </w:rPr>
        <w:t>v oblasti technickej normalizácie a citovaných v nariadení (EÚ) č. 1025/2012.</w:t>
      </w:r>
    </w:p>
    <w:p w:rsidR="007509F2" w:rsidRPr="004D4E20" w:rsidP="007509F2">
      <w:pPr>
        <w:divId w:val="1"/>
        <w:bidi w:val="0"/>
        <w:jc w:val="both"/>
        <w:rPr>
          <w:rFonts w:ascii="Times New Roman" w:hAnsi="Times New Roman"/>
          <w:sz w:val="24"/>
          <w:szCs w:val="24"/>
        </w:rPr>
      </w:pPr>
      <w:r w:rsidRPr="004D4E20" w:rsidR="00801B9C">
        <w:rPr>
          <w:rFonts w:ascii="Times New Roman" w:hAnsi="Times New Roman"/>
          <w:sz w:val="24"/>
          <w:szCs w:val="24"/>
        </w:rPr>
        <w:t>V návrhu zákona je uvedený postup slovenského národného normalizačného orgánu pri tvorbe</w:t>
      </w:r>
      <w:r w:rsidRPr="004D4E20" w:rsidR="00026E6B">
        <w:rPr>
          <w:rFonts w:ascii="Times New Roman" w:hAnsi="Times New Roman"/>
          <w:sz w:val="24"/>
          <w:szCs w:val="24"/>
        </w:rPr>
        <w:t>, zmene, schvaľovaní, vydávaní a rušení</w:t>
      </w:r>
      <w:r w:rsidRPr="004D4E20" w:rsidR="00801B9C">
        <w:rPr>
          <w:rFonts w:ascii="Times New Roman" w:hAnsi="Times New Roman"/>
          <w:sz w:val="24"/>
          <w:szCs w:val="24"/>
        </w:rPr>
        <w:t xml:space="preserve"> slovenských technických noriem tak, aby bol chránený oprávnený záujem, zároveň upravuje oblasť poskytovania technických noriem.</w:t>
      </w:r>
    </w:p>
    <w:p w:rsidR="00DE092B" w:rsidRPr="004D4E20" w:rsidP="007509F2">
      <w:pPr>
        <w:divId w:val="1"/>
        <w:bidi w:val="0"/>
        <w:jc w:val="both"/>
        <w:rPr>
          <w:rFonts w:ascii="Times New Roman" w:hAnsi="Times New Roman"/>
          <w:sz w:val="24"/>
          <w:szCs w:val="24"/>
        </w:rPr>
      </w:pPr>
      <w:r w:rsidRPr="004D4E20" w:rsidR="00801B9C">
        <w:rPr>
          <w:rFonts w:ascii="Times New Roman" w:hAnsi="Times New Roman"/>
          <w:sz w:val="24"/>
          <w:szCs w:val="24"/>
        </w:rPr>
        <w:t>Poskytovanie slovenských technických noriem a </w:t>
      </w:r>
      <w:r w:rsidRPr="004D4E20" w:rsidR="007509F2">
        <w:rPr>
          <w:rFonts w:ascii="Times New Roman" w:hAnsi="Times New Roman"/>
          <w:sz w:val="24"/>
          <w:szCs w:val="24"/>
        </w:rPr>
        <w:t>technických normalizačných informácií</w:t>
      </w:r>
      <w:r w:rsidRPr="004D4E20" w:rsidR="00801B9C">
        <w:rPr>
          <w:rFonts w:ascii="Times New Roman" w:hAnsi="Times New Roman"/>
          <w:sz w:val="24"/>
          <w:szCs w:val="24"/>
        </w:rPr>
        <w:t xml:space="preserve"> za </w:t>
      </w:r>
      <w:r w:rsidRPr="004D4E20" w:rsidR="007509F2">
        <w:rPr>
          <w:rFonts w:ascii="Times New Roman" w:hAnsi="Times New Roman"/>
          <w:sz w:val="24"/>
          <w:szCs w:val="24"/>
        </w:rPr>
        <w:t xml:space="preserve">úhradu </w:t>
      </w:r>
      <w:r w:rsidRPr="004D4E20" w:rsidR="00801B9C">
        <w:rPr>
          <w:rFonts w:ascii="Times New Roman" w:hAnsi="Times New Roman"/>
          <w:sz w:val="24"/>
          <w:szCs w:val="24"/>
        </w:rPr>
        <w:t xml:space="preserve">vyplýva z členstva úradu ako slovenského národného normalizačného orgánu v európskych normalizačných organizáciách (CEN, CENELEC, ETSI). Spravovanie sústavy slovenských technických noriem slovenským národným normalizačným orgánom zároveň zabezpečuje ochranu používateľov technických noriem, a tým aj ochranu spotrebiteľa s cieľom zabrániť šíreniu technických noriem, ktoré sú pozmenené alebo neaktuálne, ako aj ochranu práv tvorcov technických noriem, ktorými sú medzinárodné, európske a národné normalizačné orgány. Poskytovanie technických noriem nemôže byť „voľné“, ale je ho potrebné koordinovať, pričom musí byť dodržaný princíp poskytovania noriem za </w:t>
      </w:r>
      <w:r w:rsidRPr="004D4E20" w:rsidR="007509F2">
        <w:rPr>
          <w:rFonts w:ascii="Times New Roman" w:hAnsi="Times New Roman"/>
          <w:sz w:val="24"/>
          <w:szCs w:val="24"/>
        </w:rPr>
        <w:t>úhradu</w:t>
      </w:r>
      <w:r w:rsidRPr="004D4E20" w:rsidR="00801B9C">
        <w:rPr>
          <w:rFonts w:ascii="Times New Roman" w:hAnsi="Times New Roman"/>
          <w:sz w:val="24"/>
          <w:szCs w:val="24"/>
        </w:rPr>
        <w:t xml:space="preserve">. Ustanovuje sa, že </w:t>
      </w:r>
      <w:r w:rsidRPr="004D4E20" w:rsidR="00026E6B">
        <w:rPr>
          <w:rFonts w:ascii="Times New Roman" w:hAnsi="Times New Roman"/>
          <w:sz w:val="24"/>
          <w:szCs w:val="24"/>
        </w:rPr>
        <w:t>úrad</w:t>
      </w:r>
      <w:r w:rsidRPr="004D4E20" w:rsidR="007509F2">
        <w:rPr>
          <w:rFonts w:ascii="Times New Roman" w:hAnsi="Times New Roman"/>
          <w:sz w:val="24"/>
          <w:szCs w:val="24"/>
        </w:rPr>
        <w:t xml:space="preserve"> </w:t>
      </w:r>
      <w:r w:rsidRPr="004D4E20" w:rsidR="00801B9C">
        <w:rPr>
          <w:rFonts w:ascii="Times New Roman" w:hAnsi="Times New Roman"/>
          <w:sz w:val="24"/>
          <w:szCs w:val="24"/>
        </w:rPr>
        <w:t xml:space="preserve">je oprávnený </w:t>
      </w:r>
      <w:r w:rsidRPr="004D4E20" w:rsidR="00026E6B">
        <w:rPr>
          <w:rFonts w:ascii="Times New Roman" w:hAnsi="Times New Roman"/>
          <w:sz w:val="24"/>
          <w:szCs w:val="24"/>
        </w:rPr>
        <w:t>poskytovať slovenské technické normy</w:t>
      </w:r>
      <w:r w:rsidRPr="004D4E20" w:rsidR="00801B9C">
        <w:rPr>
          <w:rFonts w:ascii="Times New Roman" w:hAnsi="Times New Roman"/>
          <w:sz w:val="24"/>
          <w:szCs w:val="24"/>
        </w:rPr>
        <w:t xml:space="preserve">, a teda aj </w:t>
      </w:r>
      <w:r w:rsidRPr="004D4E20" w:rsidR="00026E6B">
        <w:rPr>
          <w:rFonts w:ascii="Times New Roman" w:hAnsi="Times New Roman"/>
          <w:sz w:val="24"/>
          <w:szCs w:val="24"/>
        </w:rPr>
        <w:t xml:space="preserve">európske </w:t>
      </w:r>
      <w:r w:rsidRPr="004D4E20" w:rsidR="00801B9C">
        <w:rPr>
          <w:rFonts w:ascii="Times New Roman" w:hAnsi="Times New Roman"/>
          <w:sz w:val="24"/>
          <w:szCs w:val="24"/>
        </w:rPr>
        <w:t xml:space="preserve">a </w:t>
      </w:r>
      <w:r w:rsidRPr="004D4E20" w:rsidR="00026E6B">
        <w:rPr>
          <w:rFonts w:ascii="Times New Roman" w:hAnsi="Times New Roman"/>
          <w:sz w:val="24"/>
          <w:szCs w:val="24"/>
        </w:rPr>
        <w:t xml:space="preserve">medzinárodne </w:t>
      </w:r>
      <w:r w:rsidRPr="004D4E20" w:rsidR="00801B9C">
        <w:rPr>
          <w:rFonts w:ascii="Times New Roman" w:hAnsi="Times New Roman"/>
          <w:sz w:val="24"/>
          <w:szCs w:val="24"/>
        </w:rPr>
        <w:t>nor</w:t>
      </w:r>
      <w:r w:rsidRPr="004D4E20" w:rsidR="00026E6B">
        <w:rPr>
          <w:rFonts w:ascii="Times New Roman" w:hAnsi="Times New Roman"/>
          <w:sz w:val="24"/>
          <w:szCs w:val="24"/>
        </w:rPr>
        <w:t>my</w:t>
      </w:r>
      <w:r w:rsidRPr="004D4E20" w:rsidR="00801B9C">
        <w:rPr>
          <w:rFonts w:ascii="Times New Roman" w:hAnsi="Times New Roman"/>
          <w:sz w:val="24"/>
          <w:szCs w:val="24"/>
        </w:rPr>
        <w:t xml:space="preserve"> </w:t>
      </w:r>
      <w:r w:rsidRPr="004D4E20" w:rsidR="00026E6B">
        <w:rPr>
          <w:rFonts w:ascii="Times New Roman" w:hAnsi="Times New Roman"/>
          <w:sz w:val="24"/>
          <w:szCs w:val="24"/>
        </w:rPr>
        <w:t xml:space="preserve">prevzaté </w:t>
      </w:r>
      <w:r w:rsidRPr="004D4E20" w:rsidR="00801B9C">
        <w:rPr>
          <w:rFonts w:ascii="Times New Roman" w:hAnsi="Times New Roman"/>
          <w:sz w:val="24"/>
          <w:szCs w:val="24"/>
        </w:rPr>
        <w:t xml:space="preserve">do sústavy slovenských technických noriem a samostatne </w:t>
      </w:r>
      <w:r w:rsidRPr="004D4E20" w:rsidR="00026E6B">
        <w:rPr>
          <w:rFonts w:ascii="Times New Roman" w:hAnsi="Times New Roman"/>
          <w:sz w:val="24"/>
          <w:szCs w:val="24"/>
        </w:rPr>
        <w:t xml:space="preserve">vydané medzinárodné </w:t>
      </w:r>
      <w:r w:rsidRPr="004D4E20" w:rsidR="00801B9C">
        <w:rPr>
          <w:rFonts w:ascii="Times New Roman" w:hAnsi="Times New Roman"/>
          <w:sz w:val="24"/>
          <w:szCs w:val="24"/>
        </w:rPr>
        <w:t>norm</w:t>
      </w:r>
      <w:r w:rsidRPr="004D4E20" w:rsidR="00026E6B">
        <w:rPr>
          <w:rFonts w:ascii="Times New Roman" w:hAnsi="Times New Roman"/>
          <w:sz w:val="24"/>
          <w:szCs w:val="24"/>
        </w:rPr>
        <w:t>y</w:t>
      </w:r>
      <w:r w:rsidRPr="004D4E20" w:rsidR="00801B9C">
        <w:rPr>
          <w:rFonts w:ascii="Times New Roman" w:hAnsi="Times New Roman"/>
          <w:sz w:val="24"/>
          <w:szCs w:val="24"/>
        </w:rPr>
        <w:t xml:space="preserve"> verejnosti</w:t>
      </w:r>
      <w:r w:rsidRPr="004D4E20" w:rsidR="00026E6B">
        <w:rPr>
          <w:rFonts w:ascii="Times New Roman" w:hAnsi="Times New Roman"/>
          <w:sz w:val="24"/>
          <w:szCs w:val="24"/>
        </w:rPr>
        <w:t xml:space="preserve"> za úhradu</w:t>
      </w:r>
      <w:r w:rsidRPr="004D4E20" w:rsidR="00801B9C">
        <w:rPr>
          <w:rFonts w:ascii="Times New Roman" w:hAnsi="Times New Roman"/>
          <w:sz w:val="24"/>
          <w:szCs w:val="24"/>
        </w:rPr>
        <w:t xml:space="preserve">, pričom výška </w:t>
      </w:r>
      <w:r w:rsidRPr="004D4E20" w:rsidR="007509F2">
        <w:rPr>
          <w:rFonts w:ascii="Times New Roman" w:hAnsi="Times New Roman"/>
          <w:sz w:val="24"/>
          <w:szCs w:val="24"/>
        </w:rPr>
        <w:t xml:space="preserve">úhrady </w:t>
      </w:r>
      <w:r w:rsidRPr="004D4E20" w:rsidR="00801B9C">
        <w:rPr>
          <w:rFonts w:ascii="Times New Roman" w:hAnsi="Times New Roman"/>
          <w:sz w:val="24"/>
          <w:szCs w:val="24"/>
        </w:rPr>
        <w:t>je podľa splnomocňujúceho ustanovenia určená vo všeobecne záväznom predpise, ktorý vydá úrad. </w:t>
      </w:r>
      <w:r w:rsidRPr="004D4E20" w:rsidR="00026E6B">
        <w:rPr>
          <w:rFonts w:ascii="Times New Roman" w:hAnsi="Times New Roman"/>
          <w:sz w:val="24"/>
          <w:szCs w:val="24"/>
        </w:rPr>
        <w:t xml:space="preserve">Na úhradu za poskytovanie slovenských technických noriem sa nevzťahuje zákon č. 145/1995 Z. z. o správnych poplatkoch v znení neskorších predpisov. </w:t>
      </w:r>
    </w:p>
    <w:p w:rsidR="007509F2" w:rsidRPr="004D4E20" w:rsidP="007509F2">
      <w:pPr>
        <w:divId w:val="1"/>
        <w:bidi w:val="0"/>
        <w:jc w:val="both"/>
        <w:rPr>
          <w:rFonts w:ascii="Times New Roman" w:hAnsi="Times New Roman"/>
          <w:sz w:val="24"/>
          <w:szCs w:val="24"/>
        </w:rPr>
      </w:pPr>
      <w:r w:rsidRPr="004D4E20" w:rsidR="00801B9C">
        <w:rPr>
          <w:rFonts w:ascii="Times New Roman" w:hAnsi="Times New Roman"/>
          <w:sz w:val="24"/>
          <w:szCs w:val="24"/>
        </w:rPr>
        <w:t>V európskom normalizačnom ponímaní je používanie technických noriem vo všeobecnosti dobrovoľné</w:t>
      </w:r>
      <w:r w:rsidRPr="004D4E20" w:rsidR="00026E6B">
        <w:rPr>
          <w:rFonts w:ascii="Times New Roman" w:hAnsi="Times New Roman"/>
          <w:sz w:val="24"/>
          <w:szCs w:val="24"/>
        </w:rPr>
        <w:t xml:space="preserve">. </w:t>
      </w:r>
      <w:r w:rsidRPr="004D4E20" w:rsidR="00801B9C">
        <w:rPr>
          <w:rFonts w:ascii="Times New Roman" w:hAnsi="Times New Roman"/>
          <w:sz w:val="24"/>
          <w:szCs w:val="24"/>
        </w:rPr>
        <w:t>Z uvedených dôvodov sa pristúpilo k podrobnejšej úprave rozmnožovania a</w:t>
      </w:r>
      <w:r w:rsidRPr="004D4E20">
        <w:rPr>
          <w:rFonts w:ascii="Times New Roman" w:hAnsi="Times New Roman"/>
          <w:sz w:val="24"/>
          <w:szCs w:val="24"/>
        </w:rPr>
        <w:t>lebo</w:t>
      </w:r>
      <w:r w:rsidRPr="004D4E20" w:rsidR="00801B9C">
        <w:rPr>
          <w:rFonts w:ascii="Times New Roman" w:hAnsi="Times New Roman"/>
          <w:sz w:val="24"/>
          <w:szCs w:val="24"/>
        </w:rPr>
        <w:t xml:space="preserve"> rozširovania slovenských technických noriem, ktoré je možné len so súhlasom slovenského národného normalizačného orgánu. Rozmnožovanie a</w:t>
      </w:r>
      <w:r w:rsidRPr="004D4E20">
        <w:rPr>
          <w:rFonts w:ascii="Times New Roman" w:hAnsi="Times New Roman"/>
          <w:sz w:val="24"/>
          <w:szCs w:val="24"/>
        </w:rPr>
        <w:t>lebo</w:t>
      </w:r>
      <w:r w:rsidRPr="004D4E20" w:rsidR="00801B9C">
        <w:rPr>
          <w:rFonts w:ascii="Times New Roman" w:hAnsi="Times New Roman"/>
          <w:sz w:val="24"/>
          <w:szCs w:val="24"/>
        </w:rPr>
        <w:t xml:space="preserve"> rozširovanie sa týka nielen celého textu slovenských technických noriem, ale aj častí ich textov.</w:t>
      </w:r>
      <w:r w:rsidRPr="004D4E20" w:rsidR="00026E6B">
        <w:rPr>
          <w:rFonts w:ascii="Times New Roman" w:hAnsi="Times New Roman"/>
          <w:sz w:val="24"/>
          <w:szCs w:val="24"/>
        </w:rPr>
        <w:t xml:space="preserve"> </w:t>
      </w:r>
    </w:p>
    <w:p w:rsidR="007509F2" w:rsidRPr="004D4E20" w:rsidP="007509F2">
      <w:pPr>
        <w:divId w:val="1"/>
        <w:bidi w:val="0"/>
        <w:jc w:val="both"/>
        <w:rPr>
          <w:rFonts w:ascii="Times New Roman" w:hAnsi="Times New Roman"/>
          <w:sz w:val="24"/>
          <w:szCs w:val="24"/>
        </w:rPr>
      </w:pPr>
      <w:r w:rsidRPr="004D4E20" w:rsidR="00801B9C">
        <w:rPr>
          <w:rFonts w:ascii="Times New Roman" w:hAnsi="Times New Roman"/>
          <w:sz w:val="24"/>
          <w:szCs w:val="24"/>
        </w:rPr>
        <w:t>Návrh zákona naďalej predpokladá možnosť, aby orgány štátnej správy v rámci svojej pôsobnosti v nevyhnutných a odôvodnených prípadoch mohli používať odkazy</w:t>
      </w:r>
      <w:r w:rsidRPr="004D4E20" w:rsidR="00700DBA">
        <w:rPr>
          <w:rFonts w:ascii="Times New Roman" w:hAnsi="Times New Roman"/>
          <w:sz w:val="24"/>
          <w:szCs w:val="24"/>
        </w:rPr>
        <w:t xml:space="preserve"> </w:t>
      </w:r>
      <w:r w:rsidRPr="004D4E20" w:rsidR="00801B9C">
        <w:rPr>
          <w:rFonts w:ascii="Times New Roman" w:hAnsi="Times New Roman"/>
          <w:sz w:val="24"/>
          <w:szCs w:val="24"/>
        </w:rPr>
        <w:t>na slovenské technické normy priamo v texte právneho predpisu. Táto možnosť je však podmienená včasným oznámením takéhoto zámeru slovenskému národnému normalizačnému orgánu a uhradením, resp. refundáciou nákladov súvisiacich so spracovaním a poskytovaním slovenských technických noriem slovenskému národnému normalizačnému orgánu. Toto</w:t>
      </w:r>
      <w:r w:rsidRPr="004D4E20" w:rsidR="001A43A3">
        <w:rPr>
          <w:rFonts w:ascii="Times New Roman" w:hAnsi="Times New Roman"/>
          <w:sz w:val="24"/>
          <w:szCs w:val="24"/>
        </w:rPr>
        <w:t xml:space="preserve"> </w:t>
      </w:r>
      <w:r w:rsidRPr="004D4E20" w:rsidR="00801B9C">
        <w:rPr>
          <w:rFonts w:ascii="Times New Roman" w:hAnsi="Times New Roman"/>
          <w:sz w:val="24"/>
          <w:szCs w:val="24"/>
        </w:rPr>
        <w:t>sa netýka odkazov na slovenské technické normy v právnych prepisoch uvedené v poznámkach pod čiarou, ktoré majú podľa Legislatívnych pravidiel vlády Slovenskej republiky informatívny charakter.</w:t>
      </w:r>
    </w:p>
    <w:p w:rsidR="00DE092B" w:rsidRPr="004D4E20" w:rsidP="00700DBA">
      <w:pPr>
        <w:divId w:val="1"/>
        <w:bidi w:val="0"/>
        <w:jc w:val="both"/>
        <w:rPr>
          <w:rFonts w:ascii="Times New Roman" w:hAnsi="Times New Roman"/>
          <w:sz w:val="24"/>
          <w:szCs w:val="24"/>
        </w:rPr>
      </w:pPr>
      <w:r w:rsidRPr="004D4E20" w:rsidR="00801B9C">
        <w:rPr>
          <w:rFonts w:ascii="Times New Roman" w:hAnsi="Times New Roman"/>
          <w:sz w:val="24"/>
          <w:szCs w:val="24"/>
        </w:rPr>
        <w:t>Návrh zákona má pozitívn</w:t>
      </w:r>
      <w:r w:rsidRPr="004D4E20" w:rsidR="004C0E71">
        <w:rPr>
          <w:rFonts w:ascii="Times New Roman" w:hAnsi="Times New Roman"/>
          <w:sz w:val="24"/>
          <w:szCs w:val="24"/>
        </w:rPr>
        <w:t>e</w:t>
      </w:r>
      <w:r w:rsidRPr="004D4E20" w:rsidR="00801B9C">
        <w:rPr>
          <w:rFonts w:ascii="Times New Roman" w:hAnsi="Times New Roman"/>
          <w:sz w:val="24"/>
          <w:szCs w:val="24"/>
        </w:rPr>
        <w:t xml:space="preserve"> vplyv</w:t>
      </w:r>
      <w:r w:rsidRPr="004D4E20" w:rsidR="004C0E71">
        <w:rPr>
          <w:rFonts w:ascii="Times New Roman" w:hAnsi="Times New Roman"/>
          <w:sz w:val="24"/>
          <w:szCs w:val="24"/>
        </w:rPr>
        <w:t>y</w:t>
      </w:r>
      <w:r w:rsidRPr="004D4E20" w:rsidR="00801B9C">
        <w:rPr>
          <w:rFonts w:ascii="Times New Roman" w:hAnsi="Times New Roman"/>
          <w:sz w:val="24"/>
          <w:szCs w:val="24"/>
        </w:rPr>
        <w:t xml:space="preserve"> na podnikateľské prostredie a nemá vplyv</w:t>
      </w:r>
      <w:r w:rsidRPr="004D4E20" w:rsidR="004C0E71">
        <w:rPr>
          <w:rFonts w:ascii="Times New Roman" w:hAnsi="Times New Roman"/>
          <w:sz w:val="24"/>
          <w:szCs w:val="24"/>
        </w:rPr>
        <w:t>y</w:t>
      </w:r>
      <w:r w:rsidRPr="004D4E20" w:rsidR="00801B9C">
        <w:rPr>
          <w:rFonts w:ascii="Times New Roman" w:hAnsi="Times New Roman"/>
          <w:sz w:val="24"/>
          <w:szCs w:val="24"/>
        </w:rPr>
        <w:t xml:space="preserve"> na rozpočet verejnej správy, </w:t>
      </w:r>
      <w:r w:rsidRPr="004D4E20" w:rsidR="004C0E71">
        <w:rPr>
          <w:rFonts w:ascii="Times New Roman" w:hAnsi="Times New Roman"/>
          <w:sz w:val="24"/>
          <w:szCs w:val="24"/>
        </w:rPr>
        <w:t xml:space="preserve">nemá sociálne vplyvy, vplyvy na životné prostredie, </w:t>
      </w:r>
      <w:r w:rsidRPr="004D4E20" w:rsidR="00801B9C">
        <w:rPr>
          <w:rFonts w:ascii="Times New Roman" w:hAnsi="Times New Roman"/>
          <w:sz w:val="24"/>
          <w:szCs w:val="24"/>
        </w:rPr>
        <w:t>na informatizáciu spoločnosti, ani vply</w:t>
      </w:r>
      <w:r w:rsidRPr="004D4E20" w:rsidR="004C0E71">
        <w:rPr>
          <w:rFonts w:ascii="Times New Roman" w:hAnsi="Times New Roman"/>
          <w:sz w:val="24"/>
          <w:szCs w:val="24"/>
        </w:rPr>
        <w:t>vy</w:t>
      </w:r>
      <w:r w:rsidRPr="004D4E20" w:rsidR="00801B9C">
        <w:rPr>
          <w:rFonts w:ascii="Times New Roman" w:hAnsi="Times New Roman"/>
          <w:sz w:val="24"/>
          <w:szCs w:val="24"/>
        </w:rPr>
        <w:t xml:space="preserve"> na služ</w:t>
      </w:r>
      <w:r w:rsidRPr="004D4E20" w:rsidR="00026E6B">
        <w:rPr>
          <w:rFonts w:ascii="Times New Roman" w:hAnsi="Times New Roman"/>
          <w:sz w:val="24"/>
          <w:szCs w:val="24"/>
        </w:rPr>
        <w:t xml:space="preserve">by verejnej správy pre občana. </w:t>
      </w:r>
    </w:p>
    <w:p w:rsidR="00D710A5" w:rsidRPr="004D4E20" w:rsidP="00700DBA">
      <w:pPr>
        <w:divId w:val="1"/>
        <w:bidi w:val="0"/>
        <w:jc w:val="both"/>
        <w:rPr>
          <w:rFonts w:ascii="Times New Roman" w:hAnsi="Times New Roman"/>
          <w:sz w:val="24"/>
          <w:szCs w:val="24"/>
        </w:rPr>
      </w:pPr>
      <w:r w:rsidRPr="004D4E20" w:rsidR="00801B9C">
        <w:rPr>
          <w:rFonts w:ascii="Times New Roman" w:hAnsi="Times New Roman"/>
          <w:sz w:val="24"/>
          <w:szCs w:val="24"/>
        </w:rPr>
        <w:t>Návrh zákona je v súlade s Ústavou Slovenskej republiky, s ústavnými zákonmi a nálezmi Ústavného súdu Slovenskej republiky, so zákonmi a ostatnými všeobecne záväznými právnymi predpismi platnými v Slovenskej republike, s medzinárodnými zmluvami</w:t>
      </w:r>
      <w:r w:rsidRPr="004D4E20" w:rsidR="0002188B">
        <w:rPr>
          <w:rFonts w:ascii="Times New Roman" w:hAnsi="Times New Roman"/>
          <w:sz w:val="24"/>
          <w:szCs w:val="24"/>
        </w:rPr>
        <w:t xml:space="preserve"> a inými medzinárodnými dokumentmi</w:t>
      </w:r>
      <w:r w:rsidRPr="004D4E20" w:rsidR="00801B9C">
        <w:rPr>
          <w:rFonts w:ascii="Times New Roman" w:hAnsi="Times New Roman"/>
          <w:sz w:val="24"/>
          <w:szCs w:val="24"/>
        </w:rPr>
        <w:t>, ktorými je Slovenská republika viazaná, ako aj s právom Európskej únie.</w:t>
      </w:r>
    </w:p>
    <w:p w:rsidR="004D4E20" w:rsidRPr="004D4E20" w:rsidP="00700DBA">
      <w:pPr>
        <w:divId w:val="1"/>
        <w:bidi w:val="0"/>
        <w:jc w:val="both"/>
        <w:rPr>
          <w:rFonts w:ascii="Times New Roman" w:hAnsi="Times New Roman"/>
          <w:sz w:val="24"/>
          <w:szCs w:val="24"/>
        </w:rPr>
      </w:pPr>
    </w:p>
    <w:p w:rsidR="004D4E20" w:rsidRPr="004D4E20" w:rsidP="00700DBA">
      <w:pPr>
        <w:divId w:val="1"/>
        <w:bidi w:val="0"/>
        <w:jc w:val="both"/>
        <w:rPr>
          <w:rFonts w:ascii="Times New Roman" w:hAnsi="Times New Roman"/>
          <w:sz w:val="24"/>
          <w:szCs w:val="24"/>
        </w:rPr>
      </w:pPr>
      <w:r w:rsidRPr="004D4E20">
        <w:rPr>
          <w:rFonts w:ascii="Times New Roman" w:hAnsi="Times New Roman"/>
          <w:sz w:val="24"/>
          <w:szCs w:val="24"/>
        </w:rPr>
        <w:br w:type="page"/>
      </w:r>
    </w:p>
    <w:p w:rsidR="004D4E20" w:rsidRPr="004D4E20" w:rsidP="004D4E20">
      <w:pPr>
        <w:divId w:val="1"/>
        <w:bidi w:val="0"/>
        <w:jc w:val="center"/>
        <w:rPr>
          <w:rFonts w:ascii="Times New Roman" w:hAnsi="Times New Roman"/>
          <w:b/>
          <w:bCs/>
          <w:sz w:val="24"/>
          <w:szCs w:val="24"/>
        </w:rPr>
      </w:pPr>
      <w:r w:rsidRPr="004D4E20">
        <w:rPr>
          <w:rFonts w:ascii="Times New Roman" w:hAnsi="Times New Roman"/>
          <w:b/>
          <w:bCs/>
          <w:sz w:val="24"/>
          <w:szCs w:val="24"/>
        </w:rPr>
        <w:t>Doložka vybraných vplyvov</w:t>
      </w:r>
    </w:p>
    <w:p w:rsidR="004D4E20" w:rsidRPr="004D4E20" w:rsidP="004D4E20">
      <w:pPr>
        <w:pStyle w:val="ListParagraph"/>
        <w:divId w:val="1"/>
        <w:bidi w:val="0"/>
        <w:ind w:left="426"/>
        <w:rPr>
          <w:rFonts w:ascii="Times New Roman" w:hAnsi="Times New Roman" w:cs="Times New Roman"/>
          <w:b/>
          <w:sz w:val="24"/>
          <w:szCs w:val="24"/>
        </w:rPr>
      </w:pPr>
    </w:p>
    <w:tbl>
      <w:tblPr>
        <w:tblStyle w:val="TableGrid"/>
        <w:tblW w:w="9180" w:type="dxa"/>
        <w:tblLayout w:type="fixed"/>
        <w:tblLook w:val="04A0"/>
      </w:tblPr>
      <w:tblGrid>
        <w:gridCol w:w="3812"/>
        <w:gridCol w:w="400"/>
        <w:gridCol w:w="141"/>
        <w:gridCol w:w="564"/>
        <w:gridCol w:w="717"/>
        <w:gridCol w:w="569"/>
        <w:gridCol w:w="1133"/>
        <w:gridCol w:w="284"/>
        <w:gridCol w:w="263"/>
        <w:gridCol w:w="1297"/>
      </w:tblGrid>
      <w:tr>
        <w:tblPrEx>
          <w:tblW w:w="9180" w:type="dxa"/>
          <w:tblLayout w:type="fixed"/>
          <w:tblLook w:val="04A0"/>
        </w:tblPrEx>
        <w:trPr>
          <w:divId w:val="1"/>
        </w:trPr>
        <w:tc>
          <w:tcPr>
            <w:tcW w:w="9180" w:type="dxa"/>
            <w:gridSpan w:val="10"/>
            <w:tcBorders>
              <w:top w:val="single" w:sz="4" w:space="0" w:color="auto"/>
              <w:left w:val="single" w:sz="4" w:space="0" w:color="auto"/>
              <w:bottom w:val="single" w:sz="4" w:space="0" w:color="auto"/>
              <w:right w:val="single" w:sz="4" w:space="0" w:color="auto"/>
            </w:tcBorders>
            <w:shd w:val="clear" w:color="auto" w:fill="E2E2E2"/>
            <w:textDirection w:val="lrTb"/>
            <w:vAlign w:val="top"/>
          </w:tcPr>
          <w:p w:rsidR="004D4E20" w:rsidRPr="004D4E20" w:rsidP="00E00D13">
            <w:pPr>
              <w:pStyle w:val="ListParagraph"/>
              <w:numPr>
                <w:numId w:val="1"/>
              </w:numPr>
              <w:autoSpaceDE w:val="0"/>
              <w:autoSpaceDN w:val="0"/>
              <w:bidi w:val="0"/>
              <w:spacing w:after="0" w:line="240" w:lineRule="auto"/>
              <w:ind w:left="426"/>
              <w:rPr>
                <w:rFonts w:ascii="Times New Roman" w:hAnsi="Times New Roman" w:cs="Times New Roman"/>
                <w:b/>
                <w:sz w:val="24"/>
                <w:szCs w:val="24"/>
                <w:lang w:eastAsia="sk-SK"/>
              </w:rPr>
            </w:pPr>
            <w:r w:rsidRPr="004D4E20">
              <w:rPr>
                <w:rFonts w:ascii="Times New Roman" w:hAnsi="Times New Roman" w:cs="Times New Roman"/>
                <w:b/>
                <w:sz w:val="24"/>
                <w:szCs w:val="24"/>
                <w:lang w:eastAsia="sk-SK"/>
              </w:rPr>
              <w:t>Základné údaje</w:t>
            </w:r>
          </w:p>
        </w:tc>
      </w:tr>
      <w:tr>
        <w:tblPrEx>
          <w:tblW w:w="9180" w:type="dxa"/>
          <w:tblLayout w:type="fixed"/>
          <w:tblLook w:val="04A0"/>
        </w:tblPrEx>
        <w:trPr>
          <w:divId w:val="1"/>
        </w:trPr>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4D4E20" w:rsidRPr="004D4E20" w:rsidP="00E00D13">
            <w:pPr>
              <w:pStyle w:val="ListParagraph"/>
              <w:autoSpaceDE w:val="0"/>
              <w:autoSpaceDN w:val="0"/>
              <w:bidi w:val="0"/>
              <w:spacing w:after="0" w:line="240" w:lineRule="auto"/>
              <w:ind w:left="142"/>
              <w:rPr>
                <w:rFonts w:ascii="Times New Roman" w:hAnsi="Times New Roman" w:cs="Times New Roman"/>
                <w:b/>
                <w:sz w:val="24"/>
                <w:szCs w:val="24"/>
                <w:lang w:eastAsia="sk-SK"/>
              </w:rPr>
            </w:pPr>
            <w:r w:rsidRPr="004D4E20">
              <w:rPr>
                <w:rFonts w:ascii="Times New Roman" w:hAnsi="Times New Roman" w:cs="Times New Roman"/>
                <w:b/>
                <w:sz w:val="24"/>
                <w:szCs w:val="24"/>
                <w:lang w:eastAsia="sk-SK"/>
              </w:rPr>
              <w:t xml:space="preserve">Názov materiálu </w:t>
            </w:r>
          </w:p>
        </w:tc>
      </w:tr>
      <w:tr>
        <w:tblPrEx>
          <w:tblW w:w="9180" w:type="dxa"/>
          <w:tblLayout w:type="fixed"/>
          <w:tblLook w:val="04A0"/>
        </w:tblPrEx>
        <w:trPr>
          <w:divId w:val="1"/>
        </w:trPr>
        <w:tc>
          <w:tcPr>
            <w:tcW w:w="9180" w:type="dxa"/>
            <w:gridSpan w:val="10"/>
            <w:tcBorders>
              <w:top w:val="single" w:sz="4" w:space="0" w:color="FFFFFF"/>
              <w:left w:val="single" w:sz="4" w:space="0" w:color="auto"/>
              <w:bottom w:val="single" w:sz="4" w:space="0" w:color="auto"/>
              <w:right w:val="single" w:sz="4" w:space="0" w:color="auto"/>
            </w:tcBorders>
            <w:textDirection w:val="lrTb"/>
            <w:vAlign w:val="top"/>
          </w:tcPr>
          <w:p w:rsidR="004D4E20" w:rsidRPr="004D4E20" w:rsidP="00E00D13">
            <w:pPr>
              <w:autoSpaceDE w:val="0"/>
              <w:autoSpaceDN w:val="0"/>
              <w:bidi w:val="0"/>
              <w:spacing w:after="0" w:line="240" w:lineRule="auto"/>
              <w:rPr>
                <w:rFonts w:ascii="Times New Roman" w:hAnsi="Times New Roman"/>
                <w:sz w:val="24"/>
                <w:szCs w:val="24"/>
                <w:lang w:eastAsia="sk-SK"/>
              </w:rPr>
            </w:pPr>
            <w:r w:rsidRPr="004D4E20">
              <w:rPr>
                <w:rFonts w:ascii="Times New Roman" w:hAnsi="Times New Roman"/>
                <w:sz w:val="24"/>
                <w:szCs w:val="24"/>
                <w:lang w:eastAsia="sk-SK"/>
              </w:rPr>
              <w:t>Návrh zákona o technickej normalizácii a o zmene zákona č. 264/1999 Z. z. o technických požiadavkách na výrobky a o posudzovaní zhody a o zmene a doplnení niektorých zákonov                      v znení neskorších predpisov (ďalej len „návrh zákona“).</w:t>
            </w:r>
          </w:p>
        </w:tc>
      </w:tr>
      <w:tr>
        <w:tblPrEx>
          <w:tblW w:w="9180" w:type="dxa"/>
          <w:tblLayout w:type="fixed"/>
          <w:tblLook w:val="04A0"/>
        </w:tblPrEx>
        <w:trPr>
          <w:divId w:val="1"/>
        </w:trPr>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4D4E20" w:rsidRPr="004D4E20" w:rsidP="00E00D13">
            <w:pPr>
              <w:pStyle w:val="ListParagraph"/>
              <w:autoSpaceDE w:val="0"/>
              <w:autoSpaceDN w:val="0"/>
              <w:bidi w:val="0"/>
              <w:spacing w:after="0" w:line="240" w:lineRule="auto"/>
              <w:ind w:left="142"/>
              <w:rPr>
                <w:rFonts w:ascii="Times New Roman" w:hAnsi="Times New Roman" w:cs="Times New Roman"/>
                <w:b/>
                <w:sz w:val="24"/>
                <w:szCs w:val="24"/>
                <w:lang w:eastAsia="sk-SK"/>
              </w:rPr>
            </w:pPr>
            <w:r w:rsidRPr="004D4E20">
              <w:rPr>
                <w:rFonts w:ascii="Times New Roman" w:hAnsi="Times New Roman" w:cs="Times New Roman"/>
                <w:b/>
                <w:sz w:val="24"/>
                <w:szCs w:val="24"/>
                <w:lang w:eastAsia="sk-SK"/>
              </w:rPr>
              <w:t>Predkladateľ (a spolupredkladateľ)</w:t>
            </w:r>
          </w:p>
        </w:tc>
      </w:tr>
      <w:tr>
        <w:tblPrEx>
          <w:tblW w:w="9180" w:type="dxa"/>
          <w:tblLayout w:type="fixed"/>
          <w:tblLook w:val="04A0"/>
        </w:tblPrEx>
        <w:trPr>
          <w:divId w:val="1"/>
        </w:trPr>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4D4E20" w:rsidRPr="004D4E20" w:rsidP="00E00D13">
            <w:pPr>
              <w:autoSpaceDE w:val="0"/>
              <w:autoSpaceDN w:val="0"/>
              <w:bidi w:val="0"/>
              <w:spacing w:after="0" w:line="240" w:lineRule="auto"/>
              <w:rPr>
                <w:rFonts w:ascii="Times New Roman" w:hAnsi="Times New Roman"/>
                <w:sz w:val="24"/>
                <w:szCs w:val="24"/>
                <w:lang w:eastAsia="sk-SK"/>
              </w:rPr>
            </w:pPr>
            <w:r w:rsidRPr="004D4E20">
              <w:rPr>
                <w:rFonts w:ascii="Times New Roman" w:hAnsi="Times New Roman"/>
                <w:sz w:val="24"/>
                <w:szCs w:val="24"/>
                <w:lang w:eastAsia="sk-SK"/>
              </w:rPr>
              <w:t>Úrad pre normalizáciu, metrológiu a skúšobníctvo Slovenskej republiky (ďalej len „úrad“).</w:t>
            </w:r>
          </w:p>
        </w:tc>
      </w:tr>
      <w:tr>
        <w:tblPrEx>
          <w:tblW w:w="9180" w:type="dxa"/>
          <w:tblLayout w:type="fixed"/>
          <w:tblLook w:val="04A0"/>
        </w:tblPrEx>
        <w:trPr>
          <w:divId w:val="1"/>
        </w:trPr>
        <w:tc>
          <w:tcPr>
            <w:tcW w:w="4212" w:type="dxa"/>
            <w:gridSpan w:val="2"/>
            <w:vMerge w:val="restart"/>
            <w:tcBorders>
              <w:top w:val="single" w:sz="4" w:space="0" w:color="auto"/>
              <w:left w:val="single" w:sz="4" w:space="0" w:color="auto"/>
              <w:bottom w:val="single" w:sz="4" w:space="0" w:color="FFFFFF"/>
              <w:right w:val="none" w:sz="0" w:space="0" w:color="auto"/>
            </w:tcBorders>
            <w:shd w:val="clear" w:color="auto" w:fill="E2E2E2"/>
            <w:textDirection w:val="lrTb"/>
            <w:vAlign w:val="center"/>
          </w:tcPr>
          <w:p w:rsidR="004D4E20" w:rsidRPr="004D4E20" w:rsidP="00E00D13">
            <w:pPr>
              <w:pStyle w:val="ListParagraph"/>
              <w:autoSpaceDE w:val="0"/>
              <w:autoSpaceDN w:val="0"/>
              <w:bidi w:val="0"/>
              <w:spacing w:after="0" w:line="240" w:lineRule="auto"/>
              <w:ind w:left="142"/>
              <w:rPr>
                <w:rFonts w:ascii="Times New Roman" w:hAnsi="Times New Roman" w:cs="Times New Roman"/>
                <w:b/>
                <w:sz w:val="24"/>
                <w:szCs w:val="24"/>
                <w:lang w:eastAsia="sk-SK"/>
              </w:rPr>
            </w:pPr>
            <w:r w:rsidRPr="004D4E20">
              <w:rPr>
                <w:rFonts w:ascii="Times New Roman" w:hAnsi="Times New Roman" w:cs="Times New Roman"/>
                <w:b/>
                <w:sz w:val="24"/>
                <w:szCs w:val="24"/>
                <w:lang w:eastAsia="sk-SK"/>
              </w:rPr>
              <w:t>Charakter predkladaného materiálu</w:t>
            </w: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4D4E20" w:rsidRPr="004D4E20" w:rsidP="00E00D13">
            <w:pPr>
              <w:autoSpaceDE w:val="0"/>
              <w:autoSpaceDN w:val="0"/>
              <w:bidi w:val="0"/>
              <w:spacing w:after="0" w:line="240" w:lineRule="auto"/>
              <w:jc w:val="center"/>
              <w:rPr>
                <w:rFonts w:ascii="Times New Roman" w:hAnsi="Times New Roman"/>
                <w:sz w:val="24"/>
                <w:szCs w:val="24"/>
                <w:lang w:eastAsia="sk-SK"/>
              </w:rPr>
            </w:pPr>
            <w:r w:rsidRPr="004D4E20">
              <w:rPr>
                <w:rFonts w:ascii="MS Mincho" w:eastAsia="MS Mincho" w:hAnsi="MS Mincho" w:cs="MS Mincho" w:hint="eastAsia"/>
                <w:sz w:val="24"/>
                <w:szCs w:val="24"/>
                <w:lang w:eastAsia="sk-SK"/>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4D4E20" w:rsidRPr="004D4E20" w:rsidP="00E00D13">
            <w:pPr>
              <w:autoSpaceDE w:val="0"/>
              <w:autoSpaceDN w:val="0"/>
              <w:bidi w:val="0"/>
              <w:spacing w:after="0" w:line="240" w:lineRule="auto"/>
              <w:rPr>
                <w:rFonts w:ascii="Times New Roman" w:hAnsi="Times New Roman"/>
                <w:sz w:val="24"/>
                <w:szCs w:val="24"/>
                <w:lang w:eastAsia="sk-SK"/>
              </w:rPr>
            </w:pPr>
            <w:r w:rsidRPr="004D4E20">
              <w:rPr>
                <w:rFonts w:ascii="Times New Roman" w:hAnsi="Times New Roman"/>
                <w:sz w:val="24"/>
                <w:szCs w:val="24"/>
                <w:lang w:eastAsia="sk-SK"/>
              </w:rPr>
              <w:t>Materiál nelegislatívnej povahy</w:t>
            </w:r>
          </w:p>
        </w:tc>
      </w:tr>
      <w:tr>
        <w:tblPrEx>
          <w:tblW w:w="9180" w:type="dxa"/>
          <w:tblLayout w:type="fixed"/>
          <w:tblLook w:val="04A0"/>
        </w:tblPrEx>
        <w:trPr>
          <w:divId w:val="1"/>
        </w:trPr>
        <w:tc>
          <w:tcPr>
            <w:tcW w:w="4212" w:type="dxa"/>
            <w:gridSpan w:val="2"/>
            <w:vMerge/>
            <w:tcBorders>
              <w:top w:val="nil"/>
              <w:left w:val="single" w:sz="4" w:space="0" w:color="auto"/>
              <w:bottom w:val="single" w:sz="4" w:space="0" w:color="FFFFFF"/>
              <w:right w:val="none" w:sz="0" w:space="0" w:color="auto"/>
            </w:tcBorders>
            <w:shd w:val="clear" w:color="auto" w:fill="E2E2E2"/>
            <w:textDirection w:val="lrTb"/>
            <w:vAlign w:val="top"/>
          </w:tcPr>
          <w:p w:rsidR="004D4E20" w:rsidRPr="004D4E20" w:rsidP="00E00D13">
            <w:pPr>
              <w:autoSpaceDE w:val="0"/>
              <w:autoSpaceDN w:val="0"/>
              <w:bidi w:val="0"/>
              <w:spacing w:after="0" w:line="240" w:lineRule="auto"/>
              <w:rPr>
                <w:rFonts w:ascii="Times New Roman" w:hAnsi="Times New Roman"/>
                <w:sz w:val="24"/>
                <w:szCs w:val="24"/>
                <w:lang w:eastAsia="sk-SK"/>
              </w:rPr>
            </w:pP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4D4E20" w:rsidRPr="004D4E20" w:rsidP="00E00D13">
            <w:pPr>
              <w:autoSpaceDE w:val="0"/>
              <w:autoSpaceDN w:val="0"/>
              <w:bidi w:val="0"/>
              <w:spacing w:after="0" w:line="240" w:lineRule="auto"/>
              <w:jc w:val="center"/>
              <w:rPr>
                <w:rFonts w:ascii="Times New Roman" w:hAnsi="Times New Roman"/>
                <w:sz w:val="24"/>
                <w:szCs w:val="24"/>
                <w:lang w:eastAsia="sk-SK"/>
              </w:rPr>
            </w:pPr>
            <w:r w:rsidRPr="004D4E20">
              <w:rPr>
                <w:rFonts w:ascii="MS Mincho" w:eastAsia="MS Mincho" w:hAnsi="MS Mincho" w:cs="MS Mincho" w:hint="eastAsia"/>
                <w:sz w:val="24"/>
                <w:szCs w:val="24"/>
                <w:lang w:eastAsia="sk-SK"/>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4D4E20" w:rsidRPr="004D4E20" w:rsidP="00E00D13">
            <w:pPr>
              <w:autoSpaceDE w:val="0"/>
              <w:autoSpaceDN w:val="0"/>
              <w:bidi w:val="0"/>
              <w:spacing w:after="0" w:line="240" w:lineRule="auto"/>
              <w:ind w:left="175" w:hanging="175"/>
              <w:rPr>
                <w:rFonts w:ascii="Times New Roman" w:hAnsi="Times New Roman"/>
                <w:sz w:val="24"/>
                <w:szCs w:val="24"/>
                <w:lang w:eastAsia="sk-SK"/>
              </w:rPr>
            </w:pPr>
            <w:r w:rsidRPr="004D4E20">
              <w:rPr>
                <w:rFonts w:ascii="Times New Roman" w:hAnsi="Times New Roman"/>
                <w:sz w:val="24"/>
                <w:szCs w:val="24"/>
                <w:lang w:eastAsia="sk-SK"/>
              </w:rPr>
              <w:t>Materiál legislatívnej povahy</w:t>
            </w:r>
          </w:p>
        </w:tc>
      </w:tr>
      <w:tr>
        <w:tblPrEx>
          <w:tblW w:w="9180" w:type="dxa"/>
          <w:tblLayout w:type="fixed"/>
          <w:tblLook w:val="04A0"/>
        </w:tblPrEx>
        <w:trPr>
          <w:divId w:val="1"/>
        </w:trPr>
        <w:tc>
          <w:tcPr>
            <w:tcW w:w="4212" w:type="dxa"/>
            <w:gridSpan w:val="2"/>
            <w:vMerge/>
            <w:tcBorders>
              <w:top w:val="nil"/>
              <w:left w:val="single" w:sz="4" w:space="0" w:color="auto"/>
              <w:bottom w:val="single" w:sz="4" w:space="0" w:color="auto"/>
              <w:right w:val="none" w:sz="0" w:space="0" w:color="auto"/>
            </w:tcBorders>
            <w:shd w:val="clear" w:color="auto" w:fill="E2E2E2"/>
            <w:textDirection w:val="lrTb"/>
            <w:vAlign w:val="top"/>
          </w:tcPr>
          <w:p w:rsidR="004D4E20" w:rsidRPr="004D4E20" w:rsidP="00E00D13">
            <w:pPr>
              <w:autoSpaceDE w:val="0"/>
              <w:autoSpaceDN w:val="0"/>
              <w:bidi w:val="0"/>
              <w:spacing w:after="0" w:line="240" w:lineRule="auto"/>
              <w:rPr>
                <w:rFonts w:ascii="Times New Roman" w:hAnsi="Times New Roman"/>
                <w:sz w:val="24"/>
                <w:szCs w:val="24"/>
                <w:lang w:eastAsia="sk-SK"/>
              </w:rPr>
            </w:pP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4D4E20" w:rsidRPr="004D4E20" w:rsidP="00E00D13">
            <w:pPr>
              <w:autoSpaceDE w:val="0"/>
              <w:autoSpaceDN w:val="0"/>
              <w:bidi w:val="0"/>
              <w:spacing w:after="0" w:line="240" w:lineRule="auto"/>
              <w:jc w:val="center"/>
              <w:rPr>
                <w:rFonts w:ascii="Times New Roman" w:hAnsi="Times New Roman"/>
                <w:sz w:val="24"/>
                <w:szCs w:val="24"/>
                <w:lang w:eastAsia="sk-SK"/>
              </w:rPr>
            </w:pPr>
            <w:r w:rsidRPr="004D4E20">
              <w:rPr>
                <w:rFonts w:ascii="MS Mincho" w:eastAsia="MS Mincho" w:hAnsi="MS Mincho" w:cs="MS Mincho" w:hint="eastAsia"/>
                <w:sz w:val="24"/>
                <w:szCs w:val="24"/>
                <w:lang w:eastAsia="sk-SK"/>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4D4E20" w:rsidRPr="004D4E20" w:rsidP="00E00D13">
            <w:pPr>
              <w:autoSpaceDE w:val="0"/>
              <w:autoSpaceDN w:val="0"/>
              <w:bidi w:val="0"/>
              <w:spacing w:after="0" w:line="240" w:lineRule="auto"/>
              <w:rPr>
                <w:rFonts w:ascii="Times New Roman" w:hAnsi="Times New Roman"/>
                <w:sz w:val="24"/>
                <w:szCs w:val="24"/>
                <w:lang w:eastAsia="sk-SK"/>
              </w:rPr>
            </w:pPr>
            <w:r w:rsidRPr="004D4E20">
              <w:rPr>
                <w:rFonts w:ascii="Times New Roman" w:hAnsi="Times New Roman"/>
                <w:sz w:val="24"/>
                <w:szCs w:val="24"/>
                <w:lang w:eastAsia="sk-SK"/>
              </w:rPr>
              <w:t>Transpozícia práva EÚ</w:t>
            </w:r>
          </w:p>
        </w:tc>
      </w:tr>
      <w:tr>
        <w:tblPrEx>
          <w:tblW w:w="9180" w:type="dxa"/>
          <w:tblLayout w:type="fixed"/>
          <w:tblLook w:val="04A0"/>
        </w:tblPrEx>
        <w:trPr>
          <w:divId w:val="1"/>
        </w:trPr>
        <w:tc>
          <w:tcPr>
            <w:tcW w:w="9180" w:type="dxa"/>
            <w:gridSpan w:val="10"/>
            <w:tcBorders>
              <w:top w:val="single" w:sz="4" w:space="0" w:color="auto"/>
              <w:left w:val="single" w:sz="4" w:space="0" w:color="auto"/>
              <w:bottom w:val="single" w:sz="4" w:space="0" w:color="FFFFFF"/>
              <w:right w:val="single" w:sz="4" w:space="0" w:color="auto"/>
            </w:tcBorders>
            <w:shd w:val="clear" w:color="auto" w:fill="FFFFFF"/>
            <w:textDirection w:val="lrTb"/>
            <w:vAlign w:val="top"/>
          </w:tcPr>
          <w:p w:rsidR="004D4E20" w:rsidRPr="004D4E20" w:rsidP="00E00D13">
            <w:pPr>
              <w:autoSpaceDE w:val="0"/>
              <w:autoSpaceDN w:val="0"/>
              <w:bidi w:val="0"/>
              <w:spacing w:after="0" w:line="240" w:lineRule="auto"/>
              <w:rPr>
                <w:rFonts w:ascii="Times New Roman" w:hAnsi="Times New Roman"/>
                <w:sz w:val="24"/>
                <w:szCs w:val="24"/>
                <w:lang w:eastAsia="sk-SK"/>
              </w:rPr>
            </w:pPr>
          </w:p>
          <w:p w:rsidR="004D4E20" w:rsidRPr="004D4E20" w:rsidP="00E00D13">
            <w:pPr>
              <w:autoSpaceDE w:val="0"/>
              <w:autoSpaceDN w:val="0"/>
              <w:bidi w:val="0"/>
              <w:spacing w:after="0" w:line="240" w:lineRule="auto"/>
              <w:rPr>
                <w:rFonts w:ascii="Times New Roman" w:hAnsi="Times New Roman"/>
                <w:sz w:val="24"/>
                <w:szCs w:val="24"/>
                <w:lang w:eastAsia="sk-SK"/>
              </w:rPr>
            </w:pPr>
          </w:p>
        </w:tc>
      </w:tr>
      <w:tr>
        <w:tblPrEx>
          <w:tblW w:w="9180" w:type="dxa"/>
          <w:tblLayout w:type="fixed"/>
          <w:tblLook w:val="04A0"/>
        </w:tblPrEx>
        <w:trPr>
          <w:divId w:val="1"/>
        </w:trPr>
        <w:tc>
          <w:tcPr>
            <w:tcW w:w="5634" w:type="dxa"/>
            <w:gridSpan w:val="5"/>
            <w:tcBorders>
              <w:top w:val="single" w:sz="4" w:space="0" w:color="000000"/>
              <w:left w:val="single" w:sz="4" w:space="0" w:color="auto"/>
              <w:bottom w:val="single" w:sz="4" w:space="0" w:color="FFFFFF"/>
              <w:right w:val="single" w:sz="4" w:space="0" w:color="auto"/>
            </w:tcBorders>
            <w:shd w:val="clear" w:color="auto" w:fill="E2E2E2"/>
            <w:textDirection w:val="lrTb"/>
            <w:vAlign w:val="top"/>
          </w:tcPr>
          <w:p w:rsidR="004D4E20" w:rsidRPr="004D4E20" w:rsidP="004D4E20">
            <w:pPr>
              <w:pStyle w:val="ListParagraph"/>
              <w:autoSpaceDE w:val="0"/>
              <w:autoSpaceDN w:val="0"/>
              <w:bidi w:val="0"/>
              <w:spacing w:after="240" w:line="240" w:lineRule="auto"/>
              <w:ind w:left="142"/>
              <w:contextualSpacing w:val="0"/>
              <w:rPr>
                <w:rFonts w:ascii="Times New Roman" w:hAnsi="Times New Roman" w:cs="Times New Roman"/>
                <w:b/>
                <w:sz w:val="24"/>
                <w:szCs w:val="24"/>
                <w:lang w:eastAsia="sk-SK"/>
              </w:rPr>
            </w:pPr>
            <w:r w:rsidRPr="004D4E20">
              <w:rPr>
                <w:rFonts w:ascii="Times New Roman" w:hAnsi="Times New Roman" w:cs="Times New Roman"/>
                <w:b/>
                <w:sz w:val="24"/>
                <w:szCs w:val="24"/>
                <w:lang w:eastAsia="sk-SK"/>
              </w:rPr>
              <w:t>Termín začiatku a ukončenia PPK</w:t>
            </w:r>
          </w:p>
        </w:tc>
        <w:tc>
          <w:tcPr>
            <w:tcW w:w="3546" w:type="dxa"/>
            <w:gridSpan w:val="5"/>
            <w:tcBorders>
              <w:top w:val="single" w:sz="4" w:space="0" w:color="000000"/>
              <w:left w:val="single" w:sz="4" w:space="0" w:color="auto"/>
              <w:bottom w:val="single" w:sz="4" w:space="0" w:color="auto"/>
              <w:right w:val="single" w:sz="4" w:space="0" w:color="auto"/>
            </w:tcBorders>
            <w:textDirection w:val="lrTb"/>
            <w:vAlign w:val="top"/>
          </w:tcPr>
          <w:p w:rsidR="004D4E20" w:rsidRPr="004D4E20" w:rsidP="00E00D13">
            <w:pPr>
              <w:autoSpaceDE w:val="0"/>
              <w:autoSpaceDN w:val="0"/>
              <w:bidi w:val="0"/>
              <w:spacing w:after="0" w:line="240" w:lineRule="auto"/>
              <w:rPr>
                <w:rFonts w:ascii="Times New Roman" w:hAnsi="Times New Roman"/>
                <w:i/>
                <w:sz w:val="24"/>
                <w:szCs w:val="24"/>
                <w:lang w:eastAsia="sk-SK"/>
              </w:rPr>
            </w:pPr>
            <w:r w:rsidRPr="004D4E20">
              <w:rPr>
                <w:rFonts w:ascii="Times New Roman" w:hAnsi="Times New Roman"/>
                <w:i/>
                <w:sz w:val="24"/>
                <w:szCs w:val="24"/>
                <w:lang w:eastAsia="sk-SK"/>
              </w:rPr>
              <w:t>8. marec 2017 – 29. marec 2017</w:t>
            </w:r>
          </w:p>
        </w:tc>
      </w:tr>
      <w:tr>
        <w:tblPrEx>
          <w:tblW w:w="9180" w:type="dxa"/>
          <w:tblLayout w:type="fixed"/>
          <w:tblLook w:val="04A0"/>
        </w:tblPrEx>
        <w:trPr>
          <w:divId w:val="1"/>
        </w:trPr>
        <w:tc>
          <w:tcPr>
            <w:tcW w:w="5634" w:type="dxa"/>
            <w:gridSpan w:val="5"/>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4D4E20" w:rsidRPr="004D4E20" w:rsidP="004D4E20">
            <w:pPr>
              <w:pStyle w:val="ListParagraph"/>
              <w:autoSpaceDE w:val="0"/>
              <w:autoSpaceDN w:val="0"/>
              <w:bidi w:val="0"/>
              <w:spacing w:after="240" w:line="240" w:lineRule="auto"/>
              <w:ind w:left="142"/>
              <w:contextualSpacing w:val="0"/>
              <w:rPr>
                <w:rFonts w:ascii="Times New Roman" w:hAnsi="Times New Roman" w:cs="Times New Roman"/>
                <w:b/>
                <w:sz w:val="24"/>
                <w:szCs w:val="24"/>
                <w:lang w:eastAsia="sk-SK"/>
              </w:rPr>
            </w:pPr>
            <w:r w:rsidRPr="004D4E20">
              <w:rPr>
                <w:rFonts w:ascii="Times New Roman" w:hAnsi="Times New Roman" w:cs="Times New Roman"/>
                <w:b/>
                <w:sz w:val="24"/>
                <w:szCs w:val="24"/>
                <w:lang w:eastAsia="sk-SK"/>
              </w:rPr>
              <w:t>Predpokladaný termín predloženia na MPK*</w:t>
            </w:r>
          </w:p>
        </w:tc>
        <w:tc>
          <w:tcPr>
            <w:tcW w:w="3546" w:type="dxa"/>
            <w:gridSpan w:val="5"/>
            <w:tcBorders>
              <w:top w:val="single" w:sz="4" w:space="0" w:color="auto"/>
              <w:left w:val="single" w:sz="4" w:space="0" w:color="auto"/>
              <w:bottom w:val="single" w:sz="4" w:space="0" w:color="auto"/>
              <w:right w:val="single" w:sz="4" w:space="0" w:color="auto"/>
            </w:tcBorders>
            <w:textDirection w:val="lrTb"/>
            <w:vAlign w:val="top"/>
          </w:tcPr>
          <w:p w:rsidR="004D4E20" w:rsidRPr="004D4E20" w:rsidP="00E00D13">
            <w:pPr>
              <w:autoSpaceDE w:val="0"/>
              <w:autoSpaceDN w:val="0"/>
              <w:bidi w:val="0"/>
              <w:spacing w:after="0" w:line="240" w:lineRule="auto"/>
              <w:rPr>
                <w:rFonts w:ascii="Times New Roman" w:hAnsi="Times New Roman"/>
                <w:i/>
                <w:sz w:val="24"/>
                <w:szCs w:val="24"/>
                <w:lang w:eastAsia="sk-SK"/>
              </w:rPr>
            </w:pPr>
            <w:r w:rsidRPr="004D4E20">
              <w:rPr>
                <w:rFonts w:ascii="Times New Roman" w:hAnsi="Times New Roman"/>
                <w:i/>
                <w:sz w:val="24"/>
                <w:szCs w:val="24"/>
                <w:lang w:eastAsia="sk-SK"/>
              </w:rPr>
              <w:t>31. marec 2017 – 24. apríl 2017</w:t>
            </w:r>
          </w:p>
        </w:tc>
      </w:tr>
      <w:tr>
        <w:tblPrEx>
          <w:tblW w:w="9180" w:type="dxa"/>
          <w:tblLayout w:type="fixed"/>
          <w:tblLook w:val="04A0"/>
        </w:tblPrEx>
        <w:trPr>
          <w:divId w:val="1"/>
        </w:trPr>
        <w:tc>
          <w:tcPr>
            <w:tcW w:w="5634" w:type="dxa"/>
            <w:gridSpan w:val="5"/>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4D4E20" w:rsidRPr="004D4E20" w:rsidP="004D4E20">
            <w:pPr>
              <w:pStyle w:val="ListParagraph"/>
              <w:autoSpaceDE w:val="0"/>
              <w:autoSpaceDN w:val="0"/>
              <w:bidi w:val="0"/>
              <w:spacing w:after="240" w:line="240" w:lineRule="auto"/>
              <w:ind w:left="142"/>
              <w:contextualSpacing w:val="0"/>
              <w:rPr>
                <w:rFonts w:ascii="Times New Roman" w:hAnsi="Times New Roman" w:cs="Times New Roman"/>
                <w:b/>
                <w:sz w:val="24"/>
                <w:szCs w:val="24"/>
                <w:lang w:eastAsia="sk-SK"/>
              </w:rPr>
            </w:pPr>
            <w:r w:rsidRPr="004D4E20">
              <w:rPr>
                <w:rFonts w:ascii="Times New Roman" w:hAnsi="Times New Roman" w:cs="Times New Roman"/>
                <w:b/>
                <w:sz w:val="24"/>
                <w:szCs w:val="24"/>
                <w:lang w:eastAsia="sk-SK"/>
              </w:rPr>
              <w:t>Predpokladaný termín predloženia na Rokovanie vlády SR*</w:t>
            </w:r>
          </w:p>
        </w:tc>
        <w:tc>
          <w:tcPr>
            <w:tcW w:w="3546" w:type="dxa"/>
            <w:gridSpan w:val="5"/>
            <w:tcBorders>
              <w:top w:val="single" w:sz="4" w:space="0" w:color="auto"/>
              <w:left w:val="single" w:sz="4" w:space="0" w:color="auto"/>
              <w:bottom w:val="single" w:sz="4" w:space="0" w:color="auto"/>
              <w:right w:val="single" w:sz="4" w:space="0" w:color="auto"/>
            </w:tcBorders>
            <w:textDirection w:val="lrTb"/>
            <w:vAlign w:val="top"/>
          </w:tcPr>
          <w:p w:rsidR="004D4E20" w:rsidRPr="004D4E20" w:rsidP="00E00D13">
            <w:pPr>
              <w:autoSpaceDE w:val="0"/>
              <w:autoSpaceDN w:val="0"/>
              <w:bidi w:val="0"/>
              <w:spacing w:after="0" w:line="240" w:lineRule="auto"/>
              <w:rPr>
                <w:rFonts w:ascii="Times New Roman" w:hAnsi="Times New Roman"/>
                <w:i/>
                <w:sz w:val="24"/>
                <w:szCs w:val="24"/>
                <w:lang w:eastAsia="sk-SK"/>
              </w:rPr>
            </w:pPr>
            <w:r w:rsidRPr="004D4E20">
              <w:rPr>
                <w:rFonts w:ascii="Times New Roman" w:hAnsi="Times New Roman"/>
                <w:i/>
                <w:sz w:val="24"/>
                <w:szCs w:val="24"/>
                <w:lang w:eastAsia="sk-SK"/>
              </w:rPr>
              <w:t>október 2017</w:t>
            </w:r>
          </w:p>
        </w:tc>
      </w:tr>
      <w:tr>
        <w:tblPrEx>
          <w:tblW w:w="9180" w:type="dxa"/>
          <w:tblLayout w:type="fixed"/>
          <w:tblLook w:val="04A0"/>
        </w:tblPrEx>
        <w:trPr>
          <w:divId w:val="1"/>
        </w:trPr>
        <w:tc>
          <w:tcPr>
            <w:tcW w:w="9180" w:type="dxa"/>
            <w:gridSpan w:val="10"/>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4D4E20" w:rsidRPr="004D4E20" w:rsidP="00E00D13">
            <w:pPr>
              <w:autoSpaceDE w:val="0"/>
              <w:autoSpaceDN w:val="0"/>
              <w:bidi w:val="0"/>
              <w:spacing w:after="0" w:line="240" w:lineRule="auto"/>
              <w:rPr>
                <w:rFonts w:ascii="Times New Roman" w:hAnsi="Times New Roman"/>
                <w:sz w:val="24"/>
                <w:szCs w:val="24"/>
                <w:lang w:eastAsia="sk-SK"/>
              </w:rPr>
            </w:pPr>
          </w:p>
        </w:tc>
      </w:tr>
      <w:tr>
        <w:tblPrEx>
          <w:tblW w:w="9180" w:type="dxa"/>
          <w:tblLayout w:type="fixed"/>
          <w:tblLook w:val="04A0"/>
        </w:tblPrEx>
        <w:trPr>
          <w:divId w:val="1"/>
        </w:trPr>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4D4E20" w:rsidRPr="004D4E20" w:rsidP="00E00D13">
            <w:pPr>
              <w:pStyle w:val="ListParagraph"/>
              <w:numPr>
                <w:numId w:val="1"/>
              </w:numPr>
              <w:autoSpaceDE w:val="0"/>
              <w:autoSpaceDN w:val="0"/>
              <w:bidi w:val="0"/>
              <w:spacing w:after="0" w:line="240" w:lineRule="auto"/>
              <w:ind w:left="426"/>
              <w:rPr>
                <w:rFonts w:ascii="Times New Roman" w:hAnsi="Times New Roman" w:cs="Times New Roman"/>
                <w:b/>
                <w:sz w:val="24"/>
                <w:szCs w:val="24"/>
                <w:lang w:eastAsia="sk-SK"/>
              </w:rPr>
            </w:pPr>
            <w:r w:rsidRPr="004D4E20">
              <w:rPr>
                <w:rFonts w:ascii="Times New Roman" w:hAnsi="Times New Roman" w:cs="Times New Roman"/>
                <w:b/>
                <w:sz w:val="24"/>
                <w:szCs w:val="24"/>
                <w:lang w:eastAsia="sk-SK"/>
              </w:rPr>
              <w:t>Definovanie problému</w:t>
            </w:r>
          </w:p>
        </w:tc>
      </w:tr>
      <w:tr>
        <w:tblPrEx>
          <w:tblW w:w="9180" w:type="dxa"/>
          <w:tblLayout w:type="fixed"/>
          <w:tblLook w:val="04A0"/>
        </w:tblPrEx>
        <w:trPr>
          <w:divId w:val="1"/>
          <w:trHeight w:val="718"/>
        </w:trPr>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4D4E20" w:rsidRPr="004D4E20" w:rsidP="00E00D13">
            <w:pPr>
              <w:pStyle w:val="BodyText"/>
              <w:autoSpaceDE w:val="0"/>
              <w:autoSpaceDN w:val="0"/>
              <w:bidi w:val="0"/>
              <w:spacing w:before="120" w:line="22" w:lineRule="atLeast"/>
              <w:jc w:val="both"/>
              <w:rPr>
                <w:rStyle w:val="PlaceholderText"/>
                <w:b w:val="0"/>
                <w:color w:val="auto"/>
                <w:sz w:val="24"/>
                <w:szCs w:val="24"/>
              </w:rPr>
            </w:pPr>
            <w:r w:rsidRPr="004D4E20">
              <w:rPr>
                <w:rStyle w:val="PlaceholderText"/>
                <w:b w:val="0"/>
                <w:color w:val="auto"/>
                <w:sz w:val="24"/>
                <w:szCs w:val="24"/>
              </w:rPr>
              <w:t>V súčasnosti platný zákon č. 264/1999 Z. z. o technických požiadavkách na výrobky a o posudzovaní zhody a o zmene a doplnení niektorých zákonov v znení neskorších predpisov (ďalej len „zákon č. 264/1999 Z. z.“) upravuje okrem technickej normalizácie aj oblasť posudzovania zhody a vnútrokomunitárne pripomienkové konanie, teda je rámcovým zákonom pre tri oblasti pôsobnosti úradu, ktoré mu vyplývajú zo zákona č .575/2001 Z. z. o organizácii činnosti vlády a organizácii ústrednej štátnej správy v znení neskorších predpisov. V období prijatia zákona č. 264/1999 Z. z. neexistovala európska legislatívna úprava, ktorá by zastrešovala oblasť európskej normalizácie, akou je v súčasnosti nariadenie Európskeho parlamentu a Rady (EÚ) č. 1025/2012 z 25. októbra 2012 o európskej normalizácii, ktorým sa menia a dopĺňajú smernice Rady 89/686/EHS a 93/15/EHS a smernice Európskeho parlamentu a Rady 94/9/ES, 94/25/ES, 95/16/ES, 97/23/ES, 98/34/ES, 2004/22/ES, 2007/23/ES, 2009/23/ES a 2009/105/ES a ktorým sa zrušuje rozhodnutie Rady 87/95/EHS a rozhodnutie Európskeho parlamentu a Rady č. 1673/2006/ES (Ú. v. ES L 316 14. 11. 2012) v platnom znení (ďalej len „nariadenie (EÚ) č. 1025/2012), navyše,  pôvodný zákon č. 264/1999 Z. z. vznikal v období pred vstupom Slovenskej republiky do Európskej únie, a preto nemohol v plnej miere pokryť požiadavky, kladené na činnosť národného normalizačného orgánu, požadované v súčasnosti.</w:t>
            </w:r>
          </w:p>
          <w:p w:rsidR="004D4E20" w:rsidRPr="004D4E20" w:rsidP="00E00D13">
            <w:pPr>
              <w:autoSpaceDE w:val="0"/>
              <w:autoSpaceDN w:val="0"/>
              <w:bidi w:val="0"/>
              <w:spacing w:after="0" w:line="240" w:lineRule="auto"/>
              <w:rPr>
                <w:rFonts w:ascii="Times New Roman" w:hAnsi="Times New Roman"/>
                <w:i/>
                <w:sz w:val="24"/>
                <w:szCs w:val="24"/>
                <w:lang w:eastAsia="sk-SK"/>
              </w:rPr>
            </w:pPr>
          </w:p>
        </w:tc>
      </w:tr>
      <w:tr>
        <w:tblPrEx>
          <w:tblW w:w="9180" w:type="dxa"/>
          <w:tblLayout w:type="fixed"/>
          <w:tblLook w:val="04A0"/>
        </w:tblPrEx>
        <w:trPr>
          <w:divId w:val="1"/>
        </w:trPr>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4D4E20" w:rsidRPr="004D4E20" w:rsidP="00E00D13">
            <w:pPr>
              <w:pStyle w:val="ListParagraph"/>
              <w:numPr>
                <w:numId w:val="1"/>
              </w:numPr>
              <w:autoSpaceDE w:val="0"/>
              <w:autoSpaceDN w:val="0"/>
              <w:bidi w:val="0"/>
              <w:spacing w:after="0" w:line="240" w:lineRule="auto"/>
              <w:ind w:left="426"/>
              <w:rPr>
                <w:rFonts w:ascii="Times New Roman" w:hAnsi="Times New Roman" w:cs="Times New Roman"/>
                <w:b/>
                <w:sz w:val="24"/>
                <w:szCs w:val="24"/>
                <w:lang w:eastAsia="sk-SK"/>
              </w:rPr>
            </w:pPr>
            <w:r w:rsidRPr="004D4E20">
              <w:rPr>
                <w:rFonts w:ascii="Times New Roman" w:hAnsi="Times New Roman" w:cs="Times New Roman"/>
                <w:b/>
                <w:sz w:val="24"/>
                <w:szCs w:val="24"/>
                <w:lang w:eastAsia="sk-SK"/>
              </w:rPr>
              <w:t>Ciele a výsledný stav</w:t>
            </w:r>
          </w:p>
        </w:tc>
      </w:tr>
      <w:tr>
        <w:tblPrEx>
          <w:tblW w:w="9180" w:type="dxa"/>
          <w:tblLayout w:type="fixed"/>
          <w:tblLook w:val="04A0"/>
        </w:tblPrEx>
        <w:trPr>
          <w:divId w:val="1"/>
          <w:trHeight w:val="741"/>
        </w:trPr>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4D4E20" w:rsidRPr="004D4E20" w:rsidP="00E00D13">
            <w:pPr>
              <w:pStyle w:val="BodyText"/>
              <w:autoSpaceDE w:val="0"/>
              <w:autoSpaceDN w:val="0"/>
              <w:bidi w:val="0"/>
              <w:spacing w:before="120" w:line="22" w:lineRule="atLeast"/>
              <w:jc w:val="both"/>
              <w:rPr>
                <w:rFonts w:ascii="Times New Roman" w:hAnsi="Times New Roman"/>
                <w:b w:val="0"/>
                <w:sz w:val="24"/>
                <w:szCs w:val="24"/>
              </w:rPr>
            </w:pPr>
            <w:r w:rsidRPr="004D4E20">
              <w:rPr>
                <w:rStyle w:val="PlaceholderText"/>
                <w:b w:val="0"/>
                <w:color w:val="auto"/>
                <w:sz w:val="24"/>
                <w:szCs w:val="24"/>
              </w:rPr>
              <w:t>Cieľom novej právnej úpravy je ustanoviť komplexný legislatívny rámec plne pokrývajúci oblasť technickej normalizácie vychádzajúci z požiadaviek harmonizovanej európskej legislatívy a z požiadaviek aplikačnej praxe.</w:t>
            </w:r>
          </w:p>
        </w:tc>
      </w:tr>
      <w:tr>
        <w:tblPrEx>
          <w:tblW w:w="9180" w:type="dxa"/>
          <w:tblLayout w:type="fixed"/>
          <w:tblLook w:val="04A0"/>
        </w:tblPrEx>
        <w:trPr>
          <w:divId w:val="1"/>
        </w:trPr>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4D4E20" w:rsidRPr="004D4E20" w:rsidP="00E00D13">
            <w:pPr>
              <w:pStyle w:val="ListParagraph"/>
              <w:numPr>
                <w:numId w:val="1"/>
              </w:numPr>
              <w:autoSpaceDE w:val="0"/>
              <w:autoSpaceDN w:val="0"/>
              <w:bidi w:val="0"/>
              <w:spacing w:after="0" w:line="240" w:lineRule="auto"/>
              <w:ind w:left="426"/>
              <w:rPr>
                <w:rFonts w:ascii="Times New Roman" w:hAnsi="Times New Roman" w:cs="Times New Roman"/>
                <w:b/>
                <w:sz w:val="24"/>
                <w:szCs w:val="24"/>
                <w:lang w:eastAsia="sk-SK"/>
              </w:rPr>
            </w:pPr>
            <w:r w:rsidRPr="004D4E20">
              <w:rPr>
                <w:rFonts w:ascii="Times New Roman" w:hAnsi="Times New Roman" w:cs="Times New Roman"/>
                <w:b/>
                <w:sz w:val="24"/>
                <w:szCs w:val="24"/>
                <w:lang w:eastAsia="sk-SK"/>
              </w:rPr>
              <w:t>Dotknuté subjekty</w:t>
            </w:r>
          </w:p>
        </w:tc>
      </w:tr>
      <w:tr>
        <w:tblPrEx>
          <w:tblW w:w="9180" w:type="dxa"/>
          <w:tblLayout w:type="fixed"/>
          <w:tblLook w:val="04A0"/>
        </w:tblPrEx>
        <w:trPr>
          <w:divId w:val="1"/>
        </w:trPr>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4D4E20" w:rsidRPr="004D4E20" w:rsidP="00E00D13">
            <w:pPr>
              <w:autoSpaceDE w:val="0"/>
              <w:autoSpaceDN w:val="0"/>
              <w:bidi w:val="0"/>
              <w:spacing w:after="0" w:line="240" w:lineRule="auto"/>
              <w:jc w:val="both"/>
              <w:rPr>
                <w:rFonts w:ascii="Times New Roman" w:hAnsi="Times New Roman"/>
                <w:sz w:val="24"/>
                <w:szCs w:val="24"/>
                <w:lang w:eastAsia="sk-SK"/>
              </w:rPr>
            </w:pPr>
            <w:r w:rsidRPr="004D4E20">
              <w:rPr>
                <w:rFonts w:ascii="Times New Roman" w:hAnsi="Times New Roman"/>
                <w:sz w:val="24"/>
                <w:szCs w:val="24"/>
                <w:lang w:eastAsia="sk-SK"/>
              </w:rPr>
              <w:t>Podnikateľské subjekty, vrátane malých a stredných podnikov, ako aj širokej technickej verejnosti a spotrebitelia, ktorí pri svojej činnosti môžu využívať poznatky z technických noriem, v ktorých sú stanovené technické požiadavky, ktoré má výrobok a služba spĺňať. Vzhľadom nato, že technická norma obsahuje minimálne požiadavky na bezpečnosť a kvalitu výrobku a služby, jej dodržanie predpokladá splnenie minimálnych požiadaviek na bezpečnosť a kvalitu výrobku alebo služby, pričom však je možné uplatniť iné spôsoby ako určuje technická norma na splnenie týchto požiadaviek, preto je použitie technickej normy a tým aj poskytovanie technickej normy dobrovoľné.</w:t>
            </w:r>
            <w:r w:rsidRPr="004D4E20">
              <w:rPr>
                <w:rFonts w:ascii="Times New Roman" w:hAnsi="Times New Roman"/>
                <w:b/>
                <w:sz w:val="24"/>
                <w:szCs w:val="24"/>
                <w:lang w:eastAsia="sk-SK"/>
              </w:rPr>
              <w:t xml:space="preserve"> </w:t>
            </w:r>
          </w:p>
          <w:p w:rsidR="004D4E20" w:rsidRPr="004D4E20" w:rsidP="00E00D13">
            <w:pPr>
              <w:autoSpaceDE w:val="0"/>
              <w:autoSpaceDN w:val="0"/>
              <w:bidi w:val="0"/>
              <w:spacing w:after="0" w:line="240" w:lineRule="auto"/>
              <w:jc w:val="both"/>
              <w:rPr>
                <w:rFonts w:ascii="Times New Roman" w:hAnsi="Times New Roman"/>
                <w:sz w:val="24"/>
                <w:szCs w:val="24"/>
                <w:lang w:eastAsia="sk-SK"/>
              </w:rPr>
            </w:pPr>
            <w:r w:rsidRPr="004D4E20">
              <w:rPr>
                <w:rFonts w:ascii="Times New Roman" w:hAnsi="Times New Roman"/>
                <w:sz w:val="24"/>
                <w:szCs w:val="24"/>
                <w:lang w:eastAsia="sk-SK"/>
              </w:rPr>
              <w:t>Ministerstvá a ostatné orgány štátnej správy, ktoré môžu využívať poznatky z technických noriem na podporu legislatívy.</w:t>
            </w:r>
          </w:p>
          <w:p w:rsidR="004D4E20" w:rsidRPr="004D4E20" w:rsidP="00E00D13">
            <w:pPr>
              <w:autoSpaceDE w:val="0"/>
              <w:autoSpaceDN w:val="0"/>
              <w:bidi w:val="0"/>
              <w:spacing w:after="0" w:line="240" w:lineRule="auto"/>
              <w:jc w:val="both"/>
              <w:rPr>
                <w:rFonts w:ascii="Times New Roman" w:hAnsi="Times New Roman"/>
                <w:sz w:val="24"/>
                <w:szCs w:val="24"/>
                <w:lang w:eastAsia="sk-SK"/>
              </w:rPr>
            </w:pPr>
          </w:p>
        </w:tc>
      </w:tr>
      <w:tr>
        <w:tblPrEx>
          <w:tblW w:w="9180" w:type="dxa"/>
          <w:tblLayout w:type="fixed"/>
          <w:tblLook w:val="04A0"/>
        </w:tblPrEx>
        <w:trPr>
          <w:divId w:val="1"/>
        </w:trPr>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4D4E20" w:rsidRPr="004D4E20" w:rsidP="00E00D13">
            <w:pPr>
              <w:pStyle w:val="ListParagraph"/>
              <w:numPr>
                <w:numId w:val="1"/>
              </w:numPr>
              <w:autoSpaceDE w:val="0"/>
              <w:autoSpaceDN w:val="0"/>
              <w:bidi w:val="0"/>
              <w:spacing w:after="0" w:line="240" w:lineRule="auto"/>
              <w:ind w:left="426"/>
              <w:rPr>
                <w:rFonts w:ascii="Times New Roman" w:hAnsi="Times New Roman" w:cs="Times New Roman"/>
                <w:b/>
                <w:sz w:val="24"/>
                <w:szCs w:val="24"/>
                <w:lang w:eastAsia="sk-SK"/>
              </w:rPr>
            </w:pPr>
            <w:r w:rsidRPr="004D4E20">
              <w:rPr>
                <w:rFonts w:ascii="Times New Roman" w:hAnsi="Times New Roman" w:cs="Times New Roman"/>
                <w:b/>
                <w:sz w:val="24"/>
                <w:szCs w:val="24"/>
                <w:lang w:eastAsia="sk-SK"/>
              </w:rPr>
              <w:t>Alternatívne riešenia</w:t>
            </w:r>
          </w:p>
        </w:tc>
      </w:tr>
      <w:tr>
        <w:tblPrEx>
          <w:tblW w:w="9180" w:type="dxa"/>
          <w:tblLayout w:type="fixed"/>
          <w:tblLook w:val="04A0"/>
        </w:tblPrEx>
        <w:trPr>
          <w:divId w:val="1"/>
          <w:trHeight w:val="709"/>
        </w:trPr>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4D4E20" w:rsidRPr="004D4E20" w:rsidP="00E00D13">
            <w:pPr>
              <w:autoSpaceDE w:val="0"/>
              <w:autoSpaceDN w:val="0"/>
              <w:bidi w:val="0"/>
              <w:spacing w:after="0" w:line="240" w:lineRule="auto"/>
              <w:rPr>
                <w:rFonts w:ascii="Times New Roman" w:hAnsi="Times New Roman"/>
                <w:sz w:val="24"/>
                <w:szCs w:val="24"/>
                <w:lang w:eastAsia="sk-SK"/>
              </w:rPr>
            </w:pPr>
            <w:r w:rsidRPr="004D4E20">
              <w:rPr>
                <w:rFonts w:ascii="Times New Roman" w:hAnsi="Times New Roman"/>
                <w:sz w:val="24"/>
                <w:szCs w:val="24"/>
                <w:lang w:eastAsia="sk-SK"/>
              </w:rPr>
              <w:t>Alternatívne riešenia neboli zvažované.</w:t>
            </w:r>
          </w:p>
        </w:tc>
      </w:tr>
      <w:tr>
        <w:tblPrEx>
          <w:tblW w:w="9180" w:type="dxa"/>
          <w:tblLayout w:type="fixed"/>
          <w:tblLook w:val="04A0"/>
        </w:tblPrEx>
        <w:trPr>
          <w:divId w:val="1"/>
        </w:trPr>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4D4E20" w:rsidRPr="004D4E20" w:rsidP="00E00D13">
            <w:pPr>
              <w:pStyle w:val="ListParagraph"/>
              <w:numPr>
                <w:numId w:val="1"/>
              </w:numPr>
              <w:autoSpaceDE w:val="0"/>
              <w:autoSpaceDN w:val="0"/>
              <w:bidi w:val="0"/>
              <w:spacing w:after="0" w:line="240" w:lineRule="auto"/>
              <w:ind w:left="426"/>
              <w:rPr>
                <w:rFonts w:ascii="Times New Roman" w:hAnsi="Times New Roman" w:cs="Times New Roman"/>
                <w:b/>
                <w:sz w:val="24"/>
                <w:szCs w:val="24"/>
                <w:lang w:eastAsia="sk-SK"/>
              </w:rPr>
            </w:pPr>
            <w:r w:rsidRPr="004D4E20">
              <w:rPr>
                <w:rFonts w:ascii="Times New Roman" w:hAnsi="Times New Roman" w:cs="Times New Roman"/>
                <w:b/>
                <w:sz w:val="24"/>
                <w:szCs w:val="24"/>
                <w:lang w:eastAsia="sk-SK"/>
              </w:rPr>
              <w:t>Vykonávacie predpisy</w:t>
            </w:r>
          </w:p>
        </w:tc>
      </w:tr>
      <w:tr>
        <w:tblPrEx>
          <w:tblW w:w="9180" w:type="dxa"/>
          <w:tblLayout w:type="fixed"/>
          <w:tblLook w:val="04A0"/>
        </w:tblPrEx>
        <w:trPr>
          <w:divId w:val="1"/>
        </w:trPr>
        <w:tc>
          <w:tcPr>
            <w:tcW w:w="6203" w:type="dxa"/>
            <w:gridSpan w:val="6"/>
            <w:tcBorders>
              <w:top w:val="single" w:sz="4" w:space="0" w:color="FFFFFF"/>
              <w:left w:val="single" w:sz="4" w:space="0" w:color="auto"/>
              <w:bottom w:val="nil"/>
              <w:right w:val="nil"/>
            </w:tcBorders>
            <w:shd w:val="clear" w:color="auto" w:fill="FFFFFF"/>
            <w:textDirection w:val="lrTb"/>
            <w:vAlign w:val="top"/>
          </w:tcPr>
          <w:p w:rsidR="004D4E20" w:rsidRPr="004D4E20" w:rsidP="00E00D13">
            <w:pPr>
              <w:autoSpaceDE w:val="0"/>
              <w:autoSpaceDN w:val="0"/>
              <w:bidi w:val="0"/>
              <w:spacing w:after="0" w:line="240" w:lineRule="auto"/>
              <w:rPr>
                <w:rFonts w:ascii="Times New Roman" w:hAnsi="Times New Roman"/>
                <w:i/>
                <w:sz w:val="24"/>
                <w:szCs w:val="24"/>
                <w:lang w:eastAsia="sk-SK"/>
              </w:rPr>
            </w:pPr>
            <w:r w:rsidRPr="004D4E20">
              <w:rPr>
                <w:rFonts w:ascii="Times New Roman" w:hAnsi="Times New Roman"/>
                <w:i/>
                <w:sz w:val="24"/>
                <w:szCs w:val="24"/>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extDirection w:val="lrTb"/>
            <w:vAlign w:val="top"/>
          </w:tcPr>
          <w:p w:rsidR="004D4E20" w:rsidRPr="004D4E20" w:rsidP="00E00D13">
            <w:pPr>
              <w:autoSpaceDE w:val="0"/>
              <w:autoSpaceDN w:val="0"/>
              <w:bidi w:val="0"/>
              <w:spacing w:after="0" w:line="240" w:lineRule="auto"/>
              <w:jc w:val="center"/>
              <w:rPr>
                <w:rFonts w:ascii="Times New Roman" w:hAnsi="Times New Roman"/>
                <w:sz w:val="24"/>
                <w:szCs w:val="24"/>
                <w:lang w:eastAsia="sk-SK"/>
              </w:rPr>
            </w:pPr>
            <w:r w:rsidRPr="004D4E20">
              <w:rPr>
                <w:rFonts w:ascii="MS Mincho" w:eastAsia="MS Mincho" w:hAnsi="MS Mincho" w:cs="MS Mincho" w:hint="eastAsia"/>
                <w:sz w:val="24"/>
                <w:szCs w:val="24"/>
                <w:lang w:eastAsia="sk-SK"/>
              </w:rPr>
              <w:t>☒</w:t>
            </w:r>
            <w:r w:rsidRPr="004D4E20">
              <w:rPr>
                <w:rFonts w:ascii="Times New Roman" w:hAnsi="Times New Roman"/>
                <w:sz w:val="24"/>
                <w:szCs w:val="24"/>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extDirection w:val="lrTb"/>
            <w:vAlign w:val="top"/>
          </w:tcPr>
          <w:p w:rsidR="004D4E20" w:rsidRPr="004D4E20" w:rsidP="00E00D13">
            <w:pPr>
              <w:autoSpaceDE w:val="0"/>
              <w:autoSpaceDN w:val="0"/>
              <w:bidi w:val="0"/>
              <w:spacing w:after="0" w:line="240" w:lineRule="auto"/>
              <w:jc w:val="center"/>
              <w:rPr>
                <w:rFonts w:ascii="Times New Roman" w:hAnsi="Times New Roman"/>
                <w:sz w:val="24"/>
                <w:szCs w:val="24"/>
                <w:lang w:eastAsia="sk-SK"/>
              </w:rPr>
            </w:pPr>
            <w:r w:rsidRPr="004D4E20">
              <w:rPr>
                <w:rFonts w:ascii="MS Mincho" w:eastAsia="MS Mincho" w:hAnsi="MS Mincho" w:cs="MS Mincho" w:hint="eastAsia"/>
                <w:sz w:val="24"/>
                <w:szCs w:val="24"/>
                <w:lang w:eastAsia="sk-SK"/>
              </w:rPr>
              <w:t>☐</w:t>
            </w:r>
            <w:r w:rsidRPr="004D4E20">
              <w:rPr>
                <w:rFonts w:ascii="Times New Roman" w:hAnsi="Times New Roman"/>
                <w:sz w:val="24"/>
                <w:szCs w:val="24"/>
                <w:lang w:eastAsia="sk-SK"/>
              </w:rPr>
              <w:t xml:space="preserve">  Nie</w:t>
            </w:r>
          </w:p>
        </w:tc>
      </w:tr>
      <w:tr>
        <w:tblPrEx>
          <w:tblW w:w="9180" w:type="dxa"/>
          <w:tblLayout w:type="fixed"/>
          <w:tblLook w:val="04A0"/>
        </w:tblPrEx>
        <w:trPr>
          <w:divId w:val="1"/>
        </w:trPr>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4D4E20" w:rsidRPr="004D4E20" w:rsidP="00E00D13">
            <w:pPr>
              <w:autoSpaceDE w:val="0"/>
              <w:autoSpaceDN w:val="0"/>
              <w:bidi w:val="0"/>
              <w:spacing w:after="0" w:line="240" w:lineRule="auto"/>
              <w:rPr>
                <w:rFonts w:ascii="Times New Roman" w:hAnsi="Times New Roman"/>
                <w:i/>
                <w:sz w:val="24"/>
                <w:szCs w:val="24"/>
                <w:lang w:eastAsia="sk-SK"/>
              </w:rPr>
            </w:pPr>
          </w:p>
          <w:p w:rsidR="004D4E20" w:rsidRPr="004D4E20" w:rsidP="00E00D13">
            <w:pPr>
              <w:autoSpaceDE w:val="0"/>
              <w:autoSpaceDN w:val="0"/>
              <w:bidi w:val="0"/>
              <w:spacing w:after="0" w:line="240" w:lineRule="auto"/>
              <w:jc w:val="both"/>
              <w:rPr>
                <w:rFonts w:ascii="Times New Roman" w:hAnsi="Times New Roman"/>
                <w:sz w:val="24"/>
                <w:szCs w:val="24"/>
                <w:lang w:eastAsia="sk-SK"/>
              </w:rPr>
            </w:pPr>
            <w:r w:rsidRPr="004D4E20">
              <w:rPr>
                <w:rFonts w:ascii="Times New Roman" w:hAnsi="Times New Roman"/>
                <w:sz w:val="24"/>
                <w:szCs w:val="24"/>
                <w:lang w:eastAsia="sk-SK"/>
              </w:rPr>
              <w:t>Vykonávacím predpisom budú upravené podrobnosti o poskytovaní slovenských technických noriem, ako aj výška poplatkov za ich poskytovanie.</w:t>
            </w:r>
          </w:p>
        </w:tc>
      </w:tr>
      <w:tr>
        <w:tblPrEx>
          <w:tblW w:w="9180" w:type="dxa"/>
          <w:tblLayout w:type="fixed"/>
          <w:tblLook w:val="04A0"/>
        </w:tblPrEx>
        <w:trPr>
          <w:divId w:val="1"/>
        </w:trPr>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4D4E20" w:rsidRPr="004D4E20" w:rsidP="00E00D13">
            <w:pPr>
              <w:pStyle w:val="ListParagraph"/>
              <w:numPr>
                <w:numId w:val="1"/>
              </w:numPr>
              <w:autoSpaceDE w:val="0"/>
              <w:autoSpaceDN w:val="0"/>
              <w:bidi w:val="0"/>
              <w:spacing w:after="0" w:line="240" w:lineRule="auto"/>
              <w:ind w:left="426"/>
              <w:rPr>
                <w:rFonts w:ascii="Times New Roman" w:hAnsi="Times New Roman" w:cs="Times New Roman"/>
                <w:b/>
                <w:sz w:val="24"/>
                <w:szCs w:val="24"/>
                <w:lang w:eastAsia="sk-SK"/>
              </w:rPr>
            </w:pPr>
            <w:r w:rsidRPr="004D4E20">
              <w:rPr>
                <w:rFonts w:ascii="Times New Roman" w:hAnsi="Times New Roman" w:cs="Times New Roman"/>
                <w:b/>
                <w:sz w:val="24"/>
                <w:szCs w:val="24"/>
                <w:lang w:eastAsia="sk-SK"/>
              </w:rPr>
              <w:t xml:space="preserve">Transpozícia práva EÚ </w:t>
            </w:r>
          </w:p>
        </w:tc>
      </w:tr>
      <w:tr>
        <w:tblPrEx>
          <w:tblW w:w="9180" w:type="dxa"/>
          <w:tblLayout w:type="fixed"/>
          <w:tblLook w:val="04A0"/>
        </w:tblPrEx>
        <w:trPr>
          <w:divId w:val="1"/>
          <w:trHeight w:val="157"/>
        </w:trPr>
        <w:tc>
          <w:tcPr>
            <w:tcW w:w="9180" w:type="dxa"/>
            <w:gridSpan w:val="10"/>
            <w:tcBorders>
              <w:top w:val="nil"/>
              <w:left w:val="single" w:sz="4" w:space="0" w:color="auto"/>
              <w:bottom w:val="nil"/>
              <w:right w:val="single" w:sz="4" w:space="0" w:color="auto"/>
            </w:tcBorders>
            <w:shd w:val="clear" w:color="auto" w:fill="FFFFFF"/>
            <w:textDirection w:val="lrTb"/>
            <w:vAlign w:val="top"/>
          </w:tcPr>
          <w:p w:rsidR="004D4E20" w:rsidRPr="004D4E20" w:rsidP="00E00D13">
            <w:pPr>
              <w:autoSpaceDE w:val="0"/>
              <w:autoSpaceDN w:val="0"/>
              <w:bidi w:val="0"/>
              <w:spacing w:after="0" w:line="240" w:lineRule="auto"/>
              <w:rPr>
                <w:rFonts w:ascii="Times New Roman" w:hAnsi="Times New Roman"/>
                <w:i/>
                <w:sz w:val="24"/>
                <w:szCs w:val="24"/>
                <w:lang w:eastAsia="sk-SK"/>
              </w:rPr>
            </w:pPr>
          </w:p>
        </w:tc>
      </w:tr>
      <w:tr>
        <w:tblPrEx>
          <w:tblW w:w="9180" w:type="dxa"/>
          <w:tblLayout w:type="fixed"/>
          <w:tblLook w:val="04A0"/>
        </w:tblPrEx>
        <w:trPr>
          <w:divId w:val="1"/>
          <w:trHeight w:val="248"/>
        </w:trPr>
        <w:tc>
          <w:tcPr>
            <w:tcW w:w="9180" w:type="dxa"/>
            <w:gridSpan w:val="10"/>
            <w:tcBorders>
              <w:top w:val="nil"/>
              <w:left w:val="single" w:sz="4" w:space="0" w:color="auto"/>
              <w:bottom w:val="single" w:sz="4" w:space="0" w:color="000000"/>
              <w:right w:val="single" w:sz="4" w:space="0" w:color="auto"/>
            </w:tcBorders>
            <w:shd w:val="clear" w:color="auto" w:fill="FFFFFF"/>
            <w:textDirection w:val="lrTb"/>
            <w:vAlign w:val="top"/>
          </w:tcPr>
          <w:p w:rsidR="004D4E20" w:rsidRPr="004D4E20" w:rsidP="00E00D13">
            <w:pPr>
              <w:autoSpaceDE w:val="0"/>
              <w:autoSpaceDN w:val="0"/>
              <w:bidi w:val="0"/>
              <w:spacing w:after="0" w:line="240" w:lineRule="auto"/>
              <w:rPr>
                <w:rFonts w:ascii="Times New Roman" w:hAnsi="Times New Roman"/>
                <w:sz w:val="24"/>
                <w:szCs w:val="24"/>
                <w:lang w:eastAsia="sk-SK"/>
              </w:rPr>
            </w:pPr>
          </w:p>
        </w:tc>
      </w:tr>
      <w:tr>
        <w:tblPrEx>
          <w:tblW w:w="9180" w:type="dxa"/>
          <w:tblLayout w:type="fixed"/>
          <w:tblLook w:val="04A0"/>
        </w:tblPrEx>
        <w:trPr>
          <w:divId w:val="1"/>
        </w:trPr>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4D4E20" w:rsidRPr="004D4E20" w:rsidP="00E00D13">
            <w:pPr>
              <w:pStyle w:val="ListParagraph"/>
              <w:numPr>
                <w:numId w:val="1"/>
              </w:numPr>
              <w:autoSpaceDE w:val="0"/>
              <w:autoSpaceDN w:val="0"/>
              <w:bidi w:val="0"/>
              <w:spacing w:after="0" w:line="240" w:lineRule="auto"/>
              <w:ind w:left="426"/>
              <w:rPr>
                <w:rFonts w:ascii="Times New Roman" w:hAnsi="Times New Roman" w:cs="Times New Roman"/>
                <w:b/>
                <w:sz w:val="24"/>
                <w:szCs w:val="24"/>
                <w:lang w:eastAsia="sk-SK"/>
              </w:rPr>
            </w:pPr>
            <w:r w:rsidRPr="004D4E20">
              <w:rPr>
                <w:rFonts w:ascii="Times New Roman" w:hAnsi="Times New Roman" w:cs="Times New Roman"/>
                <w:b/>
                <w:sz w:val="24"/>
                <w:szCs w:val="24"/>
                <w:lang w:eastAsia="sk-SK"/>
              </w:rPr>
              <w:t>Preskúmanie účelnosti**</w:t>
            </w:r>
          </w:p>
        </w:tc>
      </w:tr>
      <w:tr>
        <w:tblPrEx>
          <w:tblW w:w="9180" w:type="dxa"/>
          <w:tblLayout w:type="fixed"/>
          <w:tblLook w:val="04A0"/>
        </w:tblPrEx>
        <w:trPr>
          <w:divId w:val="1"/>
        </w:trPr>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4D4E20" w:rsidRPr="004D4E20" w:rsidP="00E00D13">
            <w:pPr>
              <w:autoSpaceDE w:val="0"/>
              <w:autoSpaceDN w:val="0"/>
              <w:bidi w:val="0"/>
              <w:spacing w:after="0" w:line="240" w:lineRule="auto"/>
              <w:rPr>
                <w:rFonts w:ascii="Times New Roman" w:hAnsi="Times New Roman"/>
                <w:i/>
                <w:sz w:val="24"/>
                <w:szCs w:val="24"/>
                <w:lang w:eastAsia="sk-SK"/>
              </w:rPr>
            </w:pPr>
          </w:p>
        </w:tc>
      </w:tr>
      <w:tr>
        <w:tblPrEx>
          <w:tblW w:w="9180" w:type="dxa"/>
          <w:tblLayout w:type="fixed"/>
          <w:tblLook w:val="04A0"/>
        </w:tblPrEx>
        <w:trPr>
          <w:divId w:val="1"/>
          <w:trHeight w:val="715"/>
        </w:trPr>
        <w:tc>
          <w:tcPr>
            <w:tcW w:w="9180" w:type="dxa"/>
            <w:gridSpan w:val="10"/>
            <w:tcBorders>
              <w:top w:val="single" w:sz="4" w:space="0" w:color="auto"/>
              <w:left w:val="none" w:sz="0" w:space="0" w:color="auto"/>
              <w:bottom w:val="none" w:sz="0" w:space="0" w:color="auto"/>
              <w:right w:val="none" w:sz="0" w:space="0" w:color="auto"/>
            </w:tcBorders>
            <w:shd w:val="clear" w:color="auto" w:fill="FFFFFF"/>
            <w:textDirection w:val="lrTb"/>
            <w:vAlign w:val="top"/>
          </w:tcPr>
          <w:p w:rsidR="004D4E20" w:rsidRPr="004D4E20" w:rsidP="00E00D13">
            <w:pPr>
              <w:autoSpaceDE w:val="0"/>
              <w:autoSpaceDN w:val="0"/>
              <w:bidi w:val="0"/>
              <w:spacing w:after="0" w:line="240" w:lineRule="auto"/>
              <w:ind w:left="142" w:hanging="142"/>
              <w:rPr>
                <w:rFonts w:ascii="Times New Roman" w:hAnsi="Times New Roman"/>
                <w:sz w:val="24"/>
                <w:szCs w:val="24"/>
                <w:lang w:eastAsia="sk-SK"/>
              </w:rPr>
            </w:pPr>
          </w:p>
          <w:p w:rsidR="004D4E20" w:rsidRPr="004D4E20" w:rsidP="00E00D13">
            <w:pPr>
              <w:autoSpaceDE w:val="0"/>
              <w:autoSpaceDN w:val="0"/>
              <w:bidi w:val="0"/>
              <w:spacing w:after="0" w:line="240" w:lineRule="auto"/>
              <w:ind w:left="142" w:hanging="142"/>
              <w:rPr>
                <w:rFonts w:ascii="Times New Roman" w:hAnsi="Times New Roman"/>
                <w:sz w:val="24"/>
                <w:szCs w:val="24"/>
                <w:lang w:eastAsia="sk-SK"/>
              </w:rPr>
            </w:pPr>
            <w:r w:rsidRPr="004D4E20">
              <w:rPr>
                <w:rFonts w:ascii="Times New Roman" w:hAnsi="Times New Roman"/>
                <w:sz w:val="24"/>
                <w:szCs w:val="24"/>
                <w:lang w:eastAsia="sk-SK"/>
              </w:rPr>
              <w:t xml:space="preserve">* vyplniť iba v prípade, ak materiál nie je zahrnutý do Plánu práce vlády Slovenskej republiky alebo Plánu        legislatívnych úloh vlády Slovenskej republiky. </w:t>
            </w:r>
          </w:p>
          <w:p w:rsidR="004D4E20" w:rsidRPr="004D4E20" w:rsidP="00E00D13">
            <w:pPr>
              <w:autoSpaceDE w:val="0"/>
              <w:autoSpaceDN w:val="0"/>
              <w:bidi w:val="0"/>
              <w:spacing w:after="0" w:line="240" w:lineRule="auto"/>
              <w:rPr>
                <w:rFonts w:ascii="Times New Roman" w:hAnsi="Times New Roman"/>
                <w:sz w:val="24"/>
                <w:szCs w:val="24"/>
                <w:lang w:eastAsia="sk-SK"/>
              </w:rPr>
            </w:pPr>
            <w:r w:rsidRPr="004D4E20">
              <w:rPr>
                <w:rFonts w:ascii="Times New Roman" w:hAnsi="Times New Roman"/>
                <w:sz w:val="24"/>
                <w:szCs w:val="24"/>
                <w:lang w:eastAsia="sk-SK"/>
              </w:rPr>
              <w:t>** nepovinné</w:t>
            </w:r>
          </w:p>
        </w:tc>
      </w:tr>
      <w:tr>
        <w:tblPrEx>
          <w:tblW w:w="9180" w:type="dxa"/>
          <w:tblLayout w:type="fixed"/>
          <w:tblLook w:val="04A0"/>
        </w:tblPrEx>
        <w:trPr>
          <w:divId w:val="1"/>
        </w:trPr>
        <w:tc>
          <w:tcPr>
            <w:tcW w:w="9180" w:type="dxa"/>
            <w:gridSpan w:val="10"/>
            <w:tcBorders>
              <w:top w:val="nil"/>
              <w:left w:val="none" w:sz="0" w:space="0" w:color="auto"/>
              <w:bottom w:val="single" w:sz="4" w:space="0" w:color="auto"/>
              <w:right w:val="none" w:sz="0" w:space="0" w:color="auto"/>
            </w:tcBorders>
            <w:shd w:val="clear" w:color="auto" w:fill="FFFFFF"/>
            <w:textDirection w:val="lrTb"/>
            <w:vAlign w:val="top"/>
          </w:tcPr>
          <w:p w:rsidR="004D4E20" w:rsidRPr="004D4E20" w:rsidP="00E00D13">
            <w:pPr>
              <w:autoSpaceDE w:val="0"/>
              <w:autoSpaceDN w:val="0"/>
              <w:bidi w:val="0"/>
              <w:spacing w:after="0" w:line="240" w:lineRule="auto"/>
              <w:rPr>
                <w:rFonts w:ascii="Times New Roman" w:hAnsi="Times New Roman"/>
                <w:b/>
                <w:sz w:val="24"/>
                <w:szCs w:val="24"/>
                <w:lang w:eastAsia="sk-SK"/>
              </w:rPr>
            </w:pPr>
          </w:p>
        </w:tc>
      </w:tr>
      <w:tr>
        <w:tblPrEx>
          <w:tblW w:w="9180" w:type="dxa"/>
          <w:tblLayout w:type="fixed"/>
          <w:tblLook w:val="04A0"/>
        </w:tblPrEx>
        <w:trPr>
          <w:divId w:val="1"/>
          <w:trHeight w:val="577"/>
        </w:trPr>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center"/>
          </w:tcPr>
          <w:p w:rsidR="004D4E20" w:rsidRPr="004D4E20" w:rsidP="00E00D13">
            <w:pPr>
              <w:pStyle w:val="ListParagraph"/>
              <w:numPr>
                <w:numId w:val="1"/>
              </w:numPr>
              <w:autoSpaceDE w:val="0"/>
              <w:autoSpaceDN w:val="0"/>
              <w:bidi w:val="0"/>
              <w:spacing w:after="0" w:line="240" w:lineRule="auto"/>
              <w:ind w:left="426"/>
              <w:rPr>
                <w:rFonts w:ascii="Times New Roman" w:hAnsi="Times New Roman" w:cs="Times New Roman"/>
                <w:b/>
                <w:sz w:val="24"/>
                <w:szCs w:val="24"/>
                <w:lang w:eastAsia="sk-SK"/>
              </w:rPr>
            </w:pPr>
            <w:r w:rsidRPr="004D4E20">
              <w:rPr>
                <w:rFonts w:ascii="Times New Roman" w:hAnsi="Times New Roman" w:cs="Times New Roman"/>
                <w:b/>
                <w:sz w:val="24"/>
                <w:szCs w:val="24"/>
                <w:lang w:eastAsia="sk-SK"/>
              </w:rPr>
              <w:t>Vplyvy navrhovaného materiálu</w:t>
            </w:r>
          </w:p>
        </w:tc>
      </w:tr>
      <w:tr>
        <w:tblPrEx>
          <w:tblW w:w="9180" w:type="dxa"/>
          <w:tblLayout w:type="fixed"/>
          <w:tblLook w:val="04A0"/>
        </w:tblPrEx>
        <w:trPr>
          <w:divId w:val="1"/>
        </w:trPr>
        <w:tc>
          <w:tcPr>
            <w:tcW w:w="3812" w:type="dxa"/>
            <w:tcBorders>
              <w:top w:val="single" w:sz="4" w:space="0" w:color="auto"/>
              <w:left w:val="single" w:sz="4" w:space="0" w:color="auto"/>
              <w:bottom w:val="nil"/>
              <w:right w:val="single" w:sz="4" w:space="0" w:color="auto"/>
            </w:tcBorders>
            <w:shd w:val="clear" w:color="auto" w:fill="E2E2E2"/>
            <w:textDirection w:val="lrTb"/>
            <w:vAlign w:val="top"/>
          </w:tcPr>
          <w:p w:rsidR="004D4E20" w:rsidRPr="004D4E20" w:rsidP="00E00D13">
            <w:pPr>
              <w:autoSpaceDE w:val="0"/>
              <w:autoSpaceDN w:val="0"/>
              <w:bidi w:val="0"/>
              <w:spacing w:after="0" w:line="240" w:lineRule="auto"/>
              <w:rPr>
                <w:rFonts w:ascii="Times New Roman" w:hAnsi="Times New Roman"/>
                <w:b/>
                <w:sz w:val="24"/>
                <w:szCs w:val="24"/>
                <w:lang w:eastAsia="sk-SK"/>
              </w:rPr>
            </w:pPr>
            <w:r w:rsidRPr="004D4E20">
              <w:rPr>
                <w:rFonts w:ascii="Times New Roman" w:hAnsi="Times New Roman"/>
                <w:b/>
                <w:sz w:val="24"/>
                <w:szCs w:val="24"/>
                <w:lang w:eastAsia="sk-SK"/>
              </w:rPr>
              <w:t>Vplyvy na rozpočet verejnej správy</w:t>
            </w:r>
          </w:p>
        </w:tc>
        <w:tc>
          <w:tcPr>
            <w:tcW w:w="541" w:type="dxa"/>
            <w:gridSpan w:val="2"/>
            <w:tcBorders>
              <w:top w:val="single" w:sz="4" w:space="0" w:color="auto"/>
              <w:left w:val="single" w:sz="4" w:space="0" w:color="auto"/>
              <w:bottom w:val="single" w:sz="4" w:space="0" w:color="auto"/>
              <w:right w:val="nil"/>
            </w:tcBorders>
            <w:textDirection w:val="lrTb"/>
            <w:vAlign w:val="top"/>
          </w:tcPr>
          <w:p w:rsidR="004D4E20" w:rsidRPr="004D4E20" w:rsidP="00E00D13">
            <w:pPr>
              <w:autoSpaceDE w:val="0"/>
              <w:autoSpaceDN w:val="0"/>
              <w:bidi w:val="0"/>
              <w:spacing w:after="0" w:line="240" w:lineRule="auto"/>
              <w:jc w:val="center"/>
              <w:rPr>
                <w:rFonts w:ascii="Times New Roman" w:hAnsi="Times New Roman"/>
                <w:b/>
                <w:sz w:val="24"/>
                <w:szCs w:val="24"/>
                <w:lang w:eastAsia="sk-SK"/>
              </w:rPr>
            </w:pPr>
            <w:r w:rsidRPr="004D4E20">
              <w:rPr>
                <w:rFonts w:ascii="MS Mincho" w:eastAsia="MS Mincho" w:hAnsi="MS Mincho" w:cs="MS Mincho" w:hint="eastAsia"/>
                <w:b/>
                <w:sz w:val="24"/>
                <w:szCs w:val="24"/>
                <w:lang w:eastAsia="sk-SK"/>
              </w:rPr>
              <w:t>☐</w:t>
            </w:r>
          </w:p>
        </w:tc>
        <w:tc>
          <w:tcPr>
            <w:tcW w:w="1281" w:type="dxa"/>
            <w:gridSpan w:val="2"/>
            <w:tcBorders>
              <w:top w:val="single" w:sz="4" w:space="0" w:color="auto"/>
              <w:left w:val="nil"/>
              <w:bottom w:val="single" w:sz="4" w:space="0" w:color="auto"/>
              <w:right w:val="nil"/>
            </w:tcBorders>
            <w:textDirection w:val="lrTb"/>
            <w:vAlign w:val="top"/>
          </w:tcPr>
          <w:p w:rsidR="004D4E20" w:rsidRPr="004D4E20" w:rsidP="00E00D13">
            <w:pPr>
              <w:autoSpaceDE w:val="0"/>
              <w:autoSpaceDN w:val="0"/>
              <w:bidi w:val="0"/>
              <w:spacing w:after="0" w:line="240" w:lineRule="auto"/>
              <w:rPr>
                <w:rFonts w:ascii="Times New Roman" w:hAnsi="Times New Roman"/>
                <w:b/>
                <w:sz w:val="24"/>
                <w:szCs w:val="24"/>
                <w:lang w:eastAsia="sk-SK"/>
              </w:rPr>
            </w:pPr>
            <w:r w:rsidRPr="004D4E20">
              <w:rPr>
                <w:rFonts w:ascii="Times New Roman" w:hAnsi="Times New Roman"/>
                <w:b/>
                <w:sz w:val="24"/>
                <w:szCs w:val="24"/>
                <w:lang w:eastAsia="sk-SK"/>
              </w:rPr>
              <w:t>Pozitívne</w:t>
            </w:r>
          </w:p>
        </w:tc>
        <w:tc>
          <w:tcPr>
            <w:tcW w:w="569" w:type="dxa"/>
            <w:tcBorders>
              <w:top w:val="single" w:sz="4" w:space="0" w:color="auto"/>
              <w:left w:val="nil"/>
              <w:bottom w:val="single" w:sz="4" w:space="0" w:color="auto"/>
              <w:right w:val="nil"/>
            </w:tcBorders>
            <w:textDirection w:val="lrTb"/>
            <w:vAlign w:val="top"/>
          </w:tcPr>
          <w:p w:rsidR="004D4E20" w:rsidRPr="004D4E20" w:rsidP="00E00D13">
            <w:pPr>
              <w:autoSpaceDE w:val="0"/>
              <w:autoSpaceDN w:val="0"/>
              <w:bidi w:val="0"/>
              <w:spacing w:after="0" w:line="240" w:lineRule="auto"/>
              <w:jc w:val="center"/>
              <w:rPr>
                <w:rFonts w:ascii="Times New Roman" w:hAnsi="Times New Roman"/>
                <w:b/>
                <w:sz w:val="24"/>
                <w:szCs w:val="24"/>
                <w:lang w:eastAsia="sk-SK"/>
              </w:rPr>
            </w:pPr>
            <w:r w:rsidRPr="004D4E20">
              <w:rPr>
                <w:rFonts w:ascii="MS Mincho" w:eastAsia="MS Mincho" w:hAnsi="MS Mincho" w:cs="MS Mincho" w:hint="eastAsia"/>
                <w:b/>
                <w:sz w:val="24"/>
                <w:szCs w:val="24"/>
                <w:lang w:eastAsia="sk-SK"/>
              </w:rPr>
              <w:t>☒</w:t>
            </w:r>
          </w:p>
        </w:tc>
        <w:tc>
          <w:tcPr>
            <w:tcW w:w="1133" w:type="dxa"/>
            <w:tcBorders>
              <w:top w:val="single" w:sz="4" w:space="0" w:color="auto"/>
              <w:left w:val="nil"/>
              <w:bottom w:val="single" w:sz="4" w:space="0" w:color="auto"/>
              <w:right w:val="nil"/>
            </w:tcBorders>
            <w:textDirection w:val="lrTb"/>
            <w:vAlign w:val="top"/>
          </w:tcPr>
          <w:p w:rsidR="004D4E20" w:rsidRPr="004D4E20" w:rsidP="00E00D13">
            <w:pPr>
              <w:autoSpaceDE w:val="0"/>
              <w:autoSpaceDN w:val="0"/>
              <w:bidi w:val="0"/>
              <w:spacing w:after="0" w:line="240" w:lineRule="auto"/>
              <w:rPr>
                <w:rFonts w:ascii="Times New Roman" w:hAnsi="Times New Roman"/>
                <w:b/>
                <w:sz w:val="24"/>
                <w:szCs w:val="24"/>
                <w:lang w:eastAsia="sk-SK"/>
              </w:rPr>
            </w:pPr>
            <w:r w:rsidRPr="004D4E20">
              <w:rPr>
                <w:rFonts w:ascii="Times New Roman" w:hAnsi="Times New Roman"/>
                <w:b/>
                <w:sz w:val="24"/>
                <w:szCs w:val="24"/>
                <w:lang w:eastAsia="sk-SK"/>
              </w:rPr>
              <w:t>Žiadne</w:t>
            </w:r>
          </w:p>
        </w:tc>
        <w:tc>
          <w:tcPr>
            <w:tcW w:w="547" w:type="dxa"/>
            <w:gridSpan w:val="2"/>
            <w:tcBorders>
              <w:top w:val="single" w:sz="4" w:space="0" w:color="auto"/>
              <w:left w:val="nil"/>
              <w:bottom w:val="single" w:sz="4" w:space="0" w:color="auto"/>
              <w:right w:val="nil"/>
            </w:tcBorders>
            <w:textDirection w:val="lrTb"/>
            <w:vAlign w:val="top"/>
          </w:tcPr>
          <w:p w:rsidR="004D4E20" w:rsidRPr="004D4E20" w:rsidP="00E00D13">
            <w:pPr>
              <w:autoSpaceDE w:val="0"/>
              <w:autoSpaceDN w:val="0"/>
              <w:bidi w:val="0"/>
              <w:spacing w:after="0" w:line="240" w:lineRule="auto"/>
              <w:ind w:left="-107" w:right="-108"/>
              <w:jc w:val="center"/>
              <w:rPr>
                <w:rFonts w:ascii="Times New Roman" w:hAnsi="Times New Roman"/>
                <w:b/>
                <w:sz w:val="24"/>
                <w:szCs w:val="24"/>
                <w:lang w:eastAsia="sk-SK"/>
              </w:rPr>
            </w:pPr>
            <w:r w:rsidRPr="004D4E20">
              <w:rPr>
                <w:rFonts w:ascii="MS Mincho" w:eastAsia="MS Mincho" w:hAnsi="MS Mincho" w:cs="MS Mincho" w:hint="eastAsia"/>
                <w:b/>
                <w:sz w:val="24"/>
                <w:szCs w:val="24"/>
                <w:lang w:eastAsia="sk-SK"/>
              </w:rPr>
              <w:t>☐</w:t>
            </w:r>
          </w:p>
        </w:tc>
        <w:tc>
          <w:tcPr>
            <w:tcW w:w="1297" w:type="dxa"/>
            <w:tcBorders>
              <w:top w:val="single" w:sz="4" w:space="0" w:color="auto"/>
              <w:left w:val="nil"/>
              <w:bottom w:val="single" w:sz="4" w:space="0" w:color="auto"/>
              <w:right w:val="single" w:sz="4" w:space="0" w:color="auto"/>
            </w:tcBorders>
            <w:textDirection w:val="lrTb"/>
            <w:vAlign w:val="top"/>
          </w:tcPr>
          <w:p w:rsidR="004D4E20" w:rsidRPr="004D4E20" w:rsidP="00E00D13">
            <w:pPr>
              <w:autoSpaceDE w:val="0"/>
              <w:autoSpaceDN w:val="0"/>
              <w:bidi w:val="0"/>
              <w:spacing w:after="0" w:line="240" w:lineRule="auto"/>
              <w:ind w:left="34"/>
              <w:rPr>
                <w:rFonts w:ascii="Times New Roman" w:hAnsi="Times New Roman"/>
                <w:b/>
                <w:sz w:val="24"/>
                <w:szCs w:val="24"/>
                <w:lang w:eastAsia="sk-SK"/>
              </w:rPr>
            </w:pPr>
            <w:r w:rsidRPr="004D4E20">
              <w:rPr>
                <w:rFonts w:ascii="Times New Roman" w:hAnsi="Times New Roman"/>
                <w:b/>
                <w:sz w:val="24"/>
                <w:szCs w:val="24"/>
                <w:lang w:eastAsia="sk-SK"/>
              </w:rPr>
              <w:t>Negatívne</w:t>
            </w:r>
          </w:p>
        </w:tc>
      </w:tr>
      <w:tr>
        <w:tblPrEx>
          <w:tblW w:w="9180" w:type="dxa"/>
          <w:tblLayout w:type="fixed"/>
          <w:tblLook w:val="04A0"/>
        </w:tblPrEx>
        <w:trPr>
          <w:divId w:val="1"/>
        </w:trPr>
        <w:tc>
          <w:tcPr>
            <w:tcW w:w="3812" w:type="dxa"/>
            <w:tcBorders>
              <w:top w:val="nil"/>
              <w:left w:val="single" w:sz="4" w:space="0" w:color="auto"/>
              <w:bottom w:val="single" w:sz="4" w:space="0" w:color="000000"/>
              <w:right w:val="single" w:sz="4" w:space="0" w:color="auto"/>
            </w:tcBorders>
            <w:shd w:val="clear" w:color="auto" w:fill="E2E2E2"/>
            <w:textDirection w:val="lrTb"/>
            <w:vAlign w:val="top"/>
          </w:tcPr>
          <w:p w:rsidR="004D4E20" w:rsidRPr="004D4E20" w:rsidP="00E00D13">
            <w:pPr>
              <w:autoSpaceDE w:val="0"/>
              <w:autoSpaceDN w:val="0"/>
              <w:bidi w:val="0"/>
              <w:spacing w:after="0" w:line="240" w:lineRule="auto"/>
              <w:rPr>
                <w:rFonts w:ascii="Times New Roman" w:hAnsi="Times New Roman"/>
                <w:sz w:val="24"/>
                <w:szCs w:val="24"/>
                <w:lang w:eastAsia="sk-SK"/>
              </w:rPr>
            </w:pPr>
            <w:r w:rsidRPr="004D4E20">
              <w:rPr>
                <w:rFonts w:ascii="Times New Roman" w:hAnsi="Times New Roman"/>
                <w:sz w:val="24"/>
                <w:szCs w:val="24"/>
                <w:lang w:eastAsia="sk-SK"/>
              </w:rPr>
              <w:t xml:space="preserve">    z toho rozpočtovo zabezpečené vplyvy</w:t>
            </w:r>
          </w:p>
        </w:tc>
        <w:tc>
          <w:tcPr>
            <w:tcW w:w="541" w:type="dxa"/>
            <w:gridSpan w:val="2"/>
            <w:tcBorders>
              <w:top w:val="single" w:sz="4" w:space="0" w:color="auto"/>
              <w:left w:val="single" w:sz="4" w:space="0" w:color="auto"/>
              <w:bottom w:val="single" w:sz="4" w:space="0" w:color="auto"/>
              <w:right w:val="nil"/>
            </w:tcBorders>
            <w:textDirection w:val="lrTb"/>
            <w:vAlign w:val="top"/>
          </w:tcPr>
          <w:p w:rsidR="004D4E20" w:rsidRPr="004D4E20" w:rsidP="00E00D13">
            <w:pPr>
              <w:autoSpaceDE w:val="0"/>
              <w:autoSpaceDN w:val="0"/>
              <w:bidi w:val="0"/>
              <w:spacing w:after="0" w:line="240" w:lineRule="auto"/>
              <w:jc w:val="center"/>
              <w:rPr>
                <w:rFonts w:ascii="Times New Roman" w:hAnsi="Times New Roman"/>
                <w:sz w:val="24"/>
                <w:szCs w:val="24"/>
                <w:lang w:eastAsia="sk-SK"/>
              </w:rPr>
            </w:pPr>
            <w:r w:rsidRPr="004D4E20">
              <w:rPr>
                <w:rFonts w:ascii="MS Mincho" w:eastAsia="MS Mincho" w:hAnsi="MS Mincho" w:cs="MS Mincho" w:hint="eastAsia"/>
                <w:sz w:val="24"/>
                <w:szCs w:val="24"/>
                <w:lang w:eastAsia="sk-SK"/>
              </w:rPr>
              <w:t>☐</w:t>
            </w:r>
          </w:p>
        </w:tc>
        <w:tc>
          <w:tcPr>
            <w:tcW w:w="1281" w:type="dxa"/>
            <w:gridSpan w:val="2"/>
            <w:tcBorders>
              <w:top w:val="single" w:sz="4" w:space="0" w:color="auto"/>
              <w:left w:val="nil"/>
              <w:bottom w:val="single" w:sz="4" w:space="0" w:color="auto"/>
              <w:right w:val="nil"/>
            </w:tcBorders>
            <w:textDirection w:val="lrTb"/>
            <w:vAlign w:val="top"/>
          </w:tcPr>
          <w:p w:rsidR="004D4E20" w:rsidRPr="004D4E20" w:rsidP="00E00D13">
            <w:pPr>
              <w:autoSpaceDE w:val="0"/>
              <w:autoSpaceDN w:val="0"/>
              <w:bidi w:val="0"/>
              <w:spacing w:after="0" w:line="240" w:lineRule="auto"/>
              <w:rPr>
                <w:rFonts w:ascii="Times New Roman" w:hAnsi="Times New Roman"/>
                <w:sz w:val="24"/>
                <w:szCs w:val="24"/>
                <w:lang w:eastAsia="sk-SK"/>
              </w:rPr>
            </w:pPr>
            <w:r w:rsidRPr="004D4E20">
              <w:rPr>
                <w:rFonts w:ascii="Times New Roman" w:hAnsi="Times New Roman"/>
                <w:sz w:val="24"/>
                <w:szCs w:val="24"/>
                <w:lang w:eastAsia="sk-SK"/>
              </w:rPr>
              <w:t>Áno</w:t>
            </w:r>
          </w:p>
        </w:tc>
        <w:tc>
          <w:tcPr>
            <w:tcW w:w="569" w:type="dxa"/>
            <w:tcBorders>
              <w:top w:val="single" w:sz="4" w:space="0" w:color="auto"/>
              <w:left w:val="nil"/>
              <w:bottom w:val="single" w:sz="4" w:space="0" w:color="auto"/>
              <w:right w:val="nil"/>
            </w:tcBorders>
            <w:textDirection w:val="lrTb"/>
            <w:vAlign w:val="top"/>
          </w:tcPr>
          <w:p w:rsidR="004D4E20" w:rsidRPr="004D4E20" w:rsidP="00E00D13">
            <w:pPr>
              <w:autoSpaceDE w:val="0"/>
              <w:autoSpaceDN w:val="0"/>
              <w:bidi w:val="0"/>
              <w:spacing w:after="0" w:line="240" w:lineRule="auto"/>
              <w:jc w:val="center"/>
              <w:rPr>
                <w:rFonts w:ascii="Times New Roman" w:hAnsi="Times New Roman"/>
                <w:sz w:val="24"/>
                <w:szCs w:val="24"/>
                <w:lang w:eastAsia="sk-SK"/>
              </w:rPr>
            </w:pPr>
            <w:r w:rsidRPr="004D4E20">
              <w:rPr>
                <w:rFonts w:ascii="MS Mincho" w:eastAsia="MS Mincho" w:hAnsi="MS Mincho" w:cs="MS Mincho" w:hint="eastAsia"/>
                <w:sz w:val="24"/>
                <w:szCs w:val="24"/>
                <w:lang w:eastAsia="sk-SK"/>
              </w:rPr>
              <w:t>☐</w:t>
            </w:r>
          </w:p>
        </w:tc>
        <w:tc>
          <w:tcPr>
            <w:tcW w:w="1133" w:type="dxa"/>
            <w:tcBorders>
              <w:top w:val="single" w:sz="4" w:space="0" w:color="auto"/>
              <w:left w:val="nil"/>
              <w:bottom w:val="single" w:sz="4" w:space="0" w:color="auto"/>
              <w:right w:val="nil"/>
            </w:tcBorders>
            <w:textDirection w:val="lrTb"/>
            <w:vAlign w:val="top"/>
          </w:tcPr>
          <w:p w:rsidR="004D4E20" w:rsidRPr="004D4E20" w:rsidP="00E00D13">
            <w:pPr>
              <w:autoSpaceDE w:val="0"/>
              <w:autoSpaceDN w:val="0"/>
              <w:bidi w:val="0"/>
              <w:spacing w:after="0" w:line="240" w:lineRule="auto"/>
              <w:rPr>
                <w:rFonts w:ascii="Times New Roman" w:hAnsi="Times New Roman"/>
                <w:sz w:val="24"/>
                <w:szCs w:val="24"/>
                <w:lang w:eastAsia="sk-SK"/>
              </w:rPr>
            </w:pPr>
            <w:r w:rsidRPr="004D4E20">
              <w:rPr>
                <w:rFonts w:ascii="Times New Roman" w:hAnsi="Times New Roman"/>
                <w:sz w:val="24"/>
                <w:szCs w:val="24"/>
                <w:lang w:eastAsia="sk-SK"/>
              </w:rPr>
              <w:t>Nie</w:t>
            </w:r>
          </w:p>
        </w:tc>
        <w:tc>
          <w:tcPr>
            <w:tcW w:w="547" w:type="dxa"/>
            <w:gridSpan w:val="2"/>
            <w:tcBorders>
              <w:top w:val="single" w:sz="4" w:space="0" w:color="auto"/>
              <w:left w:val="nil"/>
              <w:bottom w:val="single" w:sz="4" w:space="0" w:color="auto"/>
              <w:right w:val="nil"/>
            </w:tcBorders>
            <w:textDirection w:val="lrTb"/>
            <w:vAlign w:val="top"/>
          </w:tcPr>
          <w:p w:rsidR="004D4E20" w:rsidRPr="004D4E20" w:rsidP="00E00D13">
            <w:pPr>
              <w:autoSpaceDE w:val="0"/>
              <w:autoSpaceDN w:val="0"/>
              <w:bidi w:val="0"/>
              <w:spacing w:after="0" w:line="240" w:lineRule="auto"/>
              <w:ind w:left="-107" w:right="-108"/>
              <w:jc w:val="center"/>
              <w:rPr>
                <w:rFonts w:ascii="Times New Roman" w:hAnsi="Times New Roman"/>
                <w:sz w:val="24"/>
                <w:szCs w:val="24"/>
                <w:lang w:eastAsia="sk-SK"/>
              </w:rPr>
            </w:pPr>
            <w:r w:rsidRPr="004D4E20">
              <w:rPr>
                <w:rFonts w:ascii="MS Mincho" w:eastAsia="MS Mincho" w:hAnsi="MS Mincho" w:cs="MS Mincho" w:hint="eastAsia"/>
                <w:sz w:val="24"/>
                <w:szCs w:val="24"/>
                <w:lang w:eastAsia="sk-SK"/>
              </w:rPr>
              <w:t>☐</w:t>
            </w:r>
          </w:p>
        </w:tc>
        <w:tc>
          <w:tcPr>
            <w:tcW w:w="1297" w:type="dxa"/>
            <w:tcBorders>
              <w:top w:val="single" w:sz="4" w:space="0" w:color="auto"/>
              <w:left w:val="nil"/>
              <w:bottom w:val="single" w:sz="4" w:space="0" w:color="auto"/>
              <w:right w:val="single" w:sz="4" w:space="0" w:color="auto"/>
            </w:tcBorders>
            <w:textDirection w:val="lrTb"/>
            <w:vAlign w:val="top"/>
          </w:tcPr>
          <w:p w:rsidR="004D4E20" w:rsidRPr="004D4E20" w:rsidP="00E00D13">
            <w:pPr>
              <w:autoSpaceDE w:val="0"/>
              <w:autoSpaceDN w:val="0"/>
              <w:bidi w:val="0"/>
              <w:spacing w:after="0" w:line="240" w:lineRule="auto"/>
              <w:ind w:left="34"/>
              <w:rPr>
                <w:rFonts w:ascii="Times New Roman" w:hAnsi="Times New Roman"/>
                <w:sz w:val="24"/>
                <w:szCs w:val="24"/>
                <w:lang w:eastAsia="sk-SK"/>
              </w:rPr>
            </w:pPr>
            <w:r w:rsidRPr="004D4E20">
              <w:rPr>
                <w:rFonts w:ascii="Times New Roman" w:hAnsi="Times New Roman"/>
                <w:sz w:val="24"/>
                <w:szCs w:val="24"/>
                <w:lang w:eastAsia="sk-SK"/>
              </w:rPr>
              <w:t>Čiastočne</w:t>
            </w:r>
          </w:p>
        </w:tc>
      </w:tr>
      <w:tr>
        <w:tblPrEx>
          <w:tblW w:w="9180" w:type="dxa"/>
          <w:tblLayout w:type="fixed"/>
          <w:tblLook w:val="04A0"/>
        </w:tblPrEx>
        <w:trPr>
          <w:divId w:val="1"/>
        </w:trPr>
        <w:tc>
          <w:tcPr>
            <w:tcW w:w="3812" w:type="dxa"/>
            <w:tcBorders>
              <w:top w:val="single" w:sz="4" w:space="0" w:color="000000"/>
              <w:left w:val="single" w:sz="4" w:space="0" w:color="auto"/>
              <w:bottom w:val="nil"/>
              <w:right w:val="single" w:sz="4" w:space="0" w:color="auto"/>
            </w:tcBorders>
            <w:shd w:val="clear" w:color="auto" w:fill="E2E2E2"/>
            <w:textDirection w:val="lrTb"/>
            <w:vAlign w:val="top"/>
          </w:tcPr>
          <w:p w:rsidR="004D4E20" w:rsidRPr="004D4E20" w:rsidP="00E00D13">
            <w:pPr>
              <w:autoSpaceDE w:val="0"/>
              <w:autoSpaceDN w:val="0"/>
              <w:bidi w:val="0"/>
              <w:spacing w:after="0" w:line="240" w:lineRule="auto"/>
              <w:rPr>
                <w:rFonts w:ascii="Times New Roman" w:hAnsi="Times New Roman"/>
                <w:b/>
                <w:sz w:val="24"/>
                <w:szCs w:val="24"/>
                <w:lang w:eastAsia="sk-SK"/>
              </w:rPr>
            </w:pPr>
            <w:r w:rsidRPr="004D4E20">
              <w:rPr>
                <w:rFonts w:ascii="Times New Roman" w:hAnsi="Times New Roman"/>
                <w:b/>
                <w:sz w:val="24"/>
                <w:szCs w:val="24"/>
                <w:lang w:eastAsia="sk-SK"/>
              </w:rPr>
              <w:t>Vplyvy na podnikateľské prostredie</w:t>
            </w:r>
          </w:p>
        </w:tc>
        <w:tc>
          <w:tcPr>
            <w:tcW w:w="541" w:type="dxa"/>
            <w:gridSpan w:val="2"/>
            <w:tcBorders>
              <w:top w:val="single" w:sz="4" w:space="0" w:color="auto"/>
              <w:left w:val="single" w:sz="4" w:space="0" w:color="auto"/>
              <w:bottom w:val="single" w:sz="4" w:space="0" w:color="auto"/>
              <w:right w:val="nil"/>
            </w:tcBorders>
            <w:textDirection w:val="lrTb"/>
            <w:vAlign w:val="top"/>
          </w:tcPr>
          <w:p w:rsidR="004D4E20" w:rsidRPr="004D4E20" w:rsidP="00E00D13">
            <w:pPr>
              <w:autoSpaceDE w:val="0"/>
              <w:autoSpaceDN w:val="0"/>
              <w:bidi w:val="0"/>
              <w:spacing w:after="0" w:line="240" w:lineRule="auto"/>
              <w:jc w:val="center"/>
              <w:rPr>
                <w:rFonts w:ascii="Times New Roman" w:hAnsi="Times New Roman"/>
                <w:b/>
                <w:sz w:val="24"/>
                <w:szCs w:val="24"/>
                <w:lang w:eastAsia="sk-SK"/>
              </w:rPr>
            </w:pPr>
            <w:r w:rsidRPr="004D4E20">
              <w:rPr>
                <w:rFonts w:ascii="MS Mincho" w:eastAsia="MS Mincho" w:hAnsi="MS Mincho" w:cs="MS Mincho" w:hint="eastAsia"/>
                <w:b/>
                <w:sz w:val="24"/>
                <w:szCs w:val="24"/>
                <w:lang w:eastAsia="sk-SK"/>
              </w:rPr>
              <w:t>☒</w:t>
            </w:r>
          </w:p>
        </w:tc>
        <w:tc>
          <w:tcPr>
            <w:tcW w:w="1281" w:type="dxa"/>
            <w:gridSpan w:val="2"/>
            <w:tcBorders>
              <w:top w:val="single" w:sz="4" w:space="0" w:color="auto"/>
              <w:left w:val="nil"/>
              <w:bottom w:val="single" w:sz="4" w:space="0" w:color="auto"/>
              <w:right w:val="nil"/>
            </w:tcBorders>
            <w:textDirection w:val="lrTb"/>
            <w:vAlign w:val="top"/>
          </w:tcPr>
          <w:p w:rsidR="004D4E20" w:rsidRPr="004D4E20" w:rsidP="00E00D13">
            <w:pPr>
              <w:autoSpaceDE w:val="0"/>
              <w:autoSpaceDN w:val="0"/>
              <w:bidi w:val="0"/>
              <w:spacing w:after="0" w:line="240" w:lineRule="auto"/>
              <w:ind w:right="-108"/>
              <w:rPr>
                <w:rFonts w:ascii="Times New Roman" w:hAnsi="Times New Roman"/>
                <w:b/>
                <w:sz w:val="24"/>
                <w:szCs w:val="24"/>
                <w:lang w:eastAsia="sk-SK"/>
              </w:rPr>
            </w:pPr>
            <w:r w:rsidRPr="004D4E20">
              <w:rPr>
                <w:rFonts w:ascii="Times New Roman" w:hAnsi="Times New Roman"/>
                <w:b/>
                <w:sz w:val="24"/>
                <w:szCs w:val="24"/>
                <w:lang w:eastAsia="sk-SK"/>
              </w:rPr>
              <w:t>Pozitívne</w:t>
            </w:r>
          </w:p>
        </w:tc>
        <w:tc>
          <w:tcPr>
            <w:tcW w:w="569" w:type="dxa"/>
            <w:tcBorders>
              <w:top w:val="single" w:sz="4" w:space="0" w:color="auto"/>
              <w:left w:val="nil"/>
              <w:bottom w:val="single" w:sz="4" w:space="0" w:color="auto"/>
              <w:right w:val="nil"/>
            </w:tcBorders>
            <w:textDirection w:val="lrTb"/>
            <w:vAlign w:val="top"/>
          </w:tcPr>
          <w:p w:rsidR="004D4E20" w:rsidRPr="004D4E20" w:rsidP="00E00D13">
            <w:pPr>
              <w:autoSpaceDE w:val="0"/>
              <w:autoSpaceDN w:val="0"/>
              <w:bidi w:val="0"/>
              <w:spacing w:after="0" w:line="240" w:lineRule="auto"/>
              <w:jc w:val="center"/>
              <w:rPr>
                <w:rFonts w:ascii="Times New Roman" w:hAnsi="Times New Roman"/>
                <w:b/>
                <w:sz w:val="24"/>
                <w:szCs w:val="24"/>
                <w:lang w:eastAsia="sk-SK"/>
              </w:rPr>
            </w:pPr>
            <w:r w:rsidRPr="004D4E20">
              <w:rPr>
                <w:rFonts w:ascii="MS Mincho" w:eastAsia="MS Mincho" w:hAnsi="MS Mincho" w:cs="MS Mincho" w:hint="eastAsia"/>
                <w:b/>
                <w:sz w:val="24"/>
                <w:szCs w:val="24"/>
                <w:lang w:eastAsia="sk-SK"/>
              </w:rPr>
              <w:t>☐</w:t>
            </w:r>
          </w:p>
        </w:tc>
        <w:tc>
          <w:tcPr>
            <w:tcW w:w="1133" w:type="dxa"/>
            <w:tcBorders>
              <w:top w:val="single" w:sz="4" w:space="0" w:color="auto"/>
              <w:left w:val="nil"/>
              <w:bottom w:val="single" w:sz="4" w:space="0" w:color="auto"/>
              <w:right w:val="nil"/>
            </w:tcBorders>
            <w:textDirection w:val="lrTb"/>
            <w:vAlign w:val="top"/>
          </w:tcPr>
          <w:p w:rsidR="004D4E20" w:rsidRPr="004D4E20" w:rsidP="00E00D13">
            <w:pPr>
              <w:autoSpaceDE w:val="0"/>
              <w:autoSpaceDN w:val="0"/>
              <w:bidi w:val="0"/>
              <w:spacing w:after="0" w:line="240" w:lineRule="auto"/>
              <w:rPr>
                <w:rFonts w:ascii="Times New Roman" w:hAnsi="Times New Roman"/>
                <w:b/>
                <w:sz w:val="24"/>
                <w:szCs w:val="24"/>
                <w:lang w:eastAsia="sk-SK"/>
              </w:rPr>
            </w:pPr>
            <w:r w:rsidRPr="004D4E20">
              <w:rPr>
                <w:rFonts w:ascii="Times New Roman" w:hAnsi="Times New Roman"/>
                <w:b/>
                <w:sz w:val="24"/>
                <w:szCs w:val="24"/>
                <w:lang w:eastAsia="sk-SK"/>
              </w:rPr>
              <w:t>Žiadne</w:t>
            </w:r>
          </w:p>
        </w:tc>
        <w:tc>
          <w:tcPr>
            <w:tcW w:w="547" w:type="dxa"/>
            <w:gridSpan w:val="2"/>
            <w:tcBorders>
              <w:top w:val="single" w:sz="4" w:space="0" w:color="auto"/>
              <w:left w:val="nil"/>
              <w:bottom w:val="single" w:sz="4" w:space="0" w:color="auto"/>
              <w:right w:val="nil"/>
            </w:tcBorders>
            <w:textDirection w:val="lrTb"/>
            <w:vAlign w:val="top"/>
          </w:tcPr>
          <w:p w:rsidR="004D4E20" w:rsidRPr="004D4E20" w:rsidP="00E00D13">
            <w:pPr>
              <w:autoSpaceDE w:val="0"/>
              <w:autoSpaceDN w:val="0"/>
              <w:bidi w:val="0"/>
              <w:spacing w:after="0" w:line="240" w:lineRule="auto"/>
              <w:jc w:val="center"/>
              <w:rPr>
                <w:rFonts w:ascii="Times New Roman" w:hAnsi="Times New Roman"/>
                <w:b/>
                <w:sz w:val="24"/>
                <w:szCs w:val="24"/>
                <w:lang w:eastAsia="sk-SK"/>
              </w:rPr>
            </w:pPr>
            <w:r w:rsidRPr="004D4E20">
              <w:rPr>
                <w:rFonts w:ascii="MS Mincho" w:eastAsia="MS Mincho" w:hAnsi="MS Mincho" w:cs="MS Mincho" w:hint="eastAsia"/>
                <w:b/>
                <w:sz w:val="24"/>
                <w:szCs w:val="24"/>
                <w:lang w:eastAsia="sk-SK"/>
              </w:rPr>
              <w:t>☐</w:t>
            </w:r>
          </w:p>
        </w:tc>
        <w:tc>
          <w:tcPr>
            <w:tcW w:w="1297" w:type="dxa"/>
            <w:tcBorders>
              <w:top w:val="single" w:sz="4" w:space="0" w:color="auto"/>
              <w:left w:val="nil"/>
              <w:bottom w:val="single" w:sz="4" w:space="0" w:color="auto"/>
              <w:right w:val="single" w:sz="4" w:space="0" w:color="auto"/>
            </w:tcBorders>
            <w:textDirection w:val="lrTb"/>
            <w:vAlign w:val="top"/>
          </w:tcPr>
          <w:p w:rsidR="004D4E20" w:rsidRPr="004D4E20" w:rsidP="00E00D13">
            <w:pPr>
              <w:autoSpaceDE w:val="0"/>
              <w:autoSpaceDN w:val="0"/>
              <w:bidi w:val="0"/>
              <w:spacing w:after="0" w:line="240" w:lineRule="auto"/>
              <w:ind w:left="54"/>
              <w:rPr>
                <w:rFonts w:ascii="Times New Roman" w:hAnsi="Times New Roman"/>
                <w:b/>
                <w:sz w:val="24"/>
                <w:szCs w:val="24"/>
                <w:lang w:eastAsia="sk-SK"/>
              </w:rPr>
            </w:pPr>
            <w:r w:rsidRPr="004D4E20">
              <w:rPr>
                <w:rFonts w:ascii="Times New Roman" w:hAnsi="Times New Roman"/>
                <w:b/>
                <w:sz w:val="24"/>
                <w:szCs w:val="24"/>
                <w:lang w:eastAsia="sk-SK"/>
              </w:rPr>
              <w:t>Negatívne</w:t>
            </w:r>
          </w:p>
        </w:tc>
      </w:tr>
      <w:tr>
        <w:tblPrEx>
          <w:tblW w:w="9180" w:type="dxa"/>
          <w:tblLayout w:type="fixed"/>
          <w:tblLook w:val="04A0"/>
        </w:tblPrEx>
        <w:trPr>
          <w:divId w:val="1"/>
        </w:trPr>
        <w:tc>
          <w:tcPr>
            <w:tcW w:w="3812" w:type="dxa"/>
            <w:tcBorders>
              <w:top w:val="nil"/>
              <w:left w:val="single" w:sz="4" w:space="0" w:color="auto"/>
              <w:bottom w:val="single" w:sz="4" w:space="0" w:color="000000"/>
              <w:right w:val="single" w:sz="4" w:space="0" w:color="000000"/>
            </w:tcBorders>
            <w:shd w:val="clear" w:color="auto" w:fill="E2E2E2"/>
            <w:textDirection w:val="lrTb"/>
            <w:vAlign w:val="top"/>
          </w:tcPr>
          <w:p w:rsidR="004D4E20" w:rsidRPr="004D4E20" w:rsidP="00E00D13">
            <w:pPr>
              <w:autoSpaceDE w:val="0"/>
              <w:autoSpaceDN w:val="0"/>
              <w:bidi w:val="0"/>
              <w:spacing w:after="0" w:line="240" w:lineRule="auto"/>
              <w:rPr>
                <w:rFonts w:ascii="Times New Roman" w:hAnsi="Times New Roman"/>
                <w:sz w:val="24"/>
                <w:szCs w:val="24"/>
                <w:lang w:eastAsia="sk-SK"/>
              </w:rPr>
            </w:pPr>
            <w:r w:rsidRPr="004D4E20">
              <w:rPr>
                <w:rFonts w:ascii="Times New Roman" w:hAnsi="Times New Roman"/>
                <w:sz w:val="24"/>
                <w:szCs w:val="24"/>
                <w:lang w:eastAsia="sk-SK"/>
              </w:rPr>
              <w:t xml:space="preserve">    z toho vplyvy na MSP</w:t>
            </w:r>
          </w:p>
        </w:tc>
        <w:tc>
          <w:tcPr>
            <w:tcW w:w="541" w:type="dxa"/>
            <w:gridSpan w:val="2"/>
            <w:tcBorders>
              <w:top w:val="single" w:sz="4" w:space="0" w:color="auto"/>
              <w:left w:val="single" w:sz="4" w:space="0" w:color="000000"/>
              <w:bottom w:val="single" w:sz="4" w:space="0" w:color="auto"/>
              <w:right w:val="nil"/>
            </w:tcBorders>
            <w:textDirection w:val="lrTb"/>
            <w:vAlign w:val="top"/>
          </w:tcPr>
          <w:p w:rsidR="004D4E20" w:rsidRPr="004D4E20" w:rsidP="00E00D13">
            <w:pPr>
              <w:autoSpaceDE w:val="0"/>
              <w:autoSpaceDN w:val="0"/>
              <w:bidi w:val="0"/>
              <w:spacing w:after="0" w:line="240" w:lineRule="auto"/>
              <w:jc w:val="center"/>
              <w:rPr>
                <w:rFonts w:ascii="Times New Roman" w:hAnsi="Times New Roman"/>
                <w:sz w:val="24"/>
                <w:szCs w:val="24"/>
                <w:lang w:eastAsia="sk-SK"/>
              </w:rPr>
            </w:pPr>
            <w:r w:rsidRPr="004D4E20">
              <w:rPr>
                <w:rFonts w:ascii="MS Mincho" w:eastAsia="MS Mincho" w:hAnsi="MS Mincho" w:cs="MS Mincho" w:hint="eastAsia"/>
                <w:sz w:val="24"/>
                <w:szCs w:val="24"/>
                <w:lang w:eastAsia="sk-SK"/>
              </w:rPr>
              <w:t>☒</w:t>
            </w:r>
          </w:p>
        </w:tc>
        <w:tc>
          <w:tcPr>
            <w:tcW w:w="1281" w:type="dxa"/>
            <w:gridSpan w:val="2"/>
            <w:tcBorders>
              <w:top w:val="single" w:sz="4" w:space="0" w:color="auto"/>
              <w:left w:val="nil"/>
              <w:bottom w:val="single" w:sz="4" w:space="0" w:color="auto"/>
              <w:right w:val="nil"/>
            </w:tcBorders>
            <w:textDirection w:val="lrTb"/>
            <w:vAlign w:val="top"/>
          </w:tcPr>
          <w:p w:rsidR="004D4E20" w:rsidRPr="004D4E20" w:rsidP="00E00D13">
            <w:pPr>
              <w:autoSpaceDE w:val="0"/>
              <w:autoSpaceDN w:val="0"/>
              <w:bidi w:val="0"/>
              <w:spacing w:after="0" w:line="240" w:lineRule="auto"/>
              <w:ind w:right="-108"/>
              <w:rPr>
                <w:rFonts w:ascii="Times New Roman" w:hAnsi="Times New Roman"/>
                <w:sz w:val="24"/>
                <w:szCs w:val="24"/>
                <w:lang w:eastAsia="sk-SK"/>
              </w:rPr>
            </w:pPr>
            <w:r w:rsidRPr="004D4E20">
              <w:rPr>
                <w:rFonts w:ascii="Times New Roman" w:hAnsi="Times New Roman"/>
                <w:sz w:val="24"/>
                <w:szCs w:val="24"/>
                <w:lang w:eastAsia="sk-SK"/>
              </w:rPr>
              <w:t>Pozitívne</w:t>
            </w:r>
          </w:p>
        </w:tc>
        <w:tc>
          <w:tcPr>
            <w:tcW w:w="569" w:type="dxa"/>
            <w:tcBorders>
              <w:top w:val="single" w:sz="4" w:space="0" w:color="auto"/>
              <w:left w:val="nil"/>
              <w:bottom w:val="single" w:sz="4" w:space="0" w:color="auto"/>
              <w:right w:val="nil"/>
            </w:tcBorders>
            <w:textDirection w:val="lrTb"/>
            <w:vAlign w:val="top"/>
          </w:tcPr>
          <w:p w:rsidR="004D4E20" w:rsidRPr="004D4E20" w:rsidP="00E00D13">
            <w:pPr>
              <w:autoSpaceDE w:val="0"/>
              <w:autoSpaceDN w:val="0"/>
              <w:bidi w:val="0"/>
              <w:spacing w:after="0" w:line="240" w:lineRule="auto"/>
              <w:jc w:val="center"/>
              <w:rPr>
                <w:rFonts w:ascii="Times New Roman" w:hAnsi="Times New Roman"/>
                <w:sz w:val="24"/>
                <w:szCs w:val="24"/>
                <w:lang w:eastAsia="sk-SK"/>
              </w:rPr>
            </w:pPr>
            <w:r w:rsidRPr="004D4E20">
              <w:rPr>
                <w:rFonts w:ascii="MS Mincho" w:eastAsia="MS Mincho" w:hAnsi="MS Mincho" w:cs="MS Mincho" w:hint="eastAsia"/>
                <w:sz w:val="24"/>
                <w:szCs w:val="24"/>
                <w:lang w:eastAsia="sk-SK"/>
              </w:rPr>
              <w:t>☐</w:t>
            </w:r>
          </w:p>
        </w:tc>
        <w:tc>
          <w:tcPr>
            <w:tcW w:w="1133" w:type="dxa"/>
            <w:tcBorders>
              <w:top w:val="single" w:sz="4" w:space="0" w:color="auto"/>
              <w:left w:val="nil"/>
              <w:bottom w:val="single" w:sz="4" w:space="0" w:color="auto"/>
              <w:right w:val="nil"/>
            </w:tcBorders>
            <w:textDirection w:val="lrTb"/>
            <w:vAlign w:val="top"/>
          </w:tcPr>
          <w:p w:rsidR="004D4E20" w:rsidRPr="004D4E20" w:rsidP="00E00D13">
            <w:pPr>
              <w:autoSpaceDE w:val="0"/>
              <w:autoSpaceDN w:val="0"/>
              <w:bidi w:val="0"/>
              <w:spacing w:after="0" w:line="240" w:lineRule="auto"/>
              <w:rPr>
                <w:rFonts w:ascii="Times New Roman" w:hAnsi="Times New Roman"/>
                <w:sz w:val="24"/>
                <w:szCs w:val="24"/>
                <w:lang w:eastAsia="sk-SK"/>
              </w:rPr>
            </w:pPr>
            <w:r w:rsidRPr="004D4E20">
              <w:rPr>
                <w:rFonts w:ascii="Times New Roman" w:hAnsi="Times New Roman"/>
                <w:sz w:val="24"/>
                <w:szCs w:val="24"/>
                <w:lang w:eastAsia="sk-SK"/>
              </w:rPr>
              <w:t>Žiadne</w:t>
            </w:r>
          </w:p>
        </w:tc>
        <w:tc>
          <w:tcPr>
            <w:tcW w:w="547" w:type="dxa"/>
            <w:gridSpan w:val="2"/>
            <w:tcBorders>
              <w:top w:val="single" w:sz="4" w:space="0" w:color="auto"/>
              <w:left w:val="nil"/>
              <w:bottom w:val="single" w:sz="4" w:space="0" w:color="auto"/>
              <w:right w:val="nil"/>
            </w:tcBorders>
            <w:textDirection w:val="lrTb"/>
            <w:vAlign w:val="top"/>
          </w:tcPr>
          <w:p w:rsidR="004D4E20" w:rsidRPr="004D4E20" w:rsidP="00E00D13">
            <w:pPr>
              <w:autoSpaceDE w:val="0"/>
              <w:autoSpaceDN w:val="0"/>
              <w:bidi w:val="0"/>
              <w:spacing w:after="0" w:line="240" w:lineRule="auto"/>
              <w:jc w:val="center"/>
              <w:rPr>
                <w:rFonts w:ascii="Times New Roman" w:hAnsi="Times New Roman"/>
                <w:sz w:val="24"/>
                <w:szCs w:val="24"/>
                <w:lang w:eastAsia="sk-SK"/>
              </w:rPr>
            </w:pPr>
            <w:r w:rsidRPr="004D4E20">
              <w:rPr>
                <w:rFonts w:ascii="MS Mincho" w:eastAsia="MS Mincho" w:hAnsi="MS Mincho" w:cs="MS Mincho" w:hint="eastAsia"/>
                <w:sz w:val="24"/>
                <w:szCs w:val="24"/>
                <w:lang w:eastAsia="sk-SK"/>
              </w:rPr>
              <w:t>☐</w:t>
            </w:r>
          </w:p>
        </w:tc>
        <w:tc>
          <w:tcPr>
            <w:tcW w:w="1297" w:type="dxa"/>
            <w:tcBorders>
              <w:top w:val="single" w:sz="4" w:space="0" w:color="auto"/>
              <w:left w:val="nil"/>
              <w:bottom w:val="single" w:sz="4" w:space="0" w:color="auto"/>
              <w:right w:val="single" w:sz="4" w:space="0" w:color="auto"/>
            </w:tcBorders>
            <w:textDirection w:val="lrTb"/>
            <w:vAlign w:val="top"/>
          </w:tcPr>
          <w:p w:rsidR="004D4E20" w:rsidRPr="004D4E20" w:rsidP="00E00D13">
            <w:pPr>
              <w:autoSpaceDE w:val="0"/>
              <w:autoSpaceDN w:val="0"/>
              <w:bidi w:val="0"/>
              <w:spacing w:after="0" w:line="240" w:lineRule="auto"/>
              <w:ind w:left="54"/>
              <w:rPr>
                <w:rFonts w:ascii="Times New Roman" w:hAnsi="Times New Roman"/>
                <w:sz w:val="24"/>
                <w:szCs w:val="24"/>
                <w:lang w:eastAsia="sk-SK"/>
              </w:rPr>
            </w:pPr>
            <w:r w:rsidRPr="004D4E20">
              <w:rPr>
                <w:rFonts w:ascii="Times New Roman" w:hAnsi="Times New Roman"/>
                <w:sz w:val="24"/>
                <w:szCs w:val="24"/>
                <w:lang w:eastAsia="sk-SK"/>
              </w:rPr>
              <w:t>Negatívne</w:t>
            </w:r>
          </w:p>
        </w:tc>
      </w:tr>
      <w:tr>
        <w:tblPrEx>
          <w:tblW w:w="9180" w:type="dxa"/>
          <w:tblLayout w:type="fixed"/>
          <w:tblLook w:val="04A0"/>
        </w:tblPrEx>
        <w:trPr>
          <w:divId w:val="1"/>
        </w:trPr>
        <w:tc>
          <w:tcPr>
            <w:tcW w:w="3812" w:type="dxa"/>
            <w:tcBorders>
              <w:top w:val="single" w:sz="4" w:space="0" w:color="000000"/>
              <w:left w:val="single" w:sz="4" w:space="0" w:color="auto"/>
              <w:bottom w:val="single" w:sz="4" w:space="0" w:color="auto"/>
              <w:right w:val="single" w:sz="4" w:space="0" w:color="auto"/>
            </w:tcBorders>
            <w:shd w:val="clear" w:color="auto" w:fill="E2E2E2"/>
            <w:textDirection w:val="lrTb"/>
            <w:vAlign w:val="top"/>
          </w:tcPr>
          <w:p w:rsidR="004D4E20" w:rsidRPr="004D4E20" w:rsidP="00E00D13">
            <w:pPr>
              <w:autoSpaceDE w:val="0"/>
              <w:autoSpaceDN w:val="0"/>
              <w:bidi w:val="0"/>
              <w:spacing w:after="0" w:line="240" w:lineRule="auto"/>
              <w:rPr>
                <w:rFonts w:ascii="Times New Roman" w:hAnsi="Times New Roman"/>
                <w:b/>
                <w:sz w:val="24"/>
                <w:szCs w:val="24"/>
                <w:lang w:eastAsia="sk-SK"/>
              </w:rPr>
            </w:pPr>
            <w:r w:rsidRPr="004D4E20">
              <w:rPr>
                <w:rFonts w:ascii="Times New Roman" w:hAnsi="Times New Roman"/>
                <w:b/>
                <w:sz w:val="24"/>
                <w:szCs w:val="24"/>
                <w:lang w:eastAsia="sk-SK"/>
              </w:rPr>
              <w:t>Sociálne vplyvy</w:t>
            </w:r>
          </w:p>
        </w:tc>
        <w:tc>
          <w:tcPr>
            <w:tcW w:w="541" w:type="dxa"/>
            <w:gridSpan w:val="2"/>
            <w:tcBorders>
              <w:top w:val="single" w:sz="4" w:space="0" w:color="auto"/>
              <w:left w:val="single" w:sz="4" w:space="0" w:color="auto"/>
              <w:bottom w:val="single" w:sz="4" w:space="0" w:color="auto"/>
              <w:right w:val="nil"/>
            </w:tcBorders>
            <w:textDirection w:val="lrTb"/>
            <w:vAlign w:val="top"/>
          </w:tcPr>
          <w:p w:rsidR="004D4E20" w:rsidRPr="004D4E20" w:rsidP="00E00D13">
            <w:pPr>
              <w:autoSpaceDE w:val="0"/>
              <w:autoSpaceDN w:val="0"/>
              <w:bidi w:val="0"/>
              <w:spacing w:after="0" w:line="240" w:lineRule="auto"/>
              <w:jc w:val="center"/>
              <w:rPr>
                <w:rFonts w:ascii="Times New Roman" w:hAnsi="Times New Roman"/>
                <w:b/>
                <w:sz w:val="24"/>
                <w:szCs w:val="24"/>
                <w:lang w:eastAsia="sk-SK"/>
              </w:rPr>
            </w:pPr>
            <w:r w:rsidRPr="004D4E20">
              <w:rPr>
                <w:rFonts w:ascii="MS Mincho" w:eastAsia="MS Mincho" w:hAnsi="MS Mincho" w:cs="MS Mincho" w:hint="eastAsia"/>
                <w:b/>
                <w:sz w:val="24"/>
                <w:szCs w:val="24"/>
                <w:lang w:eastAsia="sk-SK"/>
              </w:rPr>
              <w:t>☐</w:t>
            </w:r>
          </w:p>
        </w:tc>
        <w:tc>
          <w:tcPr>
            <w:tcW w:w="1281" w:type="dxa"/>
            <w:gridSpan w:val="2"/>
            <w:tcBorders>
              <w:top w:val="single" w:sz="4" w:space="0" w:color="auto"/>
              <w:left w:val="nil"/>
              <w:bottom w:val="single" w:sz="4" w:space="0" w:color="auto"/>
              <w:right w:val="nil"/>
            </w:tcBorders>
            <w:textDirection w:val="lrTb"/>
            <w:vAlign w:val="top"/>
          </w:tcPr>
          <w:p w:rsidR="004D4E20" w:rsidRPr="004D4E20" w:rsidP="00E00D13">
            <w:pPr>
              <w:autoSpaceDE w:val="0"/>
              <w:autoSpaceDN w:val="0"/>
              <w:bidi w:val="0"/>
              <w:spacing w:after="0" w:line="240" w:lineRule="auto"/>
              <w:ind w:right="-108"/>
              <w:rPr>
                <w:rFonts w:ascii="Times New Roman" w:hAnsi="Times New Roman"/>
                <w:b/>
                <w:sz w:val="24"/>
                <w:szCs w:val="24"/>
                <w:lang w:eastAsia="sk-SK"/>
              </w:rPr>
            </w:pPr>
            <w:r w:rsidRPr="004D4E20">
              <w:rPr>
                <w:rFonts w:ascii="Times New Roman" w:hAnsi="Times New Roman"/>
                <w:b/>
                <w:sz w:val="24"/>
                <w:szCs w:val="24"/>
                <w:lang w:eastAsia="sk-SK"/>
              </w:rPr>
              <w:t>Pozitívne</w:t>
            </w:r>
          </w:p>
        </w:tc>
        <w:tc>
          <w:tcPr>
            <w:tcW w:w="569" w:type="dxa"/>
            <w:tcBorders>
              <w:top w:val="single" w:sz="4" w:space="0" w:color="auto"/>
              <w:left w:val="nil"/>
              <w:bottom w:val="single" w:sz="4" w:space="0" w:color="auto"/>
              <w:right w:val="nil"/>
            </w:tcBorders>
            <w:textDirection w:val="lrTb"/>
            <w:vAlign w:val="top"/>
          </w:tcPr>
          <w:p w:rsidR="004D4E20" w:rsidRPr="004D4E20" w:rsidP="00E00D13">
            <w:pPr>
              <w:autoSpaceDE w:val="0"/>
              <w:autoSpaceDN w:val="0"/>
              <w:bidi w:val="0"/>
              <w:spacing w:after="0" w:line="240" w:lineRule="auto"/>
              <w:jc w:val="center"/>
              <w:rPr>
                <w:rFonts w:ascii="Times New Roman" w:hAnsi="Times New Roman"/>
                <w:b/>
                <w:sz w:val="24"/>
                <w:szCs w:val="24"/>
                <w:lang w:eastAsia="sk-SK"/>
              </w:rPr>
            </w:pPr>
            <w:r w:rsidRPr="004D4E20">
              <w:rPr>
                <w:rFonts w:ascii="MS Mincho" w:eastAsia="MS Mincho" w:hAnsi="MS Mincho" w:cs="MS Mincho" w:hint="eastAsia"/>
                <w:b/>
                <w:sz w:val="24"/>
                <w:szCs w:val="24"/>
                <w:lang w:eastAsia="sk-SK"/>
              </w:rPr>
              <w:t>☒</w:t>
            </w:r>
          </w:p>
        </w:tc>
        <w:tc>
          <w:tcPr>
            <w:tcW w:w="1133" w:type="dxa"/>
            <w:tcBorders>
              <w:top w:val="single" w:sz="4" w:space="0" w:color="auto"/>
              <w:left w:val="nil"/>
              <w:bottom w:val="single" w:sz="4" w:space="0" w:color="auto"/>
              <w:right w:val="nil"/>
            </w:tcBorders>
            <w:textDirection w:val="lrTb"/>
            <w:vAlign w:val="top"/>
          </w:tcPr>
          <w:p w:rsidR="004D4E20" w:rsidRPr="004D4E20" w:rsidP="00E00D13">
            <w:pPr>
              <w:autoSpaceDE w:val="0"/>
              <w:autoSpaceDN w:val="0"/>
              <w:bidi w:val="0"/>
              <w:spacing w:after="0" w:line="240" w:lineRule="auto"/>
              <w:rPr>
                <w:rFonts w:ascii="Times New Roman" w:hAnsi="Times New Roman"/>
                <w:b/>
                <w:sz w:val="24"/>
                <w:szCs w:val="24"/>
                <w:lang w:eastAsia="sk-SK"/>
              </w:rPr>
            </w:pPr>
            <w:r w:rsidRPr="004D4E20">
              <w:rPr>
                <w:rFonts w:ascii="Times New Roman" w:hAnsi="Times New Roman"/>
                <w:b/>
                <w:sz w:val="24"/>
                <w:szCs w:val="24"/>
                <w:lang w:eastAsia="sk-SK"/>
              </w:rPr>
              <w:t>Žiadne</w:t>
            </w:r>
          </w:p>
        </w:tc>
        <w:tc>
          <w:tcPr>
            <w:tcW w:w="547" w:type="dxa"/>
            <w:gridSpan w:val="2"/>
            <w:tcBorders>
              <w:top w:val="single" w:sz="4" w:space="0" w:color="auto"/>
              <w:left w:val="nil"/>
              <w:bottom w:val="single" w:sz="4" w:space="0" w:color="auto"/>
              <w:right w:val="nil"/>
            </w:tcBorders>
            <w:textDirection w:val="lrTb"/>
            <w:vAlign w:val="top"/>
          </w:tcPr>
          <w:p w:rsidR="004D4E20" w:rsidRPr="004D4E20" w:rsidP="00E00D13">
            <w:pPr>
              <w:autoSpaceDE w:val="0"/>
              <w:autoSpaceDN w:val="0"/>
              <w:bidi w:val="0"/>
              <w:spacing w:after="0" w:line="240" w:lineRule="auto"/>
              <w:jc w:val="center"/>
              <w:rPr>
                <w:rFonts w:ascii="Times New Roman" w:hAnsi="Times New Roman"/>
                <w:b/>
                <w:sz w:val="24"/>
                <w:szCs w:val="24"/>
                <w:lang w:eastAsia="sk-SK"/>
              </w:rPr>
            </w:pPr>
            <w:r w:rsidRPr="004D4E20">
              <w:rPr>
                <w:rFonts w:ascii="MS Mincho" w:eastAsia="MS Mincho" w:hAnsi="MS Mincho" w:cs="MS Mincho" w:hint="eastAsia"/>
                <w:b/>
                <w:sz w:val="24"/>
                <w:szCs w:val="24"/>
                <w:lang w:eastAsia="sk-SK"/>
              </w:rPr>
              <w:t>☐</w:t>
            </w:r>
          </w:p>
        </w:tc>
        <w:tc>
          <w:tcPr>
            <w:tcW w:w="1297" w:type="dxa"/>
            <w:tcBorders>
              <w:top w:val="single" w:sz="4" w:space="0" w:color="auto"/>
              <w:left w:val="nil"/>
              <w:bottom w:val="single" w:sz="4" w:space="0" w:color="auto"/>
              <w:right w:val="single" w:sz="4" w:space="0" w:color="auto"/>
            </w:tcBorders>
            <w:textDirection w:val="lrTb"/>
            <w:vAlign w:val="top"/>
          </w:tcPr>
          <w:p w:rsidR="004D4E20" w:rsidRPr="004D4E20" w:rsidP="00E00D13">
            <w:pPr>
              <w:autoSpaceDE w:val="0"/>
              <w:autoSpaceDN w:val="0"/>
              <w:bidi w:val="0"/>
              <w:spacing w:after="0" w:line="240" w:lineRule="auto"/>
              <w:ind w:left="54"/>
              <w:rPr>
                <w:rFonts w:ascii="Times New Roman" w:hAnsi="Times New Roman"/>
                <w:b/>
                <w:sz w:val="24"/>
                <w:szCs w:val="24"/>
                <w:lang w:eastAsia="sk-SK"/>
              </w:rPr>
            </w:pPr>
            <w:r w:rsidRPr="004D4E20">
              <w:rPr>
                <w:rFonts w:ascii="Times New Roman" w:hAnsi="Times New Roman"/>
                <w:b/>
                <w:sz w:val="24"/>
                <w:szCs w:val="24"/>
                <w:lang w:eastAsia="sk-SK"/>
              </w:rPr>
              <w:t>Negatívne</w:t>
            </w:r>
          </w:p>
        </w:tc>
      </w:tr>
      <w:tr>
        <w:tblPrEx>
          <w:tblW w:w="9180" w:type="dxa"/>
          <w:tblLayout w:type="fixed"/>
          <w:tblLook w:val="04A0"/>
        </w:tblPrEx>
        <w:trPr>
          <w:divId w:val="1"/>
        </w:trPr>
        <w:tc>
          <w:tcPr>
            <w:tcW w:w="3812" w:type="dxa"/>
            <w:tcBorders>
              <w:top w:val="single" w:sz="4" w:space="0" w:color="auto"/>
              <w:left w:val="single" w:sz="4" w:space="0" w:color="auto"/>
              <w:bottom w:val="single" w:sz="4" w:space="0" w:color="auto"/>
              <w:right w:val="single" w:sz="4" w:space="0" w:color="auto"/>
            </w:tcBorders>
            <w:shd w:val="clear" w:color="auto" w:fill="E2E2E2"/>
            <w:textDirection w:val="lrTb"/>
            <w:vAlign w:val="top"/>
          </w:tcPr>
          <w:p w:rsidR="004D4E20" w:rsidRPr="004D4E20" w:rsidP="00E00D13">
            <w:pPr>
              <w:autoSpaceDE w:val="0"/>
              <w:autoSpaceDN w:val="0"/>
              <w:bidi w:val="0"/>
              <w:spacing w:after="0" w:line="240" w:lineRule="auto"/>
              <w:rPr>
                <w:rFonts w:ascii="Times New Roman" w:hAnsi="Times New Roman"/>
                <w:b/>
                <w:sz w:val="24"/>
                <w:szCs w:val="24"/>
                <w:lang w:eastAsia="sk-SK"/>
              </w:rPr>
            </w:pPr>
            <w:r w:rsidRPr="004D4E20">
              <w:rPr>
                <w:rFonts w:ascii="Times New Roman" w:hAnsi="Times New Roman"/>
                <w:b/>
                <w:sz w:val="24"/>
                <w:szCs w:val="24"/>
                <w:lang w:eastAsia="sk-SK"/>
              </w:rPr>
              <w:t>Vplyvy na životné prostredie</w:t>
            </w:r>
          </w:p>
        </w:tc>
        <w:tc>
          <w:tcPr>
            <w:tcW w:w="541" w:type="dxa"/>
            <w:gridSpan w:val="2"/>
            <w:tcBorders>
              <w:top w:val="single" w:sz="4" w:space="0" w:color="auto"/>
              <w:left w:val="single" w:sz="4" w:space="0" w:color="auto"/>
              <w:bottom w:val="single" w:sz="4" w:space="0" w:color="auto"/>
              <w:right w:val="nil"/>
            </w:tcBorders>
            <w:textDirection w:val="lrTb"/>
            <w:vAlign w:val="top"/>
          </w:tcPr>
          <w:p w:rsidR="004D4E20" w:rsidRPr="004D4E20" w:rsidP="00E00D13">
            <w:pPr>
              <w:autoSpaceDE w:val="0"/>
              <w:autoSpaceDN w:val="0"/>
              <w:bidi w:val="0"/>
              <w:spacing w:after="0" w:line="240" w:lineRule="auto"/>
              <w:jc w:val="center"/>
              <w:rPr>
                <w:rFonts w:ascii="Times New Roman" w:hAnsi="Times New Roman"/>
                <w:b/>
                <w:sz w:val="24"/>
                <w:szCs w:val="24"/>
                <w:lang w:eastAsia="sk-SK"/>
              </w:rPr>
            </w:pPr>
            <w:r w:rsidRPr="004D4E20">
              <w:rPr>
                <w:rFonts w:ascii="MS Mincho" w:eastAsia="MS Mincho" w:hAnsi="MS Mincho" w:cs="MS Mincho" w:hint="eastAsia"/>
                <w:b/>
                <w:sz w:val="24"/>
                <w:szCs w:val="24"/>
                <w:lang w:eastAsia="sk-SK"/>
              </w:rPr>
              <w:t>☐</w:t>
            </w:r>
          </w:p>
        </w:tc>
        <w:tc>
          <w:tcPr>
            <w:tcW w:w="1281" w:type="dxa"/>
            <w:gridSpan w:val="2"/>
            <w:tcBorders>
              <w:top w:val="single" w:sz="4" w:space="0" w:color="auto"/>
              <w:left w:val="nil"/>
              <w:bottom w:val="single" w:sz="4" w:space="0" w:color="auto"/>
              <w:right w:val="nil"/>
            </w:tcBorders>
            <w:textDirection w:val="lrTb"/>
            <w:vAlign w:val="top"/>
          </w:tcPr>
          <w:p w:rsidR="004D4E20" w:rsidRPr="004D4E20" w:rsidP="00E00D13">
            <w:pPr>
              <w:autoSpaceDE w:val="0"/>
              <w:autoSpaceDN w:val="0"/>
              <w:bidi w:val="0"/>
              <w:spacing w:after="0" w:line="240" w:lineRule="auto"/>
              <w:ind w:right="-108"/>
              <w:rPr>
                <w:rFonts w:ascii="Times New Roman" w:hAnsi="Times New Roman"/>
                <w:b/>
                <w:sz w:val="24"/>
                <w:szCs w:val="24"/>
                <w:lang w:eastAsia="sk-SK"/>
              </w:rPr>
            </w:pPr>
            <w:r w:rsidRPr="004D4E20">
              <w:rPr>
                <w:rFonts w:ascii="Times New Roman" w:hAnsi="Times New Roman"/>
                <w:b/>
                <w:sz w:val="24"/>
                <w:szCs w:val="24"/>
                <w:lang w:eastAsia="sk-SK"/>
              </w:rPr>
              <w:t>Pozitívne</w:t>
            </w:r>
          </w:p>
        </w:tc>
        <w:tc>
          <w:tcPr>
            <w:tcW w:w="569" w:type="dxa"/>
            <w:tcBorders>
              <w:top w:val="single" w:sz="4" w:space="0" w:color="auto"/>
              <w:left w:val="nil"/>
              <w:bottom w:val="single" w:sz="4" w:space="0" w:color="auto"/>
              <w:right w:val="nil"/>
            </w:tcBorders>
            <w:textDirection w:val="lrTb"/>
            <w:vAlign w:val="top"/>
          </w:tcPr>
          <w:p w:rsidR="004D4E20" w:rsidRPr="004D4E20" w:rsidP="00E00D13">
            <w:pPr>
              <w:autoSpaceDE w:val="0"/>
              <w:autoSpaceDN w:val="0"/>
              <w:bidi w:val="0"/>
              <w:spacing w:after="0" w:line="240" w:lineRule="auto"/>
              <w:jc w:val="center"/>
              <w:rPr>
                <w:rFonts w:ascii="Times New Roman" w:hAnsi="Times New Roman"/>
                <w:b/>
                <w:sz w:val="24"/>
                <w:szCs w:val="24"/>
                <w:lang w:eastAsia="sk-SK"/>
              </w:rPr>
            </w:pPr>
            <w:r w:rsidRPr="004D4E20">
              <w:rPr>
                <w:rFonts w:ascii="MS Mincho" w:eastAsia="MS Mincho" w:hAnsi="MS Mincho" w:cs="MS Mincho" w:hint="eastAsia"/>
                <w:b/>
                <w:sz w:val="24"/>
                <w:szCs w:val="24"/>
                <w:lang w:eastAsia="sk-SK"/>
              </w:rPr>
              <w:t>☒</w:t>
            </w:r>
          </w:p>
        </w:tc>
        <w:tc>
          <w:tcPr>
            <w:tcW w:w="1133" w:type="dxa"/>
            <w:tcBorders>
              <w:top w:val="single" w:sz="4" w:space="0" w:color="auto"/>
              <w:left w:val="nil"/>
              <w:bottom w:val="single" w:sz="4" w:space="0" w:color="auto"/>
              <w:right w:val="nil"/>
            </w:tcBorders>
            <w:textDirection w:val="lrTb"/>
            <w:vAlign w:val="top"/>
          </w:tcPr>
          <w:p w:rsidR="004D4E20" w:rsidRPr="004D4E20" w:rsidP="00E00D13">
            <w:pPr>
              <w:autoSpaceDE w:val="0"/>
              <w:autoSpaceDN w:val="0"/>
              <w:bidi w:val="0"/>
              <w:spacing w:after="0" w:line="240" w:lineRule="auto"/>
              <w:rPr>
                <w:rFonts w:ascii="Times New Roman" w:hAnsi="Times New Roman"/>
                <w:b/>
                <w:sz w:val="24"/>
                <w:szCs w:val="24"/>
                <w:lang w:eastAsia="sk-SK"/>
              </w:rPr>
            </w:pPr>
            <w:r w:rsidRPr="004D4E20">
              <w:rPr>
                <w:rFonts w:ascii="Times New Roman" w:hAnsi="Times New Roman"/>
                <w:b/>
                <w:sz w:val="24"/>
                <w:szCs w:val="24"/>
                <w:lang w:eastAsia="sk-SK"/>
              </w:rPr>
              <w:t>Žiadne</w:t>
            </w:r>
          </w:p>
        </w:tc>
        <w:tc>
          <w:tcPr>
            <w:tcW w:w="547" w:type="dxa"/>
            <w:gridSpan w:val="2"/>
            <w:tcBorders>
              <w:top w:val="single" w:sz="4" w:space="0" w:color="auto"/>
              <w:left w:val="nil"/>
              <w:bottom w:val="single" w:sz="4" w:space="0" w:color="auto"/>
              <w:right w:val="nil"/>
            </w:tcBorders>
            <w:textDirection w:val="lrTb"/>
            <w:vAlign w:val="top"/>
          </w:tcPr>
          <w:p w:rsidR="004D4E20" w:rsidRPr="004D4E20" w:rsidP="00E00D13">
            <w:pPr>
              <w:autoSpaceDE w:val="0"/>
              <w:autoSpaceDN w:val="0"/>
              <w:bidi w:val="0"/>
              <w:spacing w:after="0" w:line="240" w:lineRule="auto"/>
              <w:jc w:val="center"/>
              <w:rPr>
                <w:rFonts w:ascii="Times New Roman" w:hAnsi="Times New Roman"/>
                <w:b/>
                <w:sz w:val="24"/>
                <w:szCs w:val="24"/>
                <w:lang w:eastAsia="sk-SK"/>
              </w:rPr>
            </w:pPr>
            <w:r w:rsidRPr="004D4E20">
              <w:rPr>
                <w:rFonts w:ascii="MS Mincho" w:eastAsia="MS Mincho" w:hAnsi="MS Mincho" w:cs="MS Mincho" w:hint="eastAsia"/>
                <w:b/>
                <w:sz w:val="24"/>
                <w:szCs w:val="24"/>
                <w:lang w:eastAsia="sk-SK"/>
              </w:rPr>
              <w:t>☐</w:t>
            </w:r>
          </w:p>
        </w:tc>
        <w:tc>
          <w:tcPr>
            <w:tcW w:w="1297" w:type="dxa"/>
            <w:tcBorders>
              <w:top w:val="single" w:sz="4" w:space="0" w:color="auto"/>
              <w:left w:val="nil"/>
              <w:bottom w:val="single" w:sz="4" w:space="0" w:color="auto"/>
              <w:right w:val="single" w:sz="4" w:space="0" w:color="auto"/>
            </w:tcBorders>
            <w:textDirection w:val="lrTb"/>
            <w:vAlign w:val="top"/>
          </w:tcPr>
          <w:p w:rsidR="004D4E20" w:rsidRPr="004D4E20" w:rsidP="00E00D13">
            <w:pPr>
              <w:autoSpaceDE w:val="0"/>
              <w:autoSpaceDN w:val="0"/>
              <w:bidi w:val="0"/>
              <w:spacing w:after="0" w:line="240" w:lineRule="auto"/>
              <w:ind w:left="54"/>
              <w:rPr>
                <w:rFonts w:ascii="Times New Roman" w:hAnsi="Times New Roman"/>
                <w:b/>
                <w:sz w:val="24"/>
                <w:szCs w:val="24"/>
                <w:lang w:eastAsia="sk-SK"/>
              </w:rPr>
            </w:pPr>
            <w:r w:rsidRPr="004D4E20">
              <w:rPr>
                <w:rFonts w:ascii="Times New Roman" w:hAnsi="Times New Roman"/>
                <w:b/>
                <w:sz w:val="24"/>
                <w:szCs w:val="24"/>
                <w:lang w:eastAsia="sk-SK"/>
              </w:rPr>
              <w:t>Negatívne</w:t>
            </w:r>
          </w:p>
        </w:tc>
      </w:tr>
      <w:tr>
        <w:tblPrEx>
          <w:tblW w:w="9180" w:type="dxa"/>
          <w:tblLayout w:type="fixed"/>
          <w:tblLook w:val="04A0"/>
        </w:tblPrEx>
        <w:trPr>
          <w:divId w:val="1"/>
        </w:trPr>
        <w:tc>
          <w:tcPr>
            <w:tcW w:w="3812" w:type="dxa"/>
            <w:tcBorders>
              <w:top w:val="single" w:sz="4" w:space="0" w:color="auto"/>
              <w:left w:val="single" w:sz="4" w:space="0" w:color="auto"/>
              <w:bottom w:val="single" w:sz="4" w:space="0" w:color="auto"/>
              <w:right w:val="single" w:sz="4" w:space="0" w:color="auto"/>
            </w:tcBorders>
            <w:shd w:val="clear" w:color="auto" w:fill="E2E2E2"/>
            <w:textDirection w:val="lrTb"/>
            <w:vAlign w:val="top"/>
          </w:tcPr>
          <w:p w:rsidR="004D4E20" w:rsidRPr="004D4E20" w:rsidP="00E00D13">
            <w:pPr>
              <w:autoSpaceDE w:val="0"/>
              <w:autoSpaceDN w:val="0"/>
              <w:bidi w:val="0"/>
              <w:spacing w:after="0" w:line="240" w:lineRule="auto"/>
              <w:rPr>
                <w:rFonts w:ascii="Times New Roman" w:hAnsi="Times New Roman"/>
                <w:b/>
                <w:sz w:val="24"/>
                <w:szCs w:val="24"/>
                <w:lang w:eastAsia="sk-SK"/>
              </w:rPr>
            </w:pPr>
            <w:r w:rsidRPr="004D4E20">
              <w:rPr>
                <w:rFonts w:ascii="Times New Roman" w:hAnsi="Times New Roman"/>
                <w:b/>
                <w:sz w:val="24"/>
                <w:szCs w:val="24"/>
                <w:lang w:eastAsia="sk-SK"/>
              </w:rPr>
              <w:t>Vplyvy na informatizáciu</w:t>
            </w:r>
          </w:p>
        </w:tc>
        <w:tc>
          <w:tcPr>
            <w:tcW w:w="541" w:type="dxa"/>
            <w:gridSpan w:val="2"/>
            <w:tcBorders>
              <w:top w:val="single" w:sz="4" w:space="0" w:color="auto"/>
              <w:left w:val="single" w:sz="4" w:space="0" w:color="auto"/>
              <w:bottom w:val="single" w:sz="4" w:space="0" w:color="auto"/>
              <w:right w:val="nil"/>
            </w:tcBorders>
            <w:textDirection w:val="lrTb"/>
            <w:vAlign w:val="top"/>
          </w:tcPr>
          <w:p w:rsidR="004D4E20" w:rsidRPr="004D4E20" w:rsidP="00E00D13">
            <w:pPr>
              <w:autoSpaceDE w:val="0"/>
              <w:autoSpaceDN w:val="0"/>
              <w:bidi w:val="0"/>
              <w:spacing w:after="0" w:line="240" w:lineRule="auto"/>
              <w:jc w:val="center"/>
              <w:rPr>
                <w:rFonts w:ascii="Times New Roman" w:hAnsi="Times New Roman"/>
                <w:b/>
                <w:sz w:val="24"/>
                <w:szCs w:val="24"/>
                <w:lang w:eastAsia="sk-SK"/>
              </w:rPr>
            </w:pPr>
            <w:r w:rsidRPr="004D4E20">
              <w:rPr>
                <w:rFonts w:ascii="MS Mincho" w:eastAsia="MS Mincho" w:hAnsi="MS Mincho" w:cs="MS Mincho" w:hint="eastAsia"/>
                <w:b/>
                <w:sz w:val="24"/>
                <w:szCs w:val="24"/>
                <w:lang w:eastAsia="sk-SK"/>
              </w:rPr>
              <w:t>☐</w:t>
            </w:r>
          </w:p>
        </w:tc>
        <w:tc>
          <w:tcPr>
            <w:tcW w:w="1281" w:type="dxa"/>
            <w:gridSpan w:val="2"/>
            <w:tcBorders>
              <w:top w:val="single" w:sz="4" w:space="0" w:color="auto"/>
              <w:left w:val="nil"/>
              <w:bottom w:val="single" w:sz="4" w:space="0" w:color="auto"/>
              <w:right w:val="nil"/>
            </w:tcBorders>
            <w:textDirection w:val="lrTb"/>
            <w:vAlign w:val="top"/>
          </w:tcPr>
          <w:p w:rsidR="004D4E20" w:rsidRPr="004D4E20" w:rsidP="00E00D13">
            <w:pPr>
              <w:autoSpaceDE w:val="0"/>
              <w:autoSpaceDN w:val="0"/>
              <w:bidi w:val="0"/>
              <w:spacing w:after="0" w:line="240" w:lineRule="auto"/>
              <w:ind w:right="-108"/>
              <w:rPr>
                <w:rFonts w:ascii="Times New Roman" w:hAnsi="Times New Roman"/>
                <w:b/>
                <w:sz w:val="24"/>
                <w:szCs w:val="24"/>
                <w:lang w:eastAsia="sk-SK"/>
              </w:rPr>
            </w:pPr>
            <w:r w:rsidRPr="004D4E20">
              <w:rPr>
                <w:rFonts w:ascii="Times New Roman" w:hAnsi="Times New Roman"/>
                <w:b/>
                <w:sz w:val="24"/>
                <w:szCs w:val="24"/>
                <w:lang w:eastAsia="sk-SK"/>
              </w:rPr>
              <w:t>Pozitívne</w:t>
            </w:r>
          </w:p>
        </w:tc>
        <w:tc>
          <w:tcPr>
            <w:tcW w:w="569" w:type="dxa"/>
            <w:tcBorders>
              <w:top w:val="single" w:sz="4" w:space="0" w:color="auto"/>
              <w:left w:val="nil"/>
              <w:bottom w:val="single" w:sz="4" w:space="0" w:color="auto"/>
              <w:right w:val="nil"/>
            </w:tcBorders>
            <w:textDirection w:val="lrTb"/>
            <w:vAlign w:val="top"/>
          </w:tcPr>
          <w:p w:rsidR="004D4E20" w:rsidRPr="004D4E20" w:rsidP="00E00D13">
            <w:pPr>
              <w:autoSpaceDE w:val="0"/>
              <w:autoSpaceDN w:val="0"/>
              <w:bidi w:val="0"/>
              <w:spacing w:after="0" w:line="240" w:lineRule="auto"/>
              <w:jc w:val="center"/>
              <w:rPr>
                <w:rFonts w:ascii="Times New Roman" w:hAnsi="Times New Roman"/>
                <w:b/>
                <w:sz w:val="24"/>
                <w:szCs w:val="24"/>
                <w:lang w:eastAsia="sk-SK"/>
              </w:rPr>
            </w:pPr>
            <w:r w:rsidRPr="004D4E20">
              <w:rPr>
                <w:rFonts w:ascii="MS Mincho" w:eastAsia="MS Mincho" w:hAnsi="MS Mincho" w:cs="MS Mincho" w:hint="eastAsia"/>
                <w:b/>
                <w:sz w:val="24"/>
                <w:szCs w:val="24"/>
                <w:lang w:eastAsia="sk-SK"/>
              </w:rPr>
              <w:t>☒</w:t>
            </w:r>
          </w:p>
        </w:tc>
        <w:tc>
          <w:tcPr>
            <w:tcW w:w="1133" w:type="dxa"/>
            <w:tcBorders>
              <w:top w:val="single" w:sz="4" w:space="0" w:color="auto"/>
              <w:left w:val="nil"/>
              <w:bottom w:val="single" w:sz="4" w:space="0" w:color="auto"/>
              <w:right w:val="nil"/>
            </w:tcBorders>
            <w:textDirection w:val="lrTb"/>
            <w:vAlign w:val="top"/>
          </w:tcPr>
          <w:p w:rsidR="004D4E20" w:rsidRPr="004D4E20" w:rsidP="00E00D13">
            <w:pPr>
              <w:autoSpaceDE w:val="0"/>
              <w:autoSpaceDN w:val="0"/>
              <w:bidi w:val="0"/>
              <w:spacing w:after="0" w:line="240" w:lineRule="auto"/>
              <w:rPr>
                <w:rFonts w:ascii="Times New Roman" w:hAnsi="Times New Roman"/>
                <w:b/>
                <w:sz w:val="24"/>
                <w:szCs w:val="24"/>
                <w:lang w:eastAsia="sk-SK"/>
              </w:rPr>
            </w:pPr>
            <w:r w:rsidRPr="004D4E20">
              <w:rPr>
                <w:rFonts w:ascii="Times New Roman" w:hAnsi="Times New Roman"/>
                <w:b/>
                <w:sz w:val="24"/>
                <w:szCs w:val="24"/>
                <w:lang w:eastAsia="sk-SK"/>
              </w:rPr>
              <w:t>Žiadne</w:t>
            </w:r>
          </w:p>
        </w:tc>
        <w:tc>
          <w:tcPr>
            <w:tcW w:w="547" w:type="dxa"/>
            <w:gridSpan w:val="2"/>
            <w:tcBorders>
              <w:top w:val="single" w:sz="4" w:space="0" w:color="auto"/>
              <w:left w:val="nil"/>
              <w:bottom w:val="single" w:sz="4" w:space="0" w:color="auto"/>
              <w:right w:val="nil"/>
            </w:tcBorders>
            <w:textDirection w:val="lrTb"/>
            <w:vAlign w:val="top"/>
          </w:tcPr>
          <w:p w:rsidR="004D4E20" w:rsidRPr="004D4E20" w:rsidP="00E00D13">
            <w:pPr>
              <w:autoSpaceDE w:val="0"/>
              <w:autoSpaceDN w:val="0"/>
              <w:bidi w:val="0"/>
              <w:spacing w:after="0" w:line="240" w:lineRule="auto"/>
              <w:jc w:val="center"/>
              <w:rPr>
                <w:rFonts w:ascii="Times New Roman" w:hAnsi="Times New Roman"/>
                <w:b/>
                <w:sz w:val="24"/>
                <w:szCs w:val="24"/>
                <w:lang w:eastAsia="sk-SK"/>
              </w:rPr>
            </w:pPr>
            <w:r w:rsidRPr="004D4E20">
              <w:rPr>
                <w:rFonts w:ascii="MS Mincho" w:eastAsia="MS Mincho" w:hAnsi="MS Mincho" w:cs="MS Mincho" w:hint="eastAsia"/>
                <w:b/>
                <w:sz w:val="24"/>
                <w:szCs w:val="24"/>
                <w:lang w:eastAsia="sk-SK"/>
              </w:rPr>
              <w:t>☐</w:t>
            </w:r>
          </w:p>
        </w:tc>
        <w:tc>
          <w:tcPr>
            <w:tcW w:w="1297" w:type="dxa"/>
            <w:tcBorders>
              <w:top w:val="single" w:sz="4" w:space="0" w:color="auto"/>
              <w:left w:val="nil"/>
              <w:bottom w:val="single" w:sz="4" w:space="0" w:color="auto"/>
              <w:right w:val="single" w:sz="4" w:space="0" w:color="auto"/>
            </w:tcBorders>
            <w:textDirection w:val="lrTb"/>
            <w:vAlign w:val="top"/>
          </w:tcPr>
          <w:p w:rsidR="004D4E20" w:rsidRPr="004D4E20" w:rsidP="00E00D13">
            <w:pPr>
              <w:autoSpaceDE w:val="0"/>
              <w:autoSpaceDN w:val="0"/>
              <w:bidi w:val="0"/>
              <w:spacing w:after="0" w:line="240" w:lineRule="auto"/>
              <w:ind w:left="54"/>
              <w:rPr>
                <w:rFonts w:ascii="Times New Roman" w:hAnsi="Times New Roman"/>
                <w:b/>
                <w:sz w:val="24"/>
                <w:szCs w:val="24"/>
                <w:lang w:eastAsia="sk-SK"/>
              </w:rPr>
            </w:pPr>
            <w:r w:rsidRPr="004D4E20">
              <w:rPr>
                <w:rFonts w:ascii="Times New Roman" w:hAnsi="Times New Roman"/>
                <w:b/>
                <w:sz w:val="24"/>
                <w:szCs w:val="24"/>
                <w:lang w:eastAsia="sk-SK"/>
              </w:rPr>
              <w:t>Negatívne</w:t>
            </w:r>
          </w:p>
        </w:tc>
      </w:tr>
    </w:tbl>
    <w:tbl>
      <w:tblPr>
        <w:tblStyle w:val="TableNormal"/>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8"/>
        <w:gridCol w:w="417"/>
        <w:gridCol w:w="1281"/>
        <w:gridCol w:w="569"/>
        <w:gridCol w:w="1133"/>
        <w:gridCol w:w="547"/>
        <w:gridCol w:w="1439"/>
      </w:tblGrid>
      <w:tr>
        <w:tblPrEx>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divId w:val="1"/>
        </w:trPr>
        <w:tc>
          <w:tcPr>
            <w:tcW w:w="3828" w:type="dxa"/>
            <w:tcBorders>
              <w:top w:val="single" w:sz="4" w:space="0" w:color="auto"/>
              <w:left w:val="single" w:sz="4" w:space="0" w:color="auto"/>
              <w:bottom w:val="nil"/>
              <w:right w:val="single" w:sz="4" w:space="0" w:color="auto"/>
            </w:tcBorders>
            <w:shd w:val="clear" w:color="auto" w:fill="E2E2E2"/>
            <w:textDirection w:val="lrTb"/>
            <w:vAlign w:val="top"/>
          </w:tcPr>
          <w:p w:rsidR="004D4E20" w:rsidRPr="004D4E20" w:rsidP="004D4E20">
            <w:pPr>
              <w:bidi w:val="0"/>
              <w:spacing w:after="0"/>
              <w:rPr>
                <w:rFonts w:ascii="Times New Roman" w:hAnsi="Times New Roman"/>
                <w:b/>
                <w:sz w:val="24"/>
                <w:szCs w:val="24"/>
              </w:rPr>
            </w:pPr>
            <w:r w:rsidRPr="004D4E20">
              <w:rPr>
                <w:rFonts w:ascii="Times New Roman" w:eastAsia="Calibri" w:hAnsi="Times New Roman" w:hint="default"/>
                <w:b/>
                <w:sz w:val="24"/>
                <w:szCs w:val="24"/>
              </w:rPr>
              <w:t>Vplyvy na služ</w:t>
            </w:r>
            <w:r w:rsidRPr="004D4E20">
              <w:rPr>
                <w:rFonts w:ascii="Times New Roman" w:eastAsia="Calibri" w:hAnsi="Times New Roman" w:hint="default"/>
                <w:b/>
                <w:sz w:val="24"/>
                <w:szCs w:val="24"/>
              </w:rPr>
              <w:t>by verejnej sprá</w:t>
            </w:r>
            <w:r w:rsidRPr="004D4E20">
              <w:rPr>
                <w:rFonts w:ascii="Times New Roman" w:eastAsia="Calibri" w:hAnsi="Times New Roman" w:hint="default"/>
                <w:b/>
                <w:sz w:val="24"/>
                <w:szCs w:val="24"/>
              </w:rPr>
              <w:t>vy pre obč</w:t>
            </w:r>
            <w:r w:rsidRPr="004D4E20">
              <w:rPr>
                <w:rFonts w:ascii="Times New Roman" w:eastAsia="Calibri" w:hAnsi="Times New Roman" w:hint="default"/>
                <w:b/>
                <w:sz w:val="24"/>
                <w:szCs w:val="24"/>
              </w:rPr>
              <w:t>ana, z toho</w:t>
            </w:r>
          </w:p>
        </w:tc>
        <w:tc>
          <w:tcPr>
            <w:tcW w:w="417" w:type="dxa"/>
            <w:tcBorders>
              <w:top w:val="single" w:sz="4" w:space="0" w:color="auto"/>
              <w:left w:val="single" w:sz="4" w:space="0" w:color="auto"/>
              <w:bottom w:val="nil"/>
              <w:right w:val="nil"/>
            </w:tcBorders>
            <w:textDirection w:val="lrTb"/>
            <w:vAlign w:val="top"/>
          </w:tcPr>
          <w:p w:rsidR="004D4E20" w:rsidRPr="004D4E20" w:rsidP="00E00D13">
            <w:pPr>
              <w:bidi w:val="0"/>
              <w:jc w:val="center"/>
              <w:rPr>
                <w:rFonts w:ascii="Times New Roman" w:eastAsia="MS Mincho" w:hAnsi="Times New Roman"/>
                <w:b/>
                <w:sz w:val="24"/>
                <w:szCs w:val="24"/>
              </w:rPr>
            </w:pPr>
          </w:p>
        </w:tc>
        <w:tc>
          <w:tcPr>
            <w:tcW w:w="1281" w:type="dxa"/>
            <w:tcBorders>
              <w:top w:val="single" w:sz="4" w:space="0" w:color="auto"/>
              <w:left w:val="nil"/>
              <w:bottom w:val="nil"/>
              <w:right w:val="nil"/>
            </w:tcBorders>
            <w:textDirection w:val="lrTb"/>
            <w:vAlign w:val="top"/>
          </w:tcPr>
          <w:p w:rsidR="004D4E20" w:rsidRPr="004D4E20" w:rsidP="00E00D13">
            <w:pPr>
              <w:bidi w:val="0"/>
              <w:ind w:right="-108"/>
              <w:rPr>
                <w:rFonts w:ascii="Times New Roman" w:hAnsi="Times New Roman"/>
                <w:b/>
                <w:sz w:val="24"/>
                <w:szCs w:val="24"/>
              </w:rPr>
            </w:pPr>
          </w:p>
        </w:tc>
        <w:tc>
          <w:tcPr>
            <w:tcW w:w="569" w:type="dxa"/>
            <w:tcBorders>
              <w:top w:val="single" w:sz="4" w:space="0" w:color="auto"/>
              <w:left w:val="nil"/>
              <w:bottom w:val="nil"/>
              <w:right w:val="nil"/>
            </w:tcBorders>
            <w:textDirection w:val="lrTb"/>
            <w:vAlign w:val="top"/>
          </w:tcPr>
          <w:p w:rsidR="004D4E20" w:rsidRPr="004D4E20" w:rsidP="00E00D13">
            <w:pPr>
              <w:bidi w:val="0"/>
              <w:jc w:val="center"/>
              <w:rPr>
                <w:rFonts w:ascii="Times New Roman" w:eastAsia="MS Mincho" w:hAnsi="Times New Roman"/>
                <w:b/>
                <w:sz w:val="24"/>
                <w:szCs w:val="24"/>
              </w:rPr>
            </w:pPr>
          </w:p>
        </w:tc>
        <w:tc>
          <w:tcPr>
            <w:tcW w:w="1133" w:type="dxa"/>
            <w:tcBorders>
              <w:top w:val="single" w:sz="4" w:space="0" w:color="auto"/>
              <w:left w:val="nil"/>
              <w:bottom w:val="nil"/>
              <w:right w:val="nil"/>
            </w:tcBorders>
            <w:textDirection w:val="lrTb"/>
            <w:vAlign w:val="top"/>
          </w:tcPr>
          <w:p w:rsidR="004D4E20" w:rsidRPr="004D4E20" w:rsidP="00E00D13">
            <w:pPr>
              <w:bidi w:val="0"/>
              <w:rPr>
                <w:rFonts w:ascii="Times New Roman" w:hAnsi="Times New Roman"/>
                <w:b/>
                <w:sz w:val="24"/>
                <w:szCs w:val="24"/>
              </w:rPr>
            </w:pPr>
          </w:p>
        </w:tc>
        <w:tc>
          <w:tcPr>
            <w:tcW w:w="547" w:type="dxa"/>
            <w:tcBorders>
              <w:top w:val="single" w:sz="4" w:space="0" w:color="auto"/>
              <w:left w:val="nil"/>
              <w:bottom w:val="nil"/>
              <w:right w:val="nil"/>
            </w:tcBorders>
            <w:textDirection w:val="lrTb"/>
            <w:vAlign w:val="top"/>
          </w:tcPr>
          <w:p w:rsidR="004D4E20" w:rsidRPr="004D4E20" w:rsidP="00E00D13">
            <w:pPr>
              <w:bidi w:val="0"/>
              <w:jc w:val="center"/>
              <w:rPr>
                <w:rFonts w:ascii="Times New Roman" w:eastAsia="MS Mincho" w:hAnsi="Times New Roman"/>
                <w:b/>
                <w:sz w:val="24"/>
                <w:szCs w:val="24"/>
              </w:rPr>
            </w:pPr>
          </w:p>
        </w:tc>
        <w:tc>
          <w:tcPr>
            <w:tcW w:w="1439" w:type="dxa"/>
            <w:tcBorders>
              <w:top w:val="single" w:sz="4" w:space="0" w:color="auto"/>
              <w:left w:val="nil"/>
              <w:bottom w:val="nil"/>
              <w:right w:val="single" w:sz="4" w:space="0" w:color="auto"/>
            </w:tcBorders>
            <w:textDirection w:val="lrTb"/>
            <w:vAlign w:val="top"/>
          </w:tcPr>
          <w:p w:rsidR="004D4E20" w:rsidRPr="004D4E20" w:rsidP="00E00D13">
            <w:pPr>
              <w:bidi w:val="0"/>
              <w:ind w:left="54"/>
              <w:rPr>
                <w:rFonts w:ascii="Times New Roman" w:hAnsi="Times New Roman"/>
                <w:b/>
                <w:sz w:val="24"/>
                <w:szCs w:val="24"/>
              </w:rPr>
            </w:pPr>
          </w:p>
        </w:tc>
      </w:tr>
      <w:tr>
        <w:tblPrEx>
          <w:tblW w:w="9214" w:type="dxa"/>
          <w:tblInd w:w="108" w:type="dxa"/>
          <w:tblLayout w:type="fixed"/>
          <w:tblLook w:val="04A0"/>
        </w:tblPrEx>
        <w:trPr>
          <w:divId w:val="1"/>
        </w:trPr>
        <w:tc>
          <w:tcPr>
            <w:tcW w:w="3828" w:type="dxa"/>
            <w:tcBorders>
              <w:top w:val="nil"/>
              <w:left w:val="single" w:sz="4" w:space="0" w:color="auto"/>
              <w:bottom w:val="nil"/>
              <w:right w:val="single" w:sz="4" w:space="0" w:color="auto"/>
            </w:tcBorders>
            <w:shd w:val="clear" w:color="auto" w:fill="E2E2E2"/>
            <w:textDirection w:val="lrTb"/>
            <w:vAlign w:val="top"/>
          </w:tcPr>
          <w:p w:rsidR="004D4E20" w:rsidRPr="004D4E20" w:rsidP="004D4E20">
            <w:pPr>
              <w:bidi w:val="0"/>
              <w:spacing w:after="0"/>
              <w:ind w:left="198" w:hanging="198"/>
              <w:rPr>
                <w:rFonts w:ascii="Times New Roman" w:eastAsia="Calibri" w:hAnsi="Times New Roman" w:hint="default"/>
                <w:b/>
                <w:sz w:val="24"/>
                <w:szCs w:val="24"/>
              </w:rPr>
            </w:pPr>
            <w:r w:rsidRPr="004D4E20">
              <w:rPr>
                <w:rFonts w:ascii="Times New Roman" w:eastAsia="Calibri" w:hAnsi="Times New Roman" w:hint="default"/>
                <w:b/>
                <w:sz w:val="24"/>
                <w:szCs w:val="24"/>
              </w:rPr>
              <w:t xml:space="preserve">    vplyvy služ</w:t>
            </w:r>
            <w:r w:rsidRPr="004D4E20">
              <w:rPr>
                <w:rFonts w:ascii="Times New Roman" w:eastAsia="Calibri" w:hAnsi="Times New Roman" w:hint="default"/>
                <w:b/>
                <w:sz w:val="24"/>
                <w:szCs w:val="24"/>
              </w:rPr>
              <w:t>ieb verejnej sprá</w:t>
            </w:r>
            <w:r w:rsidRPr="004D4E20">
              <w:rPr>
                <w:rFonts w:ascii="Times New Roman" w:eastAsia="Calibri" w:hAnsi="Times New Roman" w:hint="default"/>
                <w:b/>
                <w:sz w:val="24"/>
                <w:szCs w:val="24"/>
              </w:rPr>
              <w:t>vy na obč</w:t>
            </w:r>
            <w:r w:rsidRPr="004D4E20">
              <w:rPr>
                <w:rFonts w:ascii="Times New Roman" w:eastAsia="Calibri" w:hAnsi="Times New Roman" w:hint="default"/>
                <w:b/>
                <w:sz w:val="24"/>
                <w:szCs w:val="24"/>
              </w:rPr>
              <w:t>ana</w:t>
            </w:r>
          </w:p>
        </w:tc>
        <w:tc>
          <w:tcPr>
            <w:tcW w:w="417" w:type="dxa"/>
            <w:tcBorders>
              <w:top w:val="nil"/>
              <w:left w:val="single" w:sz="4" w:space="0" w:color="auto"/>
              <w:bottom w:val="nil"/>
              <w:right w:val="nil"/>
            </w:tcBorders>
            <w:textDirection w:val="lrTb"/>
            <w:vAlign w:val="top"/>
          </w:tcPr>
          <w:p w:rsidR="004D4E20" w:rsidRPr="004D4E20" w:rsidP="00E00D13">
            <w:pPr>
              <w:bidi w:val="0"/>
              <w:jc w:val="center"/>
              <w:rPr>
                <w:rFonts w:ascii="Times New Roman" w:hAnsi="Times New Roman"/>
                <w:b/>
                <w:sz w:val="24"/>
                <w:szCs w:val="24"/>
              </w:rPr>
            </w:pPr>
            <w:r w:rsidRPr="004D4E20">
              <w:rPr>
                <w:rFonts w:ascii="MS Mincho" w:eastAsia="MS Mincho" w:hAnsi="MS Mincho" w:cs="MS Mincho" w:hint="eastAsia"/>
                <w:b/>
                <w:sz w:val="24"/>
                <w:szCs w:val="24"/>
              </w:rPr>
              <w:t>☐</w:t>
            </w:r>
          </w:p>
        </w:tc>
        <w:tc>
          <w:tcPr>
            <w:tcW w:w="1281" w:type="dxa"/>
            <w:tcBorders>
              <w:top w:val="nil"/>
              <w:left w:val="nil"/>
              <w:bottom w:val="nil"/>
              <w:right w:val="nil"/>
            </w:tcBorders>
            <w:textDirection w:val="lrTb"/>
            <w:vAlign w:val="top"/>
          </w:tcPr>
          <w:p w:rsidR="004D4E20" w:rsidRPr="004D4E20" w:rsidP="00E00D13">
            <w:pPr>
              <w:bidi w:val="0"/>
              <w:ind w:right="-108"/>
              <w:rPr>
                <w:rFonts w:ascii="Times New Roman" w:hAnsi="Times New Roman"/>
                <w:b/>
                <w:sz w:val="24"/>
                <w:szCs w:val="24"/>
              </w:rPr>
            </w:pPr>
            <w:r w:rsidRPr="004D4E20">
              <w:rPr>
                <w:rFonts w:ascii="Times New Roman" w:hAnsi="Times New Roman"/>
                <w:b/>
                <w:sz w:val="24"/>
                <w:szCs w:val="24"/>
              </w:rPr>
              <w:t>Pozitívne</w:t>
            </w:r>
          </w:p>
        </w:tc>
        <w:tc>
          <w:tcPr>
            <w:tcW w:w="569" w:type="dxa"/>
            <w:tcBorders>
              <w:top w:val="nil"/>
              <w:left w:val="nil"/>
              <w:bottom w:val="nil"/>
              <w:right w:val="nil"/>
            </w:tcBorders>
            <w:textDirection w:val="lrTb"/>
            <w:vAlign w:val="top"/>
          </w:tcPr>
          <w:p w:rsidR="004D4E20" w:rsidRPr="004D4E20" w:rsidP="00E00D13">
            <w:pPr>
              <w:bidi w:val="0"/>
              <w:jc w:val="center"/>
              <w:rPr>
                <w:rFonts w:ascii="Times New Roman" w:hAnsi="Times New Roman"/>
                <w:b/>
                <w:sz w:val="24"/>
                <w:szCs w:val="24"/>
              </w:rPr>
            </w:pPr>
            <w:r w:rsidRPr="004D4E20">
              <w:rPr>
                <w:rFonts w:ascii="MS Mincho" w:eastAsia="MS Mincho" w:hAnsi="MS Mincho" w:cs="MS Mincho" w:hint="eastAsia"/>
                <w:b/>
                <w:sz w:val="24"/>
                <w:szCs w:val="24"/>
              </w:rPr>
              <w:t>☒</w:t>
            </w:r>
          </w:p>
        </w:tc>
        <w:tc>
          <w:tcPr>
            <w:tcW w:w="1133" w:type="dxa"/>
            <w:tcBorders>
              <w:top w:val="nil"/>
              <w:left w:val="nil"/>
              <w:bottom w:val="nil"/>
              <w:right w:val="nil"/>
            </w:tcBorders>
            <w:textDirection w:val="lrTb"/>
            <w:vAlign w:val="top"/>
          </w:tcPr>
          <w:p w:rsidR="004D4E20" w:rsidRPr="004D4E20" w:rsidP="00E00D13">
            <w:pPr>
              <w:bidi w:val="0"/>
              <w:rPr>
                <w:rFonts w:ascii="Times New Roman" w:hAnsi="Times New Roman"/>
                <w:b/>
                <w:sz w:val="24"/>
                <w:szCs w:val="24"/>
              </w:rPr>
            </w:pPr>
            <w:r w:rsidRPr="004D4E20">
              <w:rPr>
                <w:rFonts w:ascii="Times New Roman" w:hAnsi="Times New Roman"/>
                <w:b/>
                <w:sz w:val="24"/>
                <w:szCs w:val="24"/>
              </w:rPr>
              <w:t>Žiadne</w:t>
            </w:r>
          </w:p>
        </w:tc>
        <w:tc>
          <w:tcPr>
            <w:tcW w:w="547" w:type="dxa"/>
            <w:tcBorders>
              <w:top w:val="nil"/>
              <w:left w:val="nil"/>
              <w:bottom w:val="nil"/>
              <w:right w:val="nil"/>
            </w:tcBorders>
            <w:textDirection w:val="lrTb"/>
            <w:vAlign w:val="top"/>
          </w:tcPr>
          <w:p w:rsidR="004D4E20" w:rsidRPr="004D4E20" w:rsidP="00E00D13">
            <w:pPr>
              <w:bidi w:val="0"/>
              <w:jc w:val="center"/>
              <w:rPr>
                <w:rFonts w:ascii="Times New Roman" w:hAnsi="Times New Roman"/>
                <w:b/>
                <w:sz w:val="24"/>
                <w:szCs w:val="24"/>
              </w:rPr>
            </w:pPr>
            <w:r w:rsidRPr="004D4E20">
              <w:rPr>
                <w:rFonts w:ascii="MS Mincho" w:eastAsia="MS Mincho" w:hAnsi="MS Mincho" w:cs="MS Mincho" w:hint="eastAsia"/>
                <w:b/>
                <w:sz w:val="24"/>
                <w:szCs w:val="24"/>
              </w:rPr>
              <w:t>☐</w:t>
            </w:r>
          </w:p>
        </w:tc>
        <w:tc>
          <w:tcPr>
            <w:tcW w:w="1439" w:type="dxa"/>
            <w:tcBorders>
              <w:top w:val="nil"/>
              <w:left w:val="nil"/>
              <w:bottom w:val="nil"/>
              <w:right w:val="single" w:sz="4" w:space="0" w:color="auto"/>
            </w:tcBorders>
            <w:textDirection w:val="lrTb"/>
            <w:vAlign w:val="top"/>
          </w:tcPr>
          <w:p w:rsidR="004D4E20" w:rsidRPr="004D4E20" w:rsidP="00E00D13">
            <w:pPr>
              <w:bidi w:val="0"/>
              <w:ind w:left="54"/>
              <w:rPr>
                <w:rFonts w:ascii="Times New Roman" w:hAnsi="Times New Roman"/>
                <w:b/>
                <w:sz w:val="24"/>
                <w:szCs w:val="24"/>
              </w:rPr>
            </w:pPr>
            <w:r w:rsidRPr="004D4E20">
              <w:rPr>
                <w:rFonts w:ascii="Times New Roman" w:hAnsi="Times New Roman"/>
                <w:b/>
                <w:sz w:val="24"/>
                <w:szCs w:val="24"/>
              </w:rPr>
              <w:t>Negatívne</w:t>
            </w:r>
          </w:p>
        </w:tc>
      </w:tr>
      <w:tr>
        <w:tblPrEx>
          <w:tblW w:w="9214" w:type="dxa"/>
          <w:tblInd w:w="108" w:type="dxa"/>
          <w:tblLayout w:type="fixed"/>
          <w:tblLook w:val="04A0"/>
        </w:tblPrEx>
        <w:trPr>
          <w:divId w:val="1"/>
        </w:trPr>
        <w:tc>
          <w:tcPr>
            <w:tcW w:w="3828" w:type="dxa"/>
            <w:tcBorders>
              <w:top w:val="nil"/>
              <w:left w:val="single" w:sz="4" w:space="0" w:color="auto"/>
              <w:bottom w:val="single" w:sz="4" w:space="0" w:color="auto"/>
              <w:right w:val="single" w:sz="4" w:space="0" w:color="auto"/>
            </w:tcBorders>
            <w:shd w:val="clear" w:color="auto" w:fill="E2E2E2"/>
            <w:textDirection w:val="lrTb"/>
            <w:vAlign w:val="top"/>
          </w:tcPr>
          <w:p w:rsidR="004D4E20" w:rsidRPr="004D4E20" w:rsidP="004D4E20">
            <w:pPr>
              <w:bidi w:val="0"/>
              <w:spacing w:after="0"/>
              <w:ind w:left="170" w:hanging="170"/>
              <w:rPr>
                <w:rFonts w:ascii="Times New Roman" w:eastAsia="Calibri" w:hAnsi="Times New Roman" w:hint="default"/>
                <w:b/>
                <w:sz w:val="24"/>
                <w:szCs w:val="24"/>
              </w:rPr>
            </w:pPr>
            <w:r w:rsidRPr="004D4E20">
              <w:rPr>
                <w:rFonts w:ascii="Times New Roman" w:eastAsia="Calibri" w:hAnsi="Times New Roman" w:hint="default"/>
                <w:b/>
                <w:sz w:val="24"/>
                <w:szCs w:val="24"/>
              </w:rPr>
              <w:t xml:space="preserve">    vplyvy na procesy služ</w:t>
            </w:r>
            <w:r w:rsidRPr="004D4E20">
              <w:rPr>
                <w:rFonts w:ascii="Times New Roman" w:eastAsia="Calibri" w:hAnsi="Times New Roman" w:hint="default"/>
                <w:b/>
                <w:sz w:val="24"/>
                <w:szCs w:val="24"/>
              </w:rPr>
              <w:t>ieb vo verejnej sprá</w:t>
            </w:r>
            <w:r w:rsidRPr="004D4E20">
              <w:rPr>
                <w:rFonts w:ascii="Times New Roman" w:eastAsia="Calibri" w:hAnsi="Times New Roman" w:hint="default"/>
                <w:b/>
                <w:sz w:val="24"/>
                <w:szCs w:val="24"/>
              </w:rPr>
              <w:t>ve</w:t>
            </w:r>
          </w:p>
        </w:tc>
        <w:tc>
          <w:tcPr>
            <w:tcW w:w="417" w:type="dxa"/>
            <w:tcBorders>
              <w:top w:val="nil"/>
              <w:left w:val="single" w:sz="4" w:space="0" w:color="auto"/>
              <w:bottom w:val="single" w:sz="4" w:space="0" w:color="auto"/>
              <w:right w:val="nil"/>
            </w:tcBorders>
            <w:textDirection w:val="lrTb"/>
            <w:vAlign w:val="top"/>
          </w:tcPr>
          <w:p w:rsidR="004D4E20" w:rsidRPr="004D4E20" w:rsidP="00E00D13">
            <w:pPr>
              <w:bidi w:val="0"/>
              <w:jc w:val="center"/>
              <w:rPr>
                <w:rFonts w:ascii="Times New Roman" w:hAnsi="Times New Roman"/>
                <w:b/>
                <w:sz w:val="24"/>
                <w:szCs w:val="24"/>
              </w:rPr>
            </w:pPr>
            <w:r w:rsidRPr="004D4E20">
              <w:rPr>
                <w:rFonts w:ascii="MS Mincho" w:eastAsia="MS Mincho" w:hAnsi="MS Mincho" w:cs="MS Mincho" w:hint="eastAsia"/>
                <w:b/>
                <w:sz w:val="24"/>
                <w:szCs w:val="24"/>
              </w:rPr>
              <w:t>☐</w:t>
            </w:r>
          </w:p>
        </w:tc>
        <w:tc>
          <w:tcPr>
            <w:tcW w:w="1281" w:type="dxa"/>
            <w:tcBorders>
              <w:top w:val="nil"/>
              <w:left w:val="nil"/>
              <w:bottom w:val="single" w:sz="4" w:space="0" w:color="auto"/>
              <w:right w:val="nil"/>
            </w:tcBorders>
            <w:textDirection w:val="lrTb"/>
            <w:vAlign w:val="top"/>
          </w:tcPr>
          <w:p w:rsidR="004D4E20" w:rsidRPr="004D4E20" w:rsidP="00E00D13">
            <w:pPr>
              <w:bidi w:val="0"/>
              <w:ind w:right="-108"/>
              <w:rPr>
                <w:rFonts w:ascii="Times New Roman" w:hAnsi="Times New Roman"/>
                <w:b/>
                <w:sz w:val="24"/>
                <w:szCs w:val="24"/>
              </w:rPr>
            </w:pPr>
            <w:r w:rsidRPr="004D4E20">
              <w:rPr>
                <w:rFonts w:ascii="Times New Roman" w:hAnsi="Times New Roman"/>
                <w:b/>
                <w:sz w:val="24"/>
                <w:szCs w:val="24"/>
              </w:rPr>
              <w:t>Pozitívne</w:t>
            </w:r>
          </w:p>
        </w:tc>
        <w:tc>
          <w:tcPr>
            <w:tcW w:w="569" w:type="dxa"/>
            <w:tcBorders>
              <w:top w:val="nil"/>
              <w:left w:val="nil"/>
              <w:bottom w:val="single" w:sz="4" w:space="0" w:color="auto"/>
              <w:right w:val="nil"/>
            </w:tcBorders>
            <w:textDirection w:val="lrTb"/>
            <w:vAlign w:val="top"/>
          </w:tcPr>
          <w:p w:rsidR="004D4E20" w:rsidRPr="004D4E20" w:rsidP="00E00D13">
            <w:pPr>
              <w:bidi w:val="0"/>
              <w:jc w:val="center"/>
              <w:rPr>
                <w:rFonts w:ascii="Times New Roman" w:hAnsi="Times New Roman"/>
                <w:b/>
                <w:sz w:val="24"/>
                <w:szCs w:val="24"/>
              </w:rPr>
            </w:pPr>
            <w:r w:rsidRPr="004D4E20">
              <w:rPr>
                <w:rFonts w:ascii="MS Mincho" w:eastAsia="MS Mincho" w:hAnsi="MS Mincho" w:cs="MS Mincho" w:hint="eastAsia"/>
                <w:b/>
                <w:sz w:val="24"/>
                <w:szCs w:val="24"/>
              </w:rPr>
              <w:t>☒</w:t>
            </w:r>
          </w:p>
        </w:tc>
        <w:tc>
          <w:tcPr>
            <w:tcW w:w="1133" w:type="dxa"/>
            <w:tcBorders>
              <w:top w:val="nil"/>
              <w:left w:val="nil"/>
              <w:bottom w:val="single" w:sz="4" w:space="0" w:color="auto"/>
              <w:right w:val="nil"/>
            </w:tcBorders>
            <w:textDirection w:val="lrTb"/>
            <w:vAlign w:val="top"/>
          </w:tcPr>
          <w:p w:rsidR="004D4E20" w:rsidRPr="004D4E20" w:rsidP="00E00D13">
            <w:pPr>
              <w:bidi w:val="0"/>
              <w:rPr>
                <w:rFonts w:ascii="Times New Roman" w:hAnsi="Times New Roman"/>
                <w:b/>
                <w:sz w:val="24"/>
                <w:szCs w:val="24"/>
              </w:rPr>
            </w:pPr>
            <w:r w:rsidRPr="004D4E20">
              <w:rPr>
                <w:rFonts w:ascii="Times New Roman" w:hAnsi="Times New Roman"/>
                <w:b/>
                <w:sz w:val="24"/>
                <w:szCs w:val="24"/>
              </w:rPr>
              <w:t>Žiadne</w:t>
            </w:r>
          </w:p>
        </w:tc>
        <w:tc>
          <w:tcPr>
            <w:tcW w:w="547" w:type="dxa"/>
            <w:tcBorders>
              <w:top w:val="nil"/>
              <w:left w:val="nil"/>
              <w:bottom w:val="single" w:sz="4" w:space="0" w:color="auto"/>
              <w:right w:val="nil"/>
            </w:tcBorders>
            <w:textDirection w:val="lrTb"/>
            <w:vAlign w:val="top"/>
          </w:tcPr>
          <w:p w:rsidR="004D4E20" w:rsidRPr="004D4E20" w:rsidP="00E00D13">
            <w:pPr>
              <w:bidi w:val="0"/>
              <w:jc w:val="center"/>
              <w:rPr>
                <w:rFonts w:ascii="Times New Roman" w:hAnsi="Times New Roman"/>
                <w:b/>
                <w:sz w:val="24"/>
                <w:szCs w:val="24"/>
              </w:rPr>
            </w:pPr>
            <w:r w:rsidRPr="004D4E20">
              <w:rPr>
                <w:rFonts w:ascii="MS Mincho" w:eastAsia="MS Mincho" w:hAnsi="MS Mincho" w:cs="MS Mincho" w:hint="eastAsia"/>
                <w:b/>
                <w:sz w:val="24"/>
                <w:szCs w:val="24"/>
              </w:rPr>
              <w:t>☐</w:t>
            </w:r>
          </w:p>
        </w:tc>
        <w:tc>
          <w:tcPr>
            <w:tcW w:w="1439" w:type="dxa"/>
            <w:tcBorders>
              <w:top w:val="nil"/>
              <w:left w:val="nil"/>
              <w:bottom w:val="single" w:sz="4" w:space="0" w:color="auto"/>
              <w:right w:val="single" w:sz="4" w:space="0" w:color="auto"/>
            </w:tcBorders>
            <w:textDirection w:val="lrTb"/>
            <w:vAlign w:val="top"/>
          </w:tcPr>
          <w:p w:rsidR="004D4E20" w:rsidRPr="004D4E20" w:rsidP="00E00D13">
            <w:pPr>
              <w:bidi w:val="0"/>
              <w:ind w:left="54"/>
              <w:rPr>
                <w:rFonts w:ascii="Times New Roman" w:hAnsi="Times New Roman"/>
                <w:b/>
                <w:sz w:val="24"/>
                <w:szCs w:val="24"/>
              </w:rPr>
            </w:pPr>
            <w:r w:rsidRPr="004D4E20">
              <w:rPr>
                <w:rFonts w:ascii="Times New Roman" w:hAnsi="Times New Roman"/>
                <w:b/>
                <w:sz w:val="24"/>
                <w:szCs w:val="24"/>
              </w:rPr>
              <w:t>Negatívne</w:t>
            </w:r>
          </w:p>
        </w:tc>
      </w:tr>
    </w:tbl>
    <w:tbl>
      <w:tblPr>
        <w:tblStyle w:val="TableGrid"/>
        <w:tblW w:w="9176" w:type="dxa"/>
        <w:tblLayout w:type="fixed"/>
        <w:tblLook w:val="04A0"/>
      </w:tblPr>
      <w:tblGrid>
        <w:gridCol w:w="9176"/>
      </w:tblGrid>
      <w:tr>
        <w:tblPrEx>
          <w:tblW w:w="9176" w:type="dxa"/>
          <w:tblLayout w:type="fixed"/>
          <w:tblLook w:val="04A0"/>
        </w:tblPrEx>
        <w:trPr>
          <w:divId w:val="1"/>
        </w:trPr>
        <w:tc>
          <w:tcPr>
            <w:tcW w:w="9176" w:type="dxa"/>
            <w:tcBorders>
              <w:top w:val="single" w:sz="4" w:space="0" w:color="auto"/>
              <w:left w:val="single" w:sz="4" w:space="0" w:color="auto"/>
              <w:bottom w:val="nil"/>
              <w:right w:val="single" w:sz="4" w:space="0" w:color="auto"/>
            </w:tcBorders>
            <w:shd w:val="clear" w:color="auto" w:fill="E2E2E2"/>
            <w:textDirection w:val="lrTb"/>
            <w:vAlign w:val="top"/>
          </w:tcPr>
          <w:p w:rsidR="004D4E20" w:rsidRPr="004D4E20" w:rsidP="00E00D13">
            <w:pPr>
              <w:pStyle w:val="ListParagraph"/>
              <w:numPr>
                <w:numId w:val="1"/>
              </w:numPr>
              <w:autoSpaceDE w:val="0"/>
              <w:autoSpaceDN w:val="0"/>
              <w:bidi w:val="0"/>
              <w:spacing w:after="0" w:line="240" w:lineRule="auto"/>
              <w:ind w:left="426"/>
              <w:rPr>
                <w:rFonts w:ascii="Times New Roman" w:hAnsi="Times New Roman" w:cs="Times New Roman"/>
                <w:b/>
                <w:sz w:val="24"/>
                <w:szCs w:val="24"/>
                <w:lang w:eastAsia="sk-SK"/>
              </w:rPr>
            </w:pPr>
            <w:r w:rsidRPr="004D4E20">
              <w:rPr>
                <w:rFonts w:ascii="Times New Roman" w:hAnsi="Times New Roman" w:cs="Times New Roman"/>
                <w:b/>
                <w:sz w:val="24"/>
                <w:szCs w:val="24"/>
                <w:lang w:eastAsia="sk-SK"/>
              </w:rPr>
              <w:t>Poznámky</w:t>
            </w:r>
          </w:p>
        </w:tc>
      </w:tr>
      <w:tr>
        <w:tblPrEx>
          <w:tblW w:w="9176" w:type="dxa"/>
          <w:tblLayout w:type="fixed"/>
          <w:tblLook w:val="04A0"/>
        </w:tblPrEx>
        <w:trPr>
          <w:divId w:val="1"/>
          <w:trHeight w:val="713"/>
        </w:trPr>
        <w:tc>
          <w:tcPr>
            <w:tcW w:w="9176" w:type="dxa"/>
            <w:tcBorders>
              <w:top w:val="nil"/>
              <w:left w:val="single" w:sz="4" w:space="0" w:color="auto"/>
              <w:bottom w:val="single" w:sz="4" w:space="0" w:color="FFFFFF"/>
              <w:right w:val="single" w:sz="4" w:space="0" w:color="auto"/>
            </w:tcBorders>
            <w:textDirection w:val="lrTb"/>
            <w:vAlign w:val="top"/>
          </w:tcPr>
          <w:p w:rsidR="004D4E20" w:rsidRPr="004D4E20" w:rsidP="00E00D13">
            <w:pPr>
              <w:autoSpaceDE w:val="0"/>
              <w:autoSpaceDN w:val="0"/>
              <w:bidi w:val="0"/>
              <w:spacing w:after="0" w:line="240" w:lineRule="auto"/>
              <w:jc w:val="both"/>
              <w:rPr>
                <w:rFonts w:ascii="Times New Roman" w:hAnsi="Times New Roman"/>
                <w:sz w:val="24"/>
                <w:szCs w:val="24"/>
                <w:lang w:eastAsia="sk-SK"/>
              </w:rPr>
            </w:pPr>
            <w:r w:rsidRPr="004D4E20">
              <w:rPr>
                <w:rFonts w:ascii="Times New Roman" w:hAnsi="Times New Roman"/>
                <w:sz w:val="24"/>
                <w:szCs w:val="24"/>
                <w:lang w:eastAsia="sk-SK"/>
              </w:rPr>
              <w:t>Prijatím návrhu zákona nedôjde k úbytku príjmov rozpočtu verejnej správy a všetky výdavky vyplývajúce z predloženého návrhu zákona sú zabezpečené v rámci schváleného limitu výdavkov kapitoly Úradu pre normalizáciu, metrológiu a skúšobníctva Slovenskej republiky na príslušný rozpočtový rok.</w:t>
            </w:r>
          </w:p>
          <w:p w:rsidR="004D4E20" w:rsidRPr="004D4E20" w:rsidP="00E00D13">
            <w:pPr>
              <w:autoSpaceDE w:val="0"/>
              <w:autoSpaceDN w:val="0"/>
              <w:bidi w:val="0"/>
              <w:spacing w:after="0" w:line="240" w:lineRule="auto"/>
              <w:rPr>
                <w:rFonts w:ascii="Times New Roman" w:hAnsi="Times New Roman"/>
                <w:b/>
                <w:sz w:val="24"/>
                <w:szCs w:val="24"/>
                <w:lang w:eastAsia="sk-SK"/>
              </w:rPr>
            </w:pPr>
          </w:p>
        </w:tc>
      </w:tr>
      <w:tr>
        <w:tblPrEx>
          <w:tblW w:w="9176" w:type="dxa"/>
          <w:tblLayout w:type="fixed"/>
          <w:tblLook w:val="04A0"/>
        </w:tblPrEx>
        <w:trPr>
          <w:divId w:val="1"/>
        </w:trPr>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4D4E20" w:rsidRPr="004D4E20" w:rsidP="00E00D13">
            <w:pPr>
              <w:pStyle w:val="ListParagraph"/>
              <w:numPr>
                <w:numId w:val="1"/>
              </w:numPr>
              <w:autoSpaceDE w:val="0"/>
              <w:autoSpaceDN w:val="0"/>
              <w:bidi w:val="0"/>
              <w:spacing w:after="0" w:line="240" w:lineRule="auto"/>
              <w:ind w:left="426"/>
              <w:rPr>
                <w:rFonts w:ascii="Times New Roman" w:hAnsi="Times New Roman" w:cs="Times New Roman"/>
                <w:b/>
                <w:sz w:val="24"/>
                <w:szCs w:val="24"/>
                <w:lang w:eastAsia="sk-SK"/>
              </w:rPr>
            </w:pPr>
            <w:r w:rsidRPr="004D4E20">
              <w:rPr>
                <w:rFonts w:ascii="Times New Roman" w:hAnsi="Times New Roman" w:cs="Times New Roman"/>
                <w:b/>
                <w:sz w:val="24"/>
                <w:szCs w:val="24"/>
                <w:lang w:eastAsia="sk-SK"/>
              </w:rPr>
              <w:t>Kontakt na spracovateľa</w:t>
            </w:r>
          </w:p>
        </w:tc>
      </w:tr>
      <w:tr>
        <w:tblPrEx>
          <w:tblW w:w="9176" w:type="dxa"/>
          <w:tblLayout w:type="fixed"/>
          <w:tblLook w:val="04A0"/>
        </w:tblPrEx>
        <w:trPr>
          <w:divId w:val="1"/>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4D4E20" w:rsidRPr="004D4E20" w:rsidP="00E00D13">
            <w:pPr>
              <w:autoSpaceDE w:val="0"/>
              <w:autoSpaceDN w:val="0"/>
              <w:bidi w:val="0"/>
              <w:spacing w:after="0" w:line="240" w:lineRule="auto"/>
              <w:rPr>
                <w:rFonts w:ascii="Times New Roman" w:hAnsi="Times New Roman"/>
                <w:sz w:val="24"/>
                <w:szCs w:val="24"/>
                <w:lang w:eastAsia="sk-SK"/>
              </w:rPr>
            </w:pPr>
            <w:r w:rsidRPr="004D4E20">
              <w:rPr>
                <w:rFonts w:ascii="Times New Roman" w:hAnsi="Times New Roman"/>
                <w:sz w:val="24"/>
                <w:szCs w:val="24"/>
                <w:lang w:eastAsia="sk-SK"/>
              </w:rPr>
              <w:t xml:space="preserve">Ing. Mária Semanová, </w:t>
            </w:r>
            <w:hyperlink r:id="rId9" w:history="1">
              <w:r w:rsidRPr="004D4E20">
                <w:rPr>
                  <w:rStyle w:val="Hyperlink"/>
                  <w:rFonts w:ascii="Times New Roman" w:hAnsi="Times New Roman"/>
                  <w:color w:val="auto"/>
                  <w:sz w:val="24"/>
                  <w:szCs w:val="24"/>
                  <w:lang w:eastAsia="sk-SK"/>
                </w:rPr>
                <w:t>maria.semanova@normoff.gov.sk</w:t>
              </w:r>
            </w:hyperlink>
            <w:r w:rsidRPr="004D4E20">
              <w:rPr>
                <w:rFonts w:ascii="Times New Roman" w:hAnsi="Times New Roman"/>
                <w:sz w:val="24"/>
                <w:szCs w:val="24"/>
                <w:lang w:eastAsia="sk-SK"/>
              </w:rPr>
              <w:t>, 02/57 485 417.</w:t>
            </w:r>
          </w:p>
        </w:tc>
      </w:tr>
      <w:tr>
        <w:tblPrEx>
          <w:tblW w:w="9176" w:type="dxa"/>
          <w:tblLayout w:type="fixed"/>
          <w:tblLook w:val="04A0"/>
        </w:tblPrEx>
        <w:trPr>
          <w:divId w:val="1"/>
        </w:trPr>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4D4E20" w:rsidRPr="004D4E20" w:rsidP="00E00D13">
            <w:pPr>
              <w:pStyle w:val="ListParagraph"/>
              <w:numPr>
                <w:numId w:val="1"/>
              </w:numPr>
              <w:autoSpaceDE w:val="0"/>
              <w:autoSpaceDN w:val="0"/>
              <w:bidi w:val="0"/>
              <w:spacing w:after="0" w:line="240" w:lineRule="auto"/>
              <w:ind w:left="426"/>
              <w:rPr>
                <w:rFonts w:ascii="Times New Roman" w:hAnsi="Times New Roman" w:cs="Times New Roman"/>
                <w:b/>
                <w:sz w:val="24"/>
                <w:szCs w:val="24"/>
                <w:lang w:eastAsia="sk-SK"/>
              </w:rPr>
            </w:pPr>
            <w:r w:rsidRPr="004D4E20">
              <w:rPr>
                <w:rFonts w:ascii="Times New Roman" w:hAnsi="Times New Roman" w:cs="Times New Roman"/>
                <w:b/>
                <w:sz w:val="24"/>
                <w:szCs w:val="24"/>
                <w:lang w:eastAsia="sk-SK"/>
              </w:rPr>
              <w:t>Zdroje</w:t>
            </w:r>
          </w:p>
        </w:tc>
      </w:tr>
      <w:tr>
        <w:tblPrEx>
          <w:tblW w:w="9176" w:type="dxa"/>
          <w:tblLayout w:type="fixed"/>
          <w:tblLook w:val="04A0"/>
        </w:tblPrEx>
        <w:trPr>
          <w:divId w:val="1"/>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4D4E20" w:rsidRPr="004D4E20" w:rsidP="00E00D13">
            <w:pPr>
              <w:autoSpaceDE w:val="0"/>
              <w:autoSpaceDN w:val="0"/>
              <w:bidi w:val="0"/>
              <w:spacing w:after="0" w:line="240" w:lineRule="auto"/>
              <w:rPr>
                <w:rFonts w:ascii="Times New Roman" w:hAnsi="Times New Roman"/>
                <w:sz w:val="24"/>
                <w:szCs w:val="24"/>
                <w:lang w:eastAsia="sk-SK"/>
              </w:rPr>
            </w:pPr>
            <w:r w:rsidRPr="004D4E20">
              <w:rPr>
                <w:rFonts w:ascii="Times New Roman" w:hAnsi="Times New Roman"/>
                <w:sz w:val="24"/>
                <w:szCs w:val="24"/>
                <w:lang w:eastAsia="sk-SK"/>
              </w:rPr>
              <w:t xml:space="preserve">Výročné správy úradu. </w:t>
            </w:r>
          </w:p>
        </w:tc>
      </w:tr>
      <w:tr>
        <w:tblPrEx>
          <w:tblW w:w="9176" w:type="dxa"/>
          <w:tblLayout w:type="fixed"/>
          <w:tblLook w:val="04A0"/>
        </w:tblPrEx>
        <w:trPr>
          <w:divId w:val="1"/>
        </w:trPr>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4D4E20" w:rsidRPr="004D4E20" w:rsidP="00E00D13">
            <w:pPr>
              <w:pStyle w:val="ListParagraph"/>
              <w:numPr>
                <w:numId w:val="1"/>
              </w:numPr>
              <w:autoSpaceDE w:val="0"/>
              <w:autoSpaceDN w:val="0"/>
              <w:bidi w:val="0"/>
              <w:spacing w:after="0" w:line="240" w:lineRule="auto"/>
              <w:ind w:left="426"/>
              <w:rPr>
                <w:rFonts w:ascii="Times New Roman" w:hAnsi="Times New Roman" w:cs="Times New Roman"/>
                <w:b/>
                <w:sz w:val="24"/>
                <w:szCs w:val="24"/>
                <w:lang w:eastAsia="sk-SK"/>
              </w:rPr>
            </w:pPr>
            <w:r w:rsidRPr="004D4E20">
              <w:rPr>
                <w:rFonts w:ascii="Times New Roman" w:hAnsi="Times New Roman" w:cs="Times New Roman"/>
                <w:b/>
                <w:sz w:val="24"/>
                <w:szCs w:val="24"/>
                <w:lang w:eastAsia="sk-SK"/>
              </w:rPr>
              <w:t>Stanovisko Komisie pre posudzovanie vybraných vplyvov z PPK</w:t>
            </w:r>
          </w:p>
        </w:tc>
      </w:tr>
      <w:tr>
        <w:tblPrEx>
          <w:tblW w:w="9176" w:type="dxa"/>
          <w:tblLayout w:type="fixed"/>
          <w:tblLook w:val="04A0"/>
        </w:tblPrEx>
        <w:trPr>
          <w:divId w:val="1"/>
        </w:trPr>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4D4E20" w:rsidRPr="004D4E20" w:rsidP="00E00D13">
            <w:pPr>
              <w:autoSpaceDE w:val="0"/>
              <w:autoSpaceDN w:val="0"/>
              <w:bidi w:val="0"/>
              <w:spacing w:after="0" w:line="240" w:lineRule="auto"/>
              <w:rPr>
                <w:rFonts w:ascii="Times New Roman" w:hAnsi="Times New Roman"/>
                <w:i/>
                <w:sz w:val="24"/>
                <w:szCs w:val="24"/>
                <w:lang w:eastAsia="sk-SK"/>
              </w:rPr>
            </w:pPr>
            <w:r w:rsidRPr="004D4E20">
              <w:rPr>
                <w:rFonts w:ascii="Times New Roman" w:hAnsi="Times New Roman"/>
                <w:sz w:val="24"/>
                <w:szCs w:val="24"/>
                <w:lang w:eastAsia="sk-SK"/>
              </w:rPr>
              <w:t>Stála pracovná komisia na posudzovanie vybraných vplyvov vyjadrila k materiálu súhlasné stanovisko.</w:t>
            </w:r>
          </w:p>
          <w:p w:rsidR="004D4E20" w:rsidRPr="004D4E20" w:rsidP="00E00D13">
            <w:pPr>
              <w:autoSpaceDE w:val="0"/>
              <w:autoSpaceDN w:val="0"/>
              <w:bidi w:val="0"/>
              <w:spacing w:after="0" w:line="240" w:lineRule="auto"/>
              <w:rPr>
                <w:rFonts w:ascii="Times New Roman" w:hAnsi="Times New Roman"/>
                <w:b/>
                <w:sz w:val="24"/>
                <w:szCs w:val="24"/>
                <w:lang w:eastAsia="sk-SK"/>
              </w:rPr>
            </w:pPr>
          </w:p>
        </w:tc>
      </w:tr>
    </w:tbl>
    <w:p w:rsidR="004D4E20" w:rsidRPr="004D4E20" w:rsidP="004D4E20">
      <w:pPr>
        <w:divId w:val="1"/>
        <w:bidi w:val="0"/>
        <w:rPr>
          <w:rFonts w:ascii="Times New Roman" w:hAnsi="Times New Roman"/>
          <w:b/>
          <w:sz w:val="24"/>
          <w:szCs w:val="24"/>
        </w:rPr>
      </w:pPr>
    </w:p>
    <w:p w:rsidR="004D4E20" w:rsidRPr="004D4E20" w:rsidP="004D4E20">
      <w:pPr>
        <w:divId w:val="1"/>
        <w:bidi w:val="0"/>
        <w:rPr>
          <w:rFonts w:ascii="Times New Roman" w:hAnsi="Times New Roman"/>
          <w:b/>
          <w:sz w:val="24"/>
          <w:szCs w:val="24"/>
        </w:rPr>
      </w:pPr>
    </w:p>
    <w:p w:rsidR="004D4E20" w:rsidRPr="004D4E20" w:rsidP="004D4E20">
      <w:pPr>
        <w:divId w:val="1"/>
        <w:bidi w:val="0"/>
        <w:rPr>
          <w:rFonts w:ascii="Times New Roman" w:hAnsi="Times New Roman"/>
          <w:sz w:val="24"/>
          <w:szCs w:val="24"/>
        </w:rPr>
      </w:pPr>
    </w:p>
    <w:p w:rsidR="004D4E20" w:rsidRPr="004D4E20" w:rsidP="00700DBA">
      <w:pPr>
        <w:divId w:val="1"/>
        <w:bidi w:val="0"/>
        <w:jc w:val="both"/>
        <w:rPr>
          <w:rFonts w:ascii="Times New Roman" w:hAnsi="Times New Roman"/>
          <w:sz w:val="24"/>
          <w:szCs w:val="24"/>
        </w:rPr>
      </w:pPr>
    </w:p>
    <w:p w:rsidR="004D4E20" w:rsidRPr="004D4E20" w:rsidP="00700DBA">
      <w:pPr>
        <w:divId w:val="1"/>
        <w:bidi w:val="0"/>
        <w:jc w:val="both"/>
        <w:rPr>
          <w:rFonts w:ascii="Times New Roman" w:hAnsi="Times New Roman"/>
          <w:sz w:val="24"/>
          <w:szCs w:val="24"/>
        </w:rPr>
      </w:pPr>
    </w:p>
    <w:p w:rsidR="004D4E20" w:rsidRPr="004D4E20">
      <w:pPr>
        <w:bidi w:val="0"/>
        <w:jc w:val="both"/>
        <w:rPr>
          <w:rFonts w:ascii="Times New Roman" w:hAnsi="Times New Roman"/>
          <w:sz w:val="24"/>
          <w:szCs w:val="24"/>
        </w:rPr>
      </w:pPr>
    </w:p>
    <w:p w:rsidR="004D4E20" w:rsidRPr="004D4E20">
      <w:pPr>
        <w:bidi w:val="0"/>
        <w:jc w:val="both"/>
        <w:rPr>
          <w:rFonts w:ascii="Times New Roman" w:hAnsi="Times New Roman"/>
          <w:sz w:val="24"/>
          <w:szCs w:val="24"/>
        </w:rPr>
      </w:pPr>
    </w:p>
    <w:p w:rsidR="004D4E20" w:rsidRPr="004D4E20">
      <w:pPr>
        <w:bidi w:val="0"/>
        <w:jc w:val="both"/>
        <w:rPr>
          <w:rFonts w:ascii="Times New Roman" w:hAnsi="Times New Roman"/>
          <w:sz w:val="24"/>
          <w:szCs w:val="24"/>
        </w:rPr>
      </w:pPr>
    </w:p>
    <w:p w:rsidR="004D4E20" w:rsidRPr="004D4E20">
      <w:pPr>
        <w:bidi w:val="0"/>
        <w:jc w:val="both"/>
        <w:rPr>
          <w:rFonts w:ascii="Times New Roman" w:hAnsi="Times New Roman"/>
          <w:sz w:val="24"/>
          <w:szCs w:val="24"/>
        </w:rPr>
      </w:pPr>
    </w:p>
    <w:p w:rsidR="004D4E20" w:rsidRPr="004D4E20">
      <w:pPr>
        <w:bidi w:val="0"/>
        <w:jc w:val="both"/>
        <w:rPr>
          <w:rFonts w:ascii="Times New Roman" w:hAnsi="Times New Roman"/>
          <w:sz w:val="24"/>
          <w:szCs w:val="24"/>
        </w:rPr>
      </w:pPr>
    </w:p>
    <w:p w:rsidR="004D4E20" w:rsidRPr="004D4E20">
      <w:pPr>
        <w:bidi w:val="0"/>
        <w:jc w:val="both"/>
        <w:rPr>
          <w:rFonts w:ascii="Times New Roman" w:hAnsi="Times New Roman"/>
          <w:sz w:val="24"/>
          <w:szCs w:val="24"/>
        </w:rPr>
      </w:pPr>
    </w:p>
    <w:p w:rsidR="004D4E20" w:rsidRPr="004D4E20">
      <w:pPr>
        <w:bidi w:val="0"/>
        <w:jc w:val="both"/>
        <w:rPr>
          <w:rFonts w:ascii="Times New Roman" w:hAnsi="Times New Roman"/>
          <w:sz w:val="24"/>
          <w:szCs w:val="24"/>
        </w:rPr>
      </w:pPr>
    </w:p>
    <w:p w:rsidR="004D4E20" w:rsidRPr="004D4E20">
      <w:pPr>
        <w:bidi w:val="0"/>
        <w:jc w:val="both"/>
        <w:rPr>
          <w:rFonts w:ascii="Times New Roman" w:hAnsi="Times New Roman"/>
          <w:sz w:val="24"/>
          <w:szCs w:val="24"/>
        </w:rPr>
      </w:pPr>
    </w:p>
    <w:p w:rsidR="004D4E20" w:rsidRPr="004D4E20">
      <w:pPr>
        <w:bidi w:val="0"/>
        <w:jc w:val="both"/>
        <w:rPr>
          <w:rFonts w:ascii="Times New Roman" w:hAnsi="Times New Roman"/>
          <w:sz w:val="24"/>
          <w:szCs w:val="24"/>
        </w:rPr>
      </w:pPr>
    </w:p>
    <w:p w:rsidR="004D4E20" w:rsidRPr="004D4E20">
      <w:pPr>
        <w:bidi w:val="0"/>
        <w:jc w:val="both"/>
        <w:rPr>
          <w:rFonts w:ascii="Times New Roman" w:hAnsi="Times New Roman"/>
          <w:sz w:val="24"/>
          <w:szCs w:val="24"/>
        </w:rPr>
      </w:pPr>
    </w:p>
    <w:p w:rsidR="004D4E20" w:rsidRPr="004D4E20">
      <w:pPr>
        <w:bidi w:val="0"/>
        <w:jc w:val="both"/>
        <w:rPr>
          <w:rFonts w:ascii="Times New Roman" w:hAnsi="Times New Roman"/>
          <w:sz w:val="24"/>
          <w:szCs w:val="24"/>
        </w:rPr>
      </w:pPr>
      <w:r w:rsidRPr="004D4E20">
        <w:rPr>
          <w:rFonts w:ascii="Times New Roman" w:hAnsi="Times New Roman"/>
          <w:sz w:val="24"/>
          <w:szCs w:val="24"/>
        </w:rPr>
        <w:br w:type="page"/>
      </w:r>
    </w:p>
    <w:tbl>
      <w:tblPr>
        <w:tblStyle w:val="Mriekatabuky1"/>
        <w:tblW w:w="0" w:type="auto"/>
        <w:tblLook w:val="04A0"/>
      </w:tblPr>
      <w:tblGrid>
        <w:gridCol w:w="9322"/>
      </w:tblGrid>
      <w:tr>
        <w:tblPrEx>
          <w:tblW w:w="0" w:type="auto"/>
          <w:tblLook w:val="04A0"/>
        </w:tblPrEx>
        <w:trPr>
          <w:trHeight w:val="469"/>
        </w:trPr>
        <w:tc>
          <w:tcPr>
            <w:tcW w:w="932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4D4E20" w:rsidRPr="004D4E20" w:rsidP="004D4E20">
            <w:pPr>
              <w:widowControl/>
              <w:bidi w:val="0"/>
              <w:adjustRightInd/>
              <w:spacing w:after="0" w:line="240" w:lineRule="auto"/>
              <w:jc w:val="center"/>
              <w:rPr>
                <w:rFonts w:ascii="Times New Roman" w:hAnsi="Times New Roman"/>
                <w:b/>
                <w:sz w:val="24"/>
                <w:szCs w:val="24"/>
                <w:lang w:eastAsia="sk-SK"/>
              </w:rPr>
            </w:pPr>
            <w:r w:rsidRPr="004D4E20">
              <w:rPr>
                <w:rFonts w:ascii="Times New Roman" w:hAnsi="Times New Roman"/>
                <w:b/>
                <w:sz w:val="24"/>
                <w:szCs w:val="24"/>
                <w:lang w:eastAsia="sk-SK"/>
              </w:rPr>
              <w:t xml:space="preserve">Analýza vplyvov na podnikateľské prostredie </w:t>
            </w:r>
          </w:p>
          <w:p w:rsidR="004D4E20" w:rsidRPr="004D4E20" w:rsidP="004D4E20">
            <w:pPr>
              <w:widowControl/>
              <w:bidi w:val="0"/>
              <w:adjustRightInd/>
              <w:spacing w:after="0" w:line="240" w:lineRule="auto"/>
              <w:jc w:val="center"/>
              <w:rPr>
                <w:rFonts w:ascii="Times New Roman" w:hAnsi="Times New Roman"/>
                <w:b/>
                <w:sz w:val="24"/>
                <w:szCs w:val="24"/>
                <w:lang w:eastAsia="sk-SK"/>
              </w:rPr>
            </w:pPr>
            <w:r w:rsidRPr="004D4E20">
              <w:rPr>
                <w:rFonts w:ascii="Times New Roman" w:hAnsi="Times New Roman"/>
                <w:b/>
                <w:sz w:val="24"/>
                <w:szCs w:val="24"/>
                <w:lang w:eastAsia="sk-SK"/>
              </w:rPr>
              <w:t>(vrátane testu MSP)</w:t>
            </w:r>
          </w:p>
        </w:tc>
      </w:tr>
      <w:tr>
        <w:tblPrEx>
          <w:tblW w:w="0" w:type="auto"/>
          <w:tblLook w:val="04A0"/>
        </w:tblPrEx>
        <w:trPr>
          <w:trHeight w:val="469"/>
        </w:trPr>
        <w:tc>
          <w:tcPr>
            <w:tcW w:w="932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4D4E20" w:rsidRPr="004D4E20" w:rsidP="004D4E20">
            <w:pPr>
              <w:widowControl/>
              <w:bidi w:val="0"/>
              <w:adjustRightInd/>
              <w:spacing w:after="0" w:line="240" w:lineRule="auto"/>
              <w:rPr>
                <w:rFonts w:ascii="Times New Roman" w:hAnsi="Times New Roman"/>
                <w:b/>
                <w:sz w:val="24"/>
                <w:szCs w:val="24"/>
                <w:lang w:eastAsia="sk-SK"/>
              </w:rPr>
            </w:pPr>
            <w:r w:rsidRPr="004D4E20">
              <w:rPr>
                <w:rFonts w:ascii="Times New Roman" w:hAnsi="Times New Roman"/>
                <w:b/>
                <w:sz w:val="24"/>
                <w:szCs w:val="24"/>
                <w:lang w:eastAsia="sk-SK"/>
              </w:rPr>
              <w:t>Materiál bude mať vplyv s ohľadom na veľkostnú kategóriu podnikov:</w:t>
            </w:r>
          </w:p>
        </w:tc>
      </w:tr>
      <w:tr>
        <w:tblPrEx>
          <w:tblW w:w="0" w:type="auto"/>
          <w:tblLook w:val="04A0"/>
        </w:tblPrEx>
        <w:trPr>
          <w:trHeight w:val="469"/>
        </w:trPr>
        <w:tc>
          <w:tcPr>
            <w:tcW w:w="9322" w:type="dxa"/>
            <w:tcBorders>
              <w:top w:val="single" w:sz="4" w:space="0" w:color="auto"/>
              <w:left w:val="single" w:sz="4" w:space="0" w:color="auto"/>
              <w:bottom w:val="single" w:sz="4" w:space="0" w:color="auto"/>
              <w:right w:val="single" w:sz="4" w:space="0" w:color="auto"/>
            </w:tcBorders>
            <w:textDirection w:val="lrTb"/>
            <w:vAlign w:val="top"/>
          </w:tcPr>
          <w:tbl>
            <w:tblPr>
              <w:tblStyle w:val="Mriekatabu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6"/>
              <w:gridCol w:w="7740"/>
            </w:tblGrid>
            <w:tr>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19"/>
              </w:trPr>
              <w:tc>
                <w:tcPr>
                  <w:tcW w:w="395" w:type="dxa"/>
                  <w:tcBorders>
                    <w:top w:val="none" w:sz="0" w:space="0" w:color="auto"/>
                    <w:left w:val="none" w:sz="0" w:space="0" w:color="auto"/>
                    <w:bottom w:val="none" w:sz="0" w:space="0" w:color="auto"/>
                    <w:right w:val="none" w:sz="0" w:space="0" w:color="auto"/>
                  </w:tcBorders>
                  <w:textDirection w:val="lrTb"/>
                  <w:vAlign w:val="top"/>
                </w:tcPr>
                <w:p w:rsidR="004D4E20" w:rsidRPr="004D4E20" w:rsidP="004D4E20">
                  <w:pPr>
                    <w:widowControl/>
                    <w:bidi w:val="0"/>
                    <w:adjustRightInd/>
                    <w:spacing w:after="0" w:line="240" w:lineRule="auto"/>
                    <w:jc w:val="center"/>
                    <w:rPr>
                      <w:rFonts w:ascii="Times New Roman" w:hAnsi="Times New Roman"/>
                      <w:sz w:val="24"/>
                      <w:szCs w:val="24"/>
                      <w:lang w:eastAsia="sk-SK"/>
                    </w:rPr>
                  </w:pPr>
                  <w:r w:rsidRPr="004D4E20">
                    <w:rPr>
                      <w:rFonts w:ascii="MS Mincho" w:eastAsia="MS Mincho" w:hAnsi="MS Mincho" w:cs="MS Mincho" w:hint="eastAsia"/>
                      <w:sz w:val="24"/>
                      <w:szCs w:val="24"/>
                      <w:lang w:eastAsia="sk-SK"/>
                    </w:rPr>
                    <w:t>☐</w:t>
                  </w:r>
                </w:p>
              </w:tc>
              <w:tc>
                <w:tcPr>
                  <w:tcW w:w="7740" w:type="dxa"/>
                  <w:tcBorders>
                    <w:top w:val="none" w:sz="0" w:space="0" w:color="auto"/>
                    <w:left w:val="none" w:sz="0" w:space="0" w:color="auto"/>
                    <w:bottom w:val="none" w:sz="0" w:space="0" w:color="auto"/>
                    <w:right w:val="none" w:sz="0" w:space="0" w:color="auto"/>
                  </w:tcBorders>
                  <w:textDirection w:val="lrTb"/>
                  <w:vAlign w:val="top"/>
                </w:tcPr>
                <w:p w:rsidR="004D4E20" w:rsidRPr="004D4E20" w:rsidP="004D4E20">
                  <w:pPr>
                    <w:widowControl/>
                    <w:bidi w:val="0"/>
                    <w:adjustRightInd/>
                    <w:spacing w:after="0" w:line="240" w:lineRule="auto"/>
                    <w:rPr>
                      <w:rFonts w:ascii="Times New Roman" w:hAnsi="Times New Roman"/>
                      <w:b/>
                      <w:sz w:val="24"/>
                      <w:szCs w:val="24"/>
                      <w:lang w:eastAsia="sk-SK"/>
                    </w:rPr>
                  </w:pPr>
                  <w:r w:rsidRPr="004D4E20">
                    <w:rPr>
                      <w:rFonts w:ascii="Times New Roman" w:hAnsi="Times New Roman"/>
                      <w:b/>
                      <w:sz w:val="24"/>
                      <w:szCs w:val="24"/>
                      <w:lang w:eastAsia="sk-SK"/>
                    </w:rPr>
                    <w:t xml:space="preserve">iba na MSP (0 - 249 zamestnancov) </w:t>
                  </w:r>
                </w:p>
              </w:tc>
            </w:tr>
            <w:tr>
              <w:tblPrEx>
                <w:tblW w:w="0" w:type="auto"/>
                <w:tblLook w:val="04A0"/>
              </w:tblPrEx>
              <w:trPr>
                <w:trHeight w:val="119"/>
              </w:trPr>
              <w:tc>
                <w:tcPr>
                  <w:tcW w:w="395" w:type="dxa"/>
                  <w:tcBorders>
                    <w:top w:val="none" w:sz="0" w:space="0" w:color="auto"/>
                    <w:left w:val="none" w:sz="0" w:space="0" w:color="auto"/>
                    <w:bottom w:val="none" w:sz="0" w:space="0" w:color="auto"/>
                    <w:right w:val="none" w:sz="0" w:space="0" w:color="auto"/>
                  </w:tcBorders>
                  <w:textDirection w:val="lrTb"/>
                  <w:vAlign w:val="top"/>
                </w:tcPr>
                <w:p w:rsidR="004D4E20" w:rsidRPr="004D4E20" w:rsidP="004D4E20">
                  <w:pPr>
                    <w:widowControl/>
                    <w:bidi w:val="0"/>
                    <w:adjustRightInd/>
                    <w:spacing w:after="0" w:line="240" w:lineRule="auto"/>
                    <w:jc w:val="center"/>
                    <w:rPr>
                      <w:rFonts w:ascii="Times New Roman" w:hAnsi="Times New Roman"/>
                      <w:sz w:val="24"/>
                      <w:szCs w:val="24"/>
                      <w:lang w:eastAsia="sk-SK"/>
                    </w:rPr>
                  </w:pPr>
                  <w:r w:rsidRPr="004D4E20">
                    <w:rPr>
                      <w:rFonts w:ascii="MS Mincho" w:eastAsia="MS Mincho" w:hAnsi="MS Mincho" w:cs="MS Mincho" w:hint="eastAsia"/>
                      <w:sz w:val="24"/>
                      <w:szCs w:val="24"/>
                      <w:lang w:eastAsia="sk-SK"/>
                    </w:rPr>
                    <w:t>☐</w:t>
                  </w:r>
                </w:p>
              </w:tc>
              <w:tc>
                <w:tcPr>
                  <w:tcW w:w="7740" w:type="dxa"/>
                  <w:tcBorders>
                    <w:top w:val="none" w:sz="0" w:space="0" w:color="auto"/>
                    <w:left w:val="none" w:sz="0" w:space="0" w:color="auto"/>
                    <w:bottom w:val="none" w:sz="0" w:space="0" w:color="auto"/>
                    <w:right w:val="none" w:sz="0" w:space="0" w:color="auto"/>
                  </w:tcBorders>
                  <w:textDirection w:val="lrTb"/>
                  <w:vAlign w:val="top"/>
                </w:tcPr>
                <w:p w:rsidR="004D4E20" w:rsidRPr="004D4E20" w:rsidP="004D4E20">
                  <w:pPr>
                    <w:widowControl/>
                    <w:bidi w:val="0"/>
                    <w:adjustRightInd/>
                    <w:spacing w:after="0" w:line="240" w:lineRule="auto"/>
                    <w:rPr>
                      <w:rFonts w:ascii="Times New Roman" w:hAnsi="Times New Roman"/>
                      <w:b/>
                      <w:sz w:val="24"/>
                      <w:szCs w:val="24"/>
                      <w:lang w:eastAsia="sk-SK"/>
                    </w:rPr>
                  </w:pPr>
                  <w:r w:rsidRPr="004D4E20">
                    <w:rPr>
                      <w:rFonts w:ascii="Times New Roman" w:hAnsi="Times New Roman"/>
                      <w:b/>
                      <w:sz w:val="24"/>
                      <w:szCs w:val="24"/>
                      <w:lang w:eastAsia="sk-SK"/>
                    </w:rPr>
                    <w:t>iba na veľké podniky (250 a viac zamestnancov)</w:t>
                  </w:r>
                </w:p>
              </w:tc>
            </w:tr>
            <w:tr>
              <w:tblPrEx>
                <w:tblW w:w="0" w:type="auto"/>
                <w:tblLook w:val="04A0"/>
              </w:tblPrEx>
              <w:trPr>
                <w:trHeight w:val="119"/>
              </w:trPr>
              <w:tc>
                <w:tcPr>
                  <w:tcW w:w="395" w:type="dxa"/>
                  <w:tcBorders>
                    <w:top w:val="none" w:sz="0" w:space="0" w:color="auto"/>
                    <w:left w:val="none" w:sz="0" w:space="0" w:color="auto"/>
                    <w:bottom w:val="none" w:sz="0" w:space="0" w:color="auto"/>
                    <w:right w:val="none" w:sz="0" w:space="0" w:color="auto"/>
                  </w:tcBorders>
                  <w:textDirection w:val="lrTb"/>
                  <w:vAlign w:val="top"/>
                </w:tcPr>
                <w:p w:rsidR="004D4E20" w:rsidRPr="004D4E20" w:rsidP="004D4E20">
                  <w:pPr>
                    <w:widowControl/>
                    <w:bidi w:val="0"/>
                    <w:adjustRightInd/>
                    <w:spacing w:after="0" w:line="240" w:lineRule="auto"/>
                    <w:jc w:val="center"/>
                    <w:rPr>
                      <w:rFonts w:ascii="Times New Roman" w:hAnsi="Times New Roman"/>
                      <w:sz w:val="24"/>
                      <w:szCs w:val="24"/>
                      <w:lang w:eastAsia="sk-SK"/>
                    </w:rPr>
                  </w:pPr>
                  <w:r w:rsidRPr="004D4E20">
                    <w:rPr>
                      <w:rFonts w:ascii="MS Mincho" w:eastAsia="MS Mincho" w:hAnsi="MS Mincho" w:cs="MS Mincho" w:hint="eastAsia"/>
                      <w:sz w:val="24"/>
                      <w:szCs w:val="24"/>
                      <w:lang w:eastAsia="sk-SK"/>
                    </w:rPr>
                    <w:t>☒</w:t>
                  </w:r>
                </w:p>
              </w:tc>
              <w:tc>
                <w:tcPr>
                  <w:tcW w:w="7740" w:type="dxa"/>
                  <w:tcBorders>
                    <w:top w:val="none" w:sz="0" w:space="0" w:color="auto"/>
                    <w:left w:val="none" w:sz="0" w:space="0" w:color="auto"/>
                    <w:bottom w:val="none" w:sz="0" w:space="0" w:color="auto"/>
                    <w:right w:val="none" w:sz="0" w:space="0" w:color="auto"/>
                  </w:tcBorders>
                  <w:textDirection w:val="lrTb"/>
                  <w:vAlign w:val="top"/>
                </w:tcPr>
                <w:p w:rsidR="004D4E20" w:rsidRPr="004D4E20" w:rsidP="004D4E20">
                  <w:pPr>
                    <w:widowControl/>
                    <w:bidi w:val="0"/>
                    <w:adjustRightInd/>
                    <w:spacing w:after="0" w:line="240" w:lineRule="auto"/>
                    <w:rPr>
                      <w:rFonts w:ascii="Times New Roman" w:hAnsi="Times New Roman"/>
                      <w:sz w:val="24"/>
                      <w:szCs w:val="24"/>
                      <w:lang w:eastAsia="sk-SK"/>
                    </w:rPr>
                  </w:pPr>
                  <w:r w:rsidRPr="004D4E20">
                    <w:rPr>
                      <w:rFonts w:ascii="Times New Roman" w:hAnsi="Times New Roman"/>
                      <w:b/>
                      <w:sz w:val="24"/>
                      <w:szCs w:val="24"/>
                      <w:lang w:eastAsia="sk-SK"/>
                    </w:rPr>
                    <w:t>na všetky kategórie podnikov</w:t>
                  </w:r>
                </w:p>
              </w:tc>
            </w:tr>
          </w:tbl>
          <w:p w:rsidR="004D4E20" w:rsidRPr="004D4E20" w:rsidP="004D4E20">
            <w:pPr>
              <w:widowControl/>
              <w:bidi w:val="0"/>
              <w:adjustRightInd/>
              <w:spacing w:after="0" w:line="240" w:lineRule="auto"/>
              <w:rPr>
                <w:rFonts w:ascii="Times New Roman" w:hAnsi="Times New Roman"/>
                <w:b/>
                <w:sz w:val="24"/>
                <w:szCs w:val="24"/>
                <w:lang w:eastAsia="sk-SK"/>
              </w:rPr>
            </w:pPr>
          </w:p>
        </w:tc>
      </w:tr>
      <w:tr>
        <w:tblPrEx>
          <w:tblW w:w="0" w:type="auto"/>
          <w:tblLook w:val="04A0"/>
        </w:tblPrEx>
        <w:trPr>
          <w:trHeight w:val="119"/>
        </w:trPr>
        <w:tc>
          <w:tcPr>
            <w:tcW w:w="932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4D4E20" w:rsidRPr="004D4E20" w:rsidP="004D4E20">
            <w:pPr>
              <w:widowControl/>
              <w:bidi w:val="0"/>
              <w:adjustRightInd/>
              <w:spacing w:after="0" w:line="240" w:lineRule="auto"/>
              <w:rPr>
                <w:rFonts w:ascii="Times New Roman" w:hAnsi="Times New Roman"/>
                <w:b/>
                <w:sz w:val="24"/>
                <w:szCs w:val="24"/>
                <w:lang w:eastAsia="sk-SK"/>
              </w:rPr>
            </w:pPr>
            <w:r w:rsidRPr="004D4E20">
              <w:rPr>
                <w:rFonts w:ascii="Times New Roman" w:hAnsi="Times New Roman"/>
                <w:b/>
                <w:sz w:val="24"/>
                <w:szCs w:val="24"/>
                <w:lang w:eastAsia="sk-SK"/>
              </w:rPr>
              <w:t>3.1 Dotknuté podnikateľské subjekty</w:t>
            </w:r>
          </w:p>
          <w:p w:rsidR="004D4E20" w:rsidRPr="004D4E20" w:rsidP="004D4E20">
            <w:pPr>
              <w:widowControl/>
              <w:bidi w:val="0"/>
              <w:adjustRightInd/>
              <w:spacing w:after="0" w:line="240" w:lineRule="auto"/>
              <w:ind w:left="284"/>
              <w:rPr>
                <w:rFonts w:ascii="Times New Roman" w:hAnsi="Times New Roman"/>
                <w:b/>
                <w:sz w:val="24"/>
                <w:szCs w:val="24"/>
                <w:lang w:eastAsia="sk-SK"/>
              </w:rPr>
            </w:pPr>
            <w:r w:rsidRPr="004D4E20">
              <w:rPr>
                <w:rFonts w:ascii="Times New Roman" w:hAnsi="Times New Roman"/>
                <w:sz w:val="24"/>
                <w:szCs w:val="24"/>
                <w:lang w:eastAsia="sk-SK"/>
              </w:rPr>
              <w:t xml:space="preserve"> - </w:t>
            </w:r>
            <w:r w:rsidRPr="004D4E20">
              <w:rPr>
                <w:rFonts w:ascii="Times New Roman" w:hAnsi="Times New Roman"/>
                <w:b/>
                <w:sz w:val="24"/>
                <w:szCs w:val="24"/>
                <w:lang w:eastAsia="sk-SK"/>
              </w:rPr>
              <w:t>z toho MSP</w:t>
            </w:r>
          </w:p>
        </w:tc>
      </w:tr>
      <w:tr>
        <w:tblPrEx>
          <w:tblW w:w="0" w:type="auto"/>
          <w:tblLook w:val="04A0"/>
        </w:tblPrEx>
        <w:trPr>
          <w:trHeight w:val="119"/>
        </w:trPr>
        <w:tc>
          <w:tcPr>
            <w:tcW w:w="9322" w:type="dxa"/>
            <w:tcBorders>
              <w:top w:val="single" w:sz="4" w:space="0" w:color="auto"/>
              <w:left w:val="single" w:sz="4" w:space="0" w:color="auto"/>
              <w:bottom w:val="single" w:sz="4" w:space="0" w:color="auto"/>
              <w:right w:val="single" w:sz="4" w:space="0" w:color="auto"/>
            </w:tcBorders>
            <w:textDirection w:val="lrTb"/>
            <w:vAlign w:val="top"/>
          </w:tcPr>
          <w:p w:rsidR="004D4E20" w:rsidRPr="004D4E20" w:rsidP="004D4E20">
            <w:pPr>
              <w:widowControl/>
              <w:bidi w:val="0"/>
              <w:adjustRightInd/>
              <w:spacing w:after="0" w:line="240" w:lineRule="auto"/>
              <w:rPr>
                <w:rFonts w:ascii="Times New Roman" w:hAnsi="Times New Roman"/>
                <w:i/>
                <w:sz w:val="24"/>
                <w:szCs w:val="24"/>
                <w:lang w:eastAsia="sk-SK"/>
              </w:rPr>
            </w:pPr>
            <w:r w:rsidRPr="004D4E20">
              <w:rPr>
                <w:rFonts w:ascii="Times New Roman" w:hAnsi="Times New Roman"/>
                <w:i/>
                <w:sz w:val="24"/>
                <w:szCs w:val="24"/>
                <w:lang w:eastAsia="sk-SK"/>
              </w:rPr>
              <w:t>Uveďte, aké podnikateľské subjekty budú predkladaným návrhom ovplyvnené.</w:t>
            </w:r>
          </w:p>
          <w:p w:rsidR="004D4E20" w:rsidRPr="004D4E20" w:rsidP="004D4E20">
            <w:pPr>
              <w:widowControl/>
              <w:bidi w:val="0"/>
              <w:adjustRightInd/>
              <w:spacing w:after="0" w:line="240" w:lineRule="auto"/>
              <w:rPr>
                <w:rFonts w:ascii="Times New Roman" w:hAnsi="Times New Roman"/>
                <w:i/>
                <w:sz w:val="24"/>
                <w:szCs w:val="24"/>
                <w:lang w:eastAsia="sk-SK"/>
              </w:rPr>
            </w:pPr>
            <w:r w:rsidRPr="004D4E20">
              <w:rPr>
                <w:rFonts w:ascii="Times New Roman" w:hAnsi="Times New Roman"/>
                <w:i/>
                <w:sz w:val="24"/>
                <w:szCs w:val="24"/>
                <w:lang w:eastAsia="sk-SK"/>
              </w:rPr>
              <w:t>Aký je ich počet?</w:t>
            </w:r>
          </w:p>
        </w:tc>
      </w:tr>
      <w:tr>
        <w:tblPrEx>
          <w:tblW w:w="0" w:type="auto"/>
          <w:tblLook w:val="04A0"/>
        </w:tblPrEx>
        <w:trPr>
          <w:trHeight w:val="1191"/>
        </w:trPr>
        <w:tc>
          <w:tcPr>
            <w:tcW w:w="9322" w:type="dxa"/>
            <w:tcBorders>
              <w:top w:val="single" w:sz="4" w:space="0" w:color="auto"/>
              <w:left w:val="single" w:sz="4" w:space="0" w:color="auto"/>
              <w:bottom w:val="single" w:sz="4" w:space="0" w:color="auto"/>
              <w:right w:val="single" w:sz="4" w:space="0" w:color="auto"/>
            </w:tcBorders>
            <w:textDirection w:val="lrTb"/>
            <w:vAlign w:val="top"/>
          </w:tcPr>
          <w:p w:rsidR="004D4E20" w:rsidRPr="004D4E20" w:rsidP="004D4E20">
            <w:pPr>
              <w:widowControl/>
              <w:bidi w:val="0"/>
              <w:adjustRightInd/>
              <w:spacing w:after="0" w:line="240" w:lineRule="auto"/>
              <w:jc w:val="both"/>
              <w:rPr>
                <w:rFonts w:ascii="Times New Roman" w:hAnsi="Times New Roman"/>
                <w:sz w:val="24"/>
                <w:szCs w:val="24"/>
                <w:lang w:eastAsia="sk-SK"/>
              </w:rPr>
            </w:pPr>
            <w:r w:rsidRPr="004D4E20">
              <w:rPr>
                <w:rFonts w:ascii="Times New Roman" w:hAnsi="Times New Roman"/>
                <w:sz w:val="24"/>
                <w:szCs w:val="24"/>
              </w:rPr>
              <w:t>Návrh zákona o technickej normalizácii a o zmene zákona č. 264/1999 Z. z. o technických požiadavkách na výrobky a o posudzovaní zhody a o zmene a doplnení niektorých zákonov                      v znení neskorších predpisov</w:t>
            </w:r>
            <w:r w:rsidRPr="004D4E20">
              <w:rPr>
                <w:rFonts w:ascii="Times New Roman" w:hAnsi="Times New Roman"/>
                <w:sz w:val="24"/>
                <w:szCs w:val="24"/>
                <w:lang w:eastAsia="sk-SK"/>
              </w:rPr>
              <w:t xml:space="preserve"> (ďalej len „návrh zákona“) ucelene a samostatne rieši práva a povinnosti slovenského národného normalizačného orgánu, základné princípy tvorby slovenských technických noriem a iných normalizačných dokumentov,  financovanie činnosti slovenského normalizačného orgánu a tvorby slovenských technických noriem ako </w:t>
            </w:r>
            <w:r>
              <w:rPr>
                <w:rFonts w:ascii="Times New Roman" w:hAnsi="Times New Roman"/>
                <w:sz w:val="24"/>
                <w:szCs w:val="24"/>
                <w:lang w:eastAsia="sk-SK"/>
              </w:rPr>
              <w:t xml:space="preserve">                          </w:t>
            </w:r>
            <w:r w:rsidRPr="004D4E20">
              <w:rPr>
                <w:rFonts w:ascii="Times New Roman" w:hAnsi="Times New Roman"/>
                <w:sz w:val="24"/>
                <w:szCs w:val="24"/>
                <w:lang w:eastAsia="sk-SK"/>
              </w:rPr>
              <w:t xml:space="preserve">aj poskytovanie slovenských technických noriem za poplatok. V súčasnosti rieši otázku technickej normalizácie zákon č. 264/1999 Z. z. o technických požiadavkách na výrobky </w:t>
            </w:r>
            <w:r>
              <w:rPr>
                <w:rFonts w:ascii="Times New Roman" w:hAnsi="Times New Roman"/>
                <w:sz w:val="24"/>
                <w:szCs w:val="24"/>
                <w:lang w:eastAsia="sk-SK"/>
              </w:rPr>
              <w:t xml:space="preserve">                 </w:t>
            </w:r>
            <w:r w:rsidRPr="004D4E20">
              <w:rPr>
                <w:rFonts w:ascii="Times New Roman" w:hAnsi="Times New Roman"/>
                <w:sz w:val="24"/>
                <w:szCs w:val="24"/>
                <w:lang w:eastAsia="sk-SK"/>
              </w:rPr>
              <w:t>a o posudzovaní zhody a o zmene a doplnení niektorých zákonov v znení neskorších predpisov. Nový návrh zákona nemení rozsah poskytovaných služieb pre podnikateľské prostredie.</w:t>
            </w:r>
          </w:p>
          <w:p w:rsidR="004D4E20" w:rsidRPr="004D4E20" w:rsidP="004D4E20">
            <w:pPr>
              <w:widowControl/>
              <w:bidi w:val="0"/>
              <w:adjustRightInd/>
              <w:spacing w:after="0" w:line="240" w:lineRule="auto"/>
              <w:jc w:val="both"/>
              <w:rPr>
                <w:rFonts w:ascii="Times New Roman" w:hAnsi="Times New Roman"/>
                <w:sz w:val="24"/>
                <w:szCs w:val="24"/>
                <w:lang w:eastAsia="sk-SK"/>
              </w:rPr>
            </w:pPr>
            <w:r w:rsidRPr="004D4E20">
              <w:rPr>
                <w:rFonts w:ascii="Times New Roman" w:hAnsi="Times New Roman"/>
                <w:sz w:val="24"/>
                <w:szCs w:val="24"/>
                <w:lang w:eastAsia="sk-SK"/>
              </w:rPr>
              <w:t xml:space="preserve">Dotknutými subjektmi sú podnikateľské subjekty vrátane malých a stredných podnikov ako </w:t>
            </w:r>
            <w:r>
              <w:rPr>
                <w:rFonts w:ascii="Times New Roman" w:hAnsi="Times New Roman"/>
                <w:sz w:val="24"/>
                <w:szCs w:val="24"/>
                <w:lang w:eastAsia="sk-SK"/>
              </w:rPr>
              <w:t xml:space="preserve">              </w:t>
            </w:r>
            <w:r w:rsidRPr="004D4E20">
              <w:rPr>
                <w:rFonts w:ascii="Times New Roman" w:hAnsi="Times New Roman"/>
                <w:sz w:val="24"/>
                <w:szCs w:val="24"/>
                <w:lang w:eastAsia="sk-SK"/>
              </w:rPr>
              <w:t xml:space="preserve">aj široká technická verejnosť, spotrebitelia a orgány štátnej a verejnej správy, ktorí pri svojej činnosti môžu využívať poznatky z technických noriem, v ktorých sú stanovené technické požiadavky, ktoré má výrobok a služba spĺňať. </w:t>
            </w:r>
          </w:p>
          <w:p w:rsidR="004D4E20" w:rsidRPr="004D4E20" w:rsidP="004D4E20">
            <w:pPr>
              <w:widowControl/>
              <w:bidi w:val="0"/>
              <w:adjustRightInd/>
              <w:spacing w:after="0" w:line="240" w:lineRule="auto"/>
              <w:jc w:val="both"/>
              <w:rPr>
                <w:rFonts w:ascii="Times New Roman" w:hAnsi="Times New Roman"/>
                <w:sz w:val="24"/>
                <w:szCs w:val="24"/>
                <w:lang w:eastAsia="sk-SK"/>
              </w:rPr>
            </w:pPr>
            <w:r w:rsidRPr="004D4E20">
              <w:rPr>
                <w:rFonts w:ascii="Times New Roman" w:hAnsi="Times New Roman"/>
                <w:sz w:val="24"/>
                <w:szCs w:val="24"/>
                <w:lang w:eastAsia="sk-SK"/>
              </w:rPr>
              <w:t xml:space="preserve">Výška poplatkov, ktorú je oprávnený vyberať Úrad pre normalizáciu, metrológiu </w:t>
            </w:r>
            <w:r>
              <w:rPr>
                <w:rFonts w:ascii="Times New Roman" w:hAnsi="Times New Roman"/>
                <w:sz w:val="24"/>
                <w:szCs w:val="24"/>
                <w:lang w:eastAsia="sk-SK"/>
              </w:rPr>
              <w:t xml:space="preserve">                         </w:t>
            </w:r>
            <w:r w:rsidRPr="004D4E20">
              <w:rPr>
                <w:rFonts w:ascii="Times New Roman" w:hAnsi="Times New Roman"/>
                <w:sz w:val="24"/>
                <w:szCs w:val="24"/>
                <w:lang w:eastAsia="sk-SK"/>
              </w:rPr>
              <w:t xml:space="preserve">a skúšobníctvo Slovenskej republiky (ďalej len „úrad“) za poskytovanie slovenských technických noriem a za činnosti súvisiace s poskytovaním slovenských technických noriem, bude mať vplyv na špecifické odvetvie hospodárstva </w:t>
            </w:r>
            <w:r w:rsidRPr="004D4E20">
              <w:rPr>
                <w:rFonts w:ascii="Times New Roman" w:hAnsi="Times New Roman"/>
                <w:b/>
                <w:sz w:val="24"/>
                <w:szCs w:val="24"/>
                <w:lang w:eastAsia="sk-SK"/>
              </w:rPr>
              <w:t xml:space="preserve">- </w:t>
            </w:r>
            <w:r w:rsidRPr="004D4E20">
              <w:rPr>
                <w:rFonts w:ascii="Times New Roman" w:hAnsi="Times New Roman"/>
                <w:sz w:val="24"/>
                <w:szCs w:val="24"/>
                <w:lang w:eastAsia="sk-SK"/>
              </w:rPr>
              <w:t>výrobcov, splnomocnených zástupcov, dovozcov a distribútorov výrobkov a služieb.</w:t>
            </w:r>
            <w:r w:rsidRPr="004D4E20">
              <w:rPr>
                <w:rFonts w:ascii="Times New Roman" w:hAnsi="Times New Roman"/>
                <w:b/>
                <w:sz w:val="24"/>
                <w:szCs w:val="24"/>
                <w:lang w:eastAsia="sk-SK"/>
              </w:rPr>
              <w:t xml:space="preserve"> </w:t>
            </w:r>
            <w:r w:rsidRPr="004D4E20">
              <w:rPr>
                <w:rFonts w:ascii="Times New Roman" w:hAnsi="Times New Roman"/>
                <w:sz w:val="24"/>
                <w:szCs w:val="24"/>
                <w:lang w:eastAsia="sk-SK"/>
              </w:rPr>
              <w:t xml:space="preserve">Výška poplatkov sa nemení v porovnaní </w:t>
            </w:r>
            <w:r>
              <w:rPr>
                <w:rFonts w:ascii="Times New Roman" w:hAnsi="Times New Roman"/>
                <w:sz w:val="24"/>
                <w:szCs w:val="24"/>
                <w:lang w:eastAsia="sk-SK"/>
              </w:rPr>
              <w:t xml:space="preserve">                        </w:t>
            </w:r>
            <w:r w:rsidRPr="004D4E20">
              <w:rPr>
                <w:rFonts w:ascii="Times New Roman" w:hAnsi="Times New Roman"/>
                <w:sz w:val="24"/>
                <w:szCs w:val="24"/>
                <w:lang w:eastAsia="sk-SK"/>
              </w:rPr>
              <w:t>s aktuálnou výškou poplatkov a bude ustanovená vyhláškou.</w:t>
            </w:r>
          </w:p>
          <w:p w:rsidR="004D4E20" w:rsidRPr="004D4E20" w:rsidP="004D4E20">
            <w:pPr>
              <w:widowControl/>
              <w:bidi w:val="0"/>
              <w:adjustRightInd/>
              <w:spacing w:after="0" w:line="240" w:lineRule="auto"/>
              <w:jc w:val="both"/>
              <w:rPr>
                <w:rFonts w:ascii="Times New Roman" w:hAnsi="Times New Roman"/>
                <w:i/>
                <w:sz w:val="24"/>
                <w:szCs w:val="24"/>
                <w:lang w:eastAsia="sk-SK"/>
              </w:rPr>
            </w:pPr>
            <w:r w:rsidRPr="004D4E20">
              <w:rPr>
                <w:rFonts w:ascii="Times New Roman" w:hAnsi="Times New Roman"/>
                <w:sz w:val="24"/>
                <w:szCs w:val="24"/>
                <w:lang w:eastAsia="sk-SK"/>
              </w:rPr>
              <w:t>Približný počet dotknutých subjektov nie je možné určiť nakoľko nie je známy počet používateľov, ktorým úrad  poskytne služby v zmysle návrhu zákona. Približne sa môže určiť počet používateľov elektronickej služby, ktorým sa v minulosti poskytovali služby v zmysle zákona č. 264/1999 Z. z. a sadzobníka a s ktorými je v súčasnosti uzatvorená zmluva. Takýchto zazmluvnených odberateľov je 43. Taktiež je možné určiť počet podnikateľských subjektov, ktorým sa v minulosti poskytli slovenské technické normy a normalizačné dokumenty. Takýchto odberateľov bolo 936.Vzhľadom na dobrovoľnosť slovenských technických noriem a normalizačných dokumentov sa počet podnikateľských subjektov, ktorým úrad poskytne slovenské technické normy a normalizačné dokumenty, môže meniť.</w:t>
            </w:r>
          </w:p>
        </w:tc>
      </w:tr>
      <w:tr>
        <w:tblPrEx>
          <w:tblW w:w="0" w:type="auto"/>
          <w:tblLook w:val="04A0"/>
        </w:tblPrEx>
        <w:trPr>
          <w:trHeight w:val="280"/>
        </w:trPr>
        <w:tc>
          <w:tcPr>
            <w:tcW w:w="932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4D4E20" w:rsidRPr="004D4E20" w:rsidP="004D4E20">
            <w:pPr>
              <w:widowControl/>
              <w:bidi w:val="0"/>
              <w:adjustRightInd/>
              <w:spacing w:after="0" w:line="240" w:lineRule="auto"/>
              <w:rPr>
                <w:rFonts w:ascii="Times New Roman" w:hAnsi="Times New Roman"/>
                <w:b/>
                <w:sz w:val="24"/>
                <w:szCs w:val="24"/>
                <w:lang w:eastAsia="sk-SK"/>
              </w:rPr>
            </w:pPr>
            <w:r w:rsidRPr="004D4E20">
              <w:rPr>
                <w:rFonts w:ascii="Times New Roman" w:hAnsi="Times New Roman"/>
                <w:b/>
                <w:sz w:val="24"/>
                <w:szCs w:val="24"/>
                <w:lang w:eastAsia="sk-SK"/>
              </w:rPr>
              <w:t>3.2 Vyhodnotenie konzultácií</w:t>
            </w:r>
          </w:p>
          <w:p w:rsidR="004D4E20" w:rsidRPr="004D4E20" w:rsidP="004D4E20">
            <w:pPr>
              <w:widowControl/>
              <w:bidi w:val="0"/>
              <w:adjustRightInd/>
              <w:spacing w:after="0" w:line="240" w:lineRule="auto"/>
              <w:rPr>
                <w:rFonts w:ascii="Times New Roman" w:hAnsi="Times New Roman"/>
                <w:b/>
                <w:sz w:val="24"/>
                <w:szCs w:val="24"/>
                <w:lang w:eastAsia="sk-SK"/>
              </w:rPr>
            </w:pPr>
            <w:r w:rsidRPr="004D4E20">
              <w:rPr>
                <w:rFonts w:ascii="Times New Roman" w:hAnsi="Times New Roman"/>
                <w:sz w:val="24"/>
                <w:szCs w:val="24"/>
                <w:lang w:eastAsia="sk-SK"/>
              </w:rPr>
              <w:t xml:space="preserve">       - </w:t>
            </w:r>
            <w:r w:rsidRPr="004D4E20">
              <w:rPr>
                <w:rFonts w:ascii="Times New Roman" w:hAnsi="Times New Roman"/>
                <w:b/>
                <w:sz w:val="24"/>
                <w:szCs w:val="24"/>
                <w:lang w:eastAsia="sk-SK"/>
              </w:rPr>
              <w:t>z toho MSP</w:t>
            </w:r>
          </w:p>
        </w:tc>
      </w:tr>
      <w:tr>
        <w:tblPrEx>
          <w:tblW w:w="0" w:type="auto"/>
          <w:tblLook w:val="04A0"/>
        </w:tblPrEx>
        <w:trPr>
          <w:trHeight w:val="461"/>
        </w:trPr>
        <w:tc>
          <w:tcPr>
            <w:tcW w:w="9322" w:type="dxa"/>
            <w:tcBorders>
              <w:top w:val="single" w:sz="4" w:space="0" w:color="auto"/>
              <w:left w:val="single" w:sz="4" w:space="0" w:color="auto"/>
              <w:bottom w:val="single" w:sz="4" w:space="0" w:color="auto"/>
              <w:right w:val="single" w:sz="4" w:space="0" w:color="auto"/>
            </w:tcBorders>
            <w:textDirection w:val="lrTb"/>
            <w:vAlign w:val="top"/>
          </w:tcPr>
          <w:p w:rsidR="004D4E20" w:rsidRPr="004D4E20" w:rsidP="004D4E20">
            <w:pPr>
              <w:widowControl/>
              <w:bidi w:val="0"/>
              <w:adjustRightInd/>
              <w:spacing w:after="0" w:line="240" w:lineRule="auto"/>
              <w:rPr>
                <w:rFonts w:ascii="Times New Roman" w:hAnsi="Times New Roman"/>
                <w:i/>
                <w:sz w:val="24"/>
                <w:szCs w:val="24"/>
                <w:lang w:eastAsia="sk-SK"/>
              </w:rPr>
            </w:pPr>
            <w:r w:rsidRPr="004D4E20">
              <w:rPr>
                <w:rFonts w:ascii="Times New Roman" w:hAnsi="Times New Roman"/>
                <w:i/>
                <w:sz w:val="24"/>
                <w:szCs w:val="24"/>
                <w:lang w:eastAsia="sk-SK"/>
              </w:rPr>
              <w:t>Uveďte, akou formou (verejné alebo cielené konzultácie a prečo) a s kým bol návrh konzultovaný.</w:t>
            </w:r>
          </w:p>
          <w:p w:rsidR="004D4E20" w:rsidRPr="004D4E20" w:rsidP="004D4E20">
            <w:pPr>
              <w:widowControl/>
              <w:bidi w:val="0"/>
              <w:adjustRightInd/>
              <w:spacing w:after="0" w:line="240" w:lineRule="auto"/>
              <w:rPr>
                <w:rFonts w:ascii="Times New Roman" w:hAnsi="Times New Roman"/>
                <w:i/>
                <w:sz w:val="24"/>
                <w:szCs w:val="24"/>
                <w:lang w:eastAsia="sk-SK"/>
              </w:rPr>
            </w:pPr>
            <w:r w:rsidRPr="004D4E20">
              <w:rPr>
                <w:rFonts w:ascii="Times New Roman" w:hAnsi="Times New Roman"/>
                <w:i/>
                <w:sz w:val="24"/>
                <w:szCs w:val="24"/>
                <w:lang w:eastAsia="sk-SK"/>
              </w:rPr>
              <w:t>Ako dlho trvali konzultácie?</w:t>
            </w:r>
          </w:p>
          <w:p w:rsidR="004D4E20" w:rsidRPr="004D4E20" w:rsidP="004D4E20">
            <w:pPr>
              <w:widowControl/>
              <w:bidi w:val="0"/>
              <w:adjustRightInd/>
              <w:spacing w:after="0" w:line="240" w:lineRule="auto"/>
              <w:rPr>
                <w:rFonts w:ascii="Times New Roman" w:hAnsi="Times New Roman"/>
                <w:i/>
                <w:sz w:val="24"/>
                <w:szCs w:val="24"/>
                <w:lang w:eastAsia="sk-SK"/>
              </w:rPr>
            </w:pPr>
            <w:r w:rsidRPr="004D4E20">
              <w:rPr>
                <w:rFonts w:ascii="Times New Roman" w:hAnsi="Times New Roman"/>
                <w:i/>
                <w:sz w:val="24"/>
                <w:szCs w:val="24"/>
                <w:lang w:eastAsia="sk-SK"/>
              </w:rPr>
              <w:t xml:space="preserve">Uveďte hlavné body konzultácií a výsledky konzultácií. </w:t>
            </w:r>
          </w:p>
        </w:tc>
      </w:tr>
      <w:tr>
        <w:tblPrEx>
          <w:tblW w:w="0" w:type="auto"/>
          <w:tblLook w:val="04A0"/>
        </w:tblPrEx>
        <w:trPr>
          <w:trHeight w:val="1191"/>
        </w:trPr>
        <w:tc>
          <w:tcPr>
            <w:tcW w:w="9322" w:type="dxa"/>
            <w:tcBorders>
              <w:top w:val="single" w:sz="4" w:space="0" w:color="auto"/>
              <w:left w:val="single" w:sz="4" w:space="0" w:color="auto"/>
              <w:bottom w:val="single" w:sz="4" w:space="0" w:color="auto"/>
              <w:right w:val="single" w:sz="4" w:space="0" w:color="auto"/>
            </w:tcBorders>
            <w:textDirection w:val="lrTb"/>
            <w:vAlign w:val="top"/>
          </w:tcPr>
          <w:p w:rsidR="004D4E20" w:rsidRPr="004D4E20" w:rsidP="004D4E20">
            <w:pPr>
              <w:widowControl/>
              <w:bidi w:val="0"/>
              <w:adjustRightInd/>
              <w:spacing w:after="0" w:line="240" w:lineRule="auto"/>
              <w:jc w:val="both"/>
              <w:rPr>
                <w:rFonts w:ascii="Times New Roman" w:hAnsi="Times New Roman"/>
                <w:sz w:val="24"/>
                <w:szCs w:val="24"/>
                <w:lang w:eastAsia="sk-SK"/>
              </w:rPr>
            </w:pPr>
            <w:r w:rsidRPr="004D4E20">
              <w:rPr>
                <w:rFonts w:ascii="Times New Roman" w:hAnsi="Times New Roman"/>
                <w:sz w:val="24"/>
                <w:szCs w:val="24"/>
                <w:lang w:eastAsia="sk-SK"/>
              </w:rPr>
              <w:t xml:space="preserve">Zapojenie subjektov zainteresovaných do činnosti technickej normalizácie, používateľov slovenských technických noriem a ostatnej verejnosti bolo formou zasielania podnetov a návrhov. Cielene boli oslovení členovia Rady pre technickú normalizáciu ako poradného orgánu predsedu úradu. Výzva na zapojenie do prípravy návrhu zákona bola zverejnená </w:t>
            </w:r>
            <w:r>
              <w:rPr>
                <w:rFonts w:ascii="Times New Roman" w:hAnsi="Times New Roman"/>
                <w:sz w:val="24"/>
                <w:szCs w:val="24"/>
                <w:lang w:eastAsia="sk-SK"/>
              </w:rPr>
              <w:t xml:space="preserve">                        </w:t>
            </w:r>
            <w:r w:rsidRPr="004D4E20">
              <w:rPr>
                <w:rFonts w:ascii="Times New Roman" w:hAnsi="Times New Roman"/>
                <w:sz w:val="24"/>
                <w:szCs w:val="24"/>
                <w:lang w:eastAsia="sk-SK"/>
              </w:rPr>
              <w:t>na webovom sídle úradu:</w:t>
            </w:r>
          </w:p>
          <w:p w:rsidR="004D4E20" w:rsidRPr="004D4E20" w:rsidP="004D4E20">
            <w:pPr>
              <w:widowControl/>
              <w:bidi w:val="0"/>
              <w:adjustRightInd/>
              <w:spacing w:after="0" w:line="240" w:lineRule="auto"/>
              <w:rPr>
                <w:rFonts w:ascii="Times New Roman" w:hAnsi="Times New Roman"/>
                <w:sz w:val="24"/>
                <w:szCs w:val="24"/>
                <w:lang w:eastAsia="sk-SK"/>
              </w:rPr>
            </w:pPr>
            <w:hyperlink r:id="rId10" w:anchor="38;sprava=priprava-zakona-o-technickej-normalizacii" w:history="1">
              <w:r w:rsidRPr="004D4E20">
                <w:rPr>
                  <w:rFonts w:ascii="Times New Roman" w:hAnsi="Times New Roman"/>
                  <w:color w:val="0000FF" w:themeColor="hlink" w:themeShade="FF"/>
                  <w:sz w:val="24"/>
                  <w:szCs w:val="24"/>
                  <w:u w:val="single"/>
                  <w:lang w:eastAsia="sk-SK"/>
                </w:rPr>
                <w:t>http://www.unms.sk/?TS&amp;sprava=priprava-zakona-o-technickej-normalizacii</w:t>
              </w:r>
            </w:hyperlink>
          </w:p>
          <w:p w:rsidR="004D4E20" w:rsidRPr="004D4E20" w:rsidP="004D4E20">
            <w:pPr>
              <w:widowControl/>
              <w:bidi w:val="0"/>
              <w:adjustRightInd/>
              <w:spacing w:after="0" w:line="240" w:lineRule="auto"/>
              <w:jc w:val="both"/>
              <w:rPr>
                <w:rFonts w:ascii="Times New Roman" w:hAnsi="Times New Roman"/>
                <w:sz w:val="24"/>
                <w:szCs w:val="24"/>
                <w:lang w:eastAsia="sk-SK"/>
              </w:rPr>
            </w:pPr>
            <w:r w:rsidRPr="004D4E20">
              <w:rPr>
                <w:rFonts w:ascii="Times New Roman" w:hAnsi="Times New Roman"/>
                <w:sz w:val="24"/>
                <w:szCs w:val="24"/>
                <w:lang w:eastAsia="sk-SK"/>
              </w:rPr>
              <w:t xml:space="preserve">Konalo sa jedno stretnutie s prihlásenými účastníkmi, ktorí priamo na stretnutí alebo neskôr e-mailom zaslali pripomienky k návrhu zákona. </w:t>
            </w:r>
          </w:p>
          <w:p w:rsidR="004D4E20" w:rsidRPr="004D4E20" w:rsidP="004D4E20">
            <w:pPr>
              <w:widowControl/>
              <w:bidi w:val="0"/>
              <w:adjustRightInd/>
              <w:spacing w:after="0" w:line="240" w:lineRule="auto"/>
              <w:rPr>
                <w:rFonts w:ascii="Times New Roman" w:hAnsi="Times New Roman"/>
                <w:sz w:val="24"/>
                <w:szCs w:val="24"/>
                <w:lang w:eastAsia="sk-SK"/>
              </w:rPr>
            </w:pPr>
            <w:r w:rsidRPr="004D4E20">
              <w:rPr>
                <w:rFonts w:ascii="Times New Roman" w:hAnsi="Times New Roman"/>
                <w:sz w:val="24"/>
                <w:szCs w:val="24"/>
                <w:lang w:eastAsia="sk-SK"/>
              </w:rPr>
              <w:t>Hlavné body konzultácií a výsledky (zapracovanie do návrhu zákona):</w:t>
            </w:r>
          </w:p>
          <w:p w:rsidR="004D4E20" w:rsidRPr="004D4E20" w:rsidP="004D4E20">
            <w:pPr>
              <w:widowControl/>
              <w:numPr>
                <w:numId w:val="2"/>
              </w:numPr>
              <w:bidi w:val="0"/>
              <w:adjustRightInd/>
              <w:spacing w:after="120" w:line="240" w:lineRule="auto"/>
              <w:contextualSpacing/>
              <w:jc w:val="both"/>
              <w:rPr>
                <w:rFonts w:ascii="Times New Roman" w:hAnsi="Times New Roman"/>
                <w:b/>
                <w:sz w:val="24"/>
                <w:szCs w:val="24"/>
              </w:rPr>
            </w:pPr>
            <w:r w:rsidRPr="004D4E20">
              <w:rPr>
                <w:rFonts w:ascii="Times New Roman" w:hAnsi="Times New Roman"/>
                <w:b/>
                <w:sz w:val="24"/>
                <w:szCs w:val="24"/>
              </w:rPr>
              <w:t>Vymedzenie práv a povinností slovenského národného normalizačného orgánu (ďalej len „NNO“) a  právna forma NNO</w:t>
            </w:r>
          </w:p>
          <w:p w:rsidR="004D4E20" w:rsidRPr="004D4E20" w:rsidP="004D4E20">
            <w:pPr>
              <w:widowControl/>
              <w:bidi w:val="0"/>
              <w:adjustRightInd/>
              <w:spacing w:after="120" w:line="240" w:lineRule="auto"/>
              <w:jc w:val="both"/>
              <w:rPr>
                <w:rFonts w:ascii="Times New Roman" w:hAnsi="Times New Roman"/>
                <w:sz w:val="24"/>
                <w:szCs w:val="24"/>
                <w:lang w:eastAsia="sk-SK"/>
              </w:rPr>
            </w:pPr>
            <w:r w:rsidRPr="004D4E20">
              <w:rPr>
                <w:rFonts w:ascii="Times New Roman" w:hAnsi="Times New Roman"/>
                <w:sz w:val="24"/>
                <w:szCs w:val="24"/>
                <w:lang w:eastAsia="sk-SK"/>
              </w:rPr>
              <w:t>Práva a povinnosti NNO sú v návrhu zákona ustanovené v súlade s nariadením č. 1025/2012 (EÚ) o európskej normalizácii (zakladajúce zásady - koherencia, transparentnosť, otvorenosť, konsenzus, dobrovoľné uplatňovanie, nezávislosť od osobitných záujmov a efektívnosť) a s vnútornými pokynmi európskych a medzinárodných normalizačných organizácií. Formulácia zákona zabezpečuje prístup zainteresovaných účastníkov a širokej verejnosti k normalizačnej činnosti a k vydaným normám a normalizačným dokumentom v súlade so záväzkami NNO vyplývajúcimi z povinností člena v uvedených normalizačných organizáciách. V návrhu zákona je explicitne stanovená zodpovednosť úradu za jazykovú a terminologickú správnosť vydanej slovenskej technickej normy a normalizačného dokumentu. Právna forma NNO vychádza zo súčasného stavu a zo skutočnosti, že úrad prešiel úspešne auditom CEN/CENELEC podľa Pokynu CEN/CENELEC č. 20 stanovujúceho kritériá členstva v CEN/CENELEC a bol valným zhromaždením prijatý za člena oboch organizácií, čím bolo preukázané, že spĺňa požadované kritériá. Právna nezávislosť je zabezpečená Radou pre technickú normalizáciu, ktorá je v návrhu zákona definovaná ako nezávislý orgán zriadený pri úrade. Na zabezpečenie finančnej samostatnosti sa zvažuje vyčlenenie rozpočtu pre odbor technickej normalizácie, ktorý zabezpečuje tvorbu slovesných technických noriem v rámci úradu.</w:t>
            </w:r>
          </w:p>
          <w:p w:rsidR="004D4E20" w:rsidRPr="004D4E20" w:rsidP="004D4E20">
            <w:pPr>
              <w:widowControl/>
              <w:numPr>
                <w:numId w:val="2"/>
              </w:numPr>
              <w:bidi w:val="0"/>
              <w:adjustRightInd/>
              <w:spacing w:before="240" w:after="120" w:line="240" w:lineRule="auto"/>
              <w:contextualSpacing/>
              <w:jc w:val="both"/>
              <w:rPr>
                <w:rFonts w:ascii="Times New Roman" w:hAnsi="Times New Roman"/>
                <w:b/>
                <w:sz w:val="24"/>
                <w:szCs w:val="24"/>
              </w:rPr>
            </w:pPr>
            <w:r w:rsidRPr="004D4E20">
              <w:rPr>
                <w:rFonts w:ascii="Times New Roman" w:hAnsi="Times New Roman"/>
                <w:b/>
                <w:sz w:val="24"/>
                <w:szCs w:val="24"/>
              </w:rPr>
              <w:t>Vydávanie slovenských technických noriem v štátnom jazyku</w:t>
            </w:r>
          </w:p>
          <w:p w:rsidR="004D4E20" w:rsidRPr="004D4E20" w:rsidP="004D4E20">
            <w:pPr>
              <w:widowControl/>
              <w:bidi w:val="0"/>
              <w:adjustRightInd/>
              <w:spacing w:after="120" w:line="240" w:lineRule="auto"/>
              <w:jc w:val="both"/>
              <w:rPr>
                <w:rFonts w:ascii="Times New Roman" w:hAnsi="Times New Roman"/>
                <w:sz w:val="24"/>
                <w:szCs w:val="24"/>
                <w:lang w:eastAsia="sk-SK"/>
              </w:rPr>
            </w:pPr>
            <w:r w:rsidRPr="004D4E20">
              <w:rPr>
                <w:rFonts w:ascii="Times New Roman" w:hAnsi="Times New Roman"/>
                <w:sz w:val="24"/>
                <w:szCs w:val="24"/>
                <w:lang w:eastAsia="sk-SK"/>
              </w:rPr>
              <w:t>Súčasne platný zákon č. 264/1999 Z. z. aj návrh zákona vymedzuje priority v súvislosti s prekladom technických noriem, ktoré sa zameriavajú na tie oblasti, ktoré súvisia s legislatívou alebo iným spôsobom zabezpečujú oprávnený záujem. Na základe splnomocnenia vyplývajúceho z návrhu zákona stanoví NNO kritériá, na základe ktorých budú určené jednotlivé položky, ktoré budú podmieňovať zavedenie technickej normy v štátnom jazyku (napr. harmonizované normy, normy na posudzovanie a overovanie nemennosti parametrov stavebných výrobkov, bezpečnostné normy, normy súvisiace s ochranou oprávneného záujmu, normy na podporu legislatívy, priority stanovené technickými komisiami (TK), terminologické normy atď.). Kritériá zostaví NNO a schváli Rada pre technickú normalizáciu.</w:t>
            </w:r>
          </w:p>
          <w:p w:rsidR="004D4E20" w:rsidRPr="004D4E20" w:rsidP="004D4E20">
            <w:pPr>
              <w:widowControl/>
              <w:bidi w:val="0"/>
              <w:adjustRightInd/>
              <w:spacing w:after="120" w:line="240" w:lineRule="auto"/>
              <w:jc w:val="both"/>
              <w:rPr>
                <w:rFonts w:ascii="Times New Roman" w:hAnsi="Times New Roman"/>
                <w:sz w:val="24"/>
                <w:szCs w:val="24"/>
                <w:lang w:eastAsia="sk-SK"/>
              </w:rPr>
            </w:pPr>
            <w:r w:rsidRPr="004D4E20">
              <w:rPr>
                <w:rFonts w:ascii="Times New Roman" w:hAnsi="Times New Roman"/>
                <w:sz w:val="24"/>
                <w:szCs w:val="24"/>
                <w:lang w:eastAsia="sk-SK"/>
              </w:rPr>
              <w:t>Počet noriem preberaných v štátnom jazyku je limitovaný personálnym a finančným zabezpečením NNO. Nie je možné zabezpečiť preklad všetkých vydávaných slovenských technických noriem do štátneho jazyka, keďže preklad sa v prevažnej miere hradí zo štátneho rozpočtu. Preto je potrebné stanovovať kritériá výberu na preklad. V zahraničí je bežnou praxou, že podnikateľské subjekty aj finančne prispievajú na tvorbu a preberanie technických noriem tam, kde ich tvorba, resp. prevzatie prispievajú k ich konkurencieschopnosti.</w:t>
            </w:r>
          </w:p>
          <w:p w:rsidR="004D4E20" w:rsidRPr="004D4E20" w:rsidP="004D4E20">
            <w:pPr>
              <w:widowControl/>
              <w:numPr>
                <w:numId w:val="2"/>
              </w:numPr>
              <w:bidi w:val="0"/>
              <w:adjustRightInd/>
              <w:spacing w:after="120" w:line="240" w:lineRule="auto"/>
              <w:contextualSpacing/>
              <w:jc w:val="both"/>
              <w:rPr>
                <w:rFonts w:ascii="Times New Roman" w:hAnsi="Times New Roman"/>
                <w:b/>
                <w:sz w:val="24"/>
                <w:szCs w:val="24"/>
              </w:rPr>
            </w:pPr>
            <w:r w:rsidRPr="004D4E20">
              <w:rPr>
                <w:rFonts w:ascii="Times New Roman" w:hAnsi="Times New Roman"/>
                <w:b/>
                <w:sz w:val="24"/>
                <w:szCs w:val="24"/>
              </w:rPr>
              <w:t>Zozáväzňovanie noriem</w:t>
            </w:r>
          </w:p>
          <w:p w:rsidR="004D4E20" w:rsidRPr="004D4E20" w:rsidP="004D4E20">
            <w:pPr>
              <w:widowControl/>
              <w:bidi w:val="0"/>
              <w:adjustRightInd/>
              <w:spacing w:after="120" w:line="240" w:lineRule="auto"/>
              <w:jc w:val="both"/>
              <w:rPr>
                <w:rFonts w:ascii="Times New Roman" w:hAnsi="Times New Roman"/>
                <w:sz w:val="24"/>
                <w:szCs w:val="24"/>
                <w:lang w:eastAsia="sk-SK"/>
              </w:rPr>
            </w:pPr>
            <w:r w:rsidRPr="004D4E20">
              <w:rPr>
                <w:rFonts w:ascii="Times New Roman" w:hAnsi="Times New Roman"/>
                <w:sz w:val="24"/>
                <w:szCs w:val="24"/>
                <w:lang w:eastAsia="sk-SK"/>
              </w:rPr>
              <w:t xml:space="preserve">Návrh nového zákona počíta aj naďalej v odôvodnených prípadoch s možnosťou uvádzania noriem z pozície ministerstiev a ostatných ústredných orgánov štátnej správy v rámci ich pôsobnosti vymedzenej kompetenčným zákonom v texte právneho predpisu. V takomto prípade NNO navrhuje, aby príslušné rezorty hradili, resp. refundovali náklady NNO </w:t>
            </w:r>
            <w:r>
              <w:rPr>
                <w:rFonts w:ascii="Times New Roman" w:hAnsi="Times New Roman"/>
                <w:sz w:val="24"/>
                <w:szCs w:val="24"/>
                <w:lang w:eastAsia="sk-SK"/>
              </w:rPr>
              <w:t xml:space="preserve">                     </w:t>
            </w:r>
            <w:r w:rsidRPr="004D4E20">
              <w:rPr>
                <w:rFonts w:ascii="Times New Roman" w:hAnsi="Times New Roman"/>
                <w:sz w:val="24"/>
                <w:szCs w:val="24"/>
                <w:lang w:eastAsia="sk-SK"/>
              </w:rPr>
              <w:t>na spracovanie a poskytovanie takýchto noriem. Uvedené normy by v takom prípade boli  poskytované verejnosti za zvýhodnené poplatky, resp. bezplatne.</w:t>
            </w:r>
          </w:p>
          <w:p w:rsidR="004D4E20" w:rsidRPr="004D4E20" w:rsidP="004D4E20">
            <w:pPr>
              <w:widowControl/>
              <w:numPr>
                <w:numId w:val="2"/>
              </w:numPr>
              <w:bidi w:val="0"/>
              <w:adjustRightInd/>
              <w:spacing w:after="120" w:line="240" w:lineRule="auto"/>
              <w:ind w:left="714" w:hanging="357"/>
              <w:contextualSpacing/>
              <w:jc w:val="both"/>
              <w:rPr>
                <w:rFonts w:ascii="Times New Roman" w:hAnsi="Times New Roman"/>
                <w:sz w:val="24"/>
                <w:szCs w:val="24"/>
              </w:rPr>
            </w:pPr>
            <w:r w:rsidRPr="004D4E20">
              <w:rPr>
                <w:rFonts w:ascii="Times New Roman" w:hAnsi="Times New Roman"/>
                <w:b/>
                <w:sz w:val="24"/>
                <w:szCs w:val="24"/>
              </w:rPr>
              <w:t>Zodpovednosť za vecnú, jazykovú a terminologickú správnosť technických noriem,   neakceptovanie pripomienok k návrhom technických noriem od odborníkov</w:t>
            </w:r>
          </w:p>
          <w:p w:rsidR="004D4E20" w:rsidRPr="004D4E20" w:rsidP="004D4E20">
            <w:pPr>
              <w:widowControl/>
              <w:bidi w:val="0"/>
              <w:adjustRightInd/>
              <w:spacing w:after="120" w:line="240" w:lineRule="auto"/>
              <w:jc w:val="both"/>
              <w:rPr>
                <w:rFonts w:ascii="Times New Roman" w:hAnsi="Times New Roman"/>
                <w:sz w:val="24"/>
                <w:szCs w:val="24"/>
                <w:lang w:eastAsia="sk-SK"/>
              </w:rPr>
            </w:pPr>
            <w:r w:rsidRPr="004D4E20">
              <w:rPr>
                <w:rFonts w:ascii="Times New Roman" w:hAnsi="Times New Roman"/>
                <w:sz w:val="24"/>
                <w:szCs w:val="24"/>
                <w:lang w:eastAsia="sk-SK"/>
              </w:rPr>
              <w:t xml:space="preserve">Zodpovednosť za jazykovú a terminologickú správnosť noriem má podľa zákona NNO. Predpokladá sa, že na norme bude uvedená technická komisia, čo umožní v prípade potreby vyhľadať kontakt na pracovníka NNO zodpovedného za danú oblasť ako tajomníka technickej komisie. V súvislosti s pripomienkou, že sa neakceptujú pripomienky odborníkov, je v návrhu zákona zavedený štatút rozporového konania k návrhu slovenskej technickej normy s pripomienkovateľom v prípade, že bude predložená zásadná pripomienka. Zásadnou pripomienkou je odôvodnený zásadný nesúhlas s technickým riešením.  </w:t>
            </w:r>
          </w:p>
          <w:p w:rsidR="004D4E20" w:rsidRPr="004D4E20" w:rsidP="004D4E20">
            <w:pPr>
              <w:widowControl/>
              <w:numPr>
                <w:numId w:val="2"/>
              </w:numPr>
              <w:bidi w:val="0"/>
              <w:adjustRightInd/>
              <w:spacing w:before="240" w:after="120" w:line="240" w:lineRule="auto"/>
              <w:contextualSpacing/>
              <w:jc w:val="both"/>
              <w:rPr>
                <w:rFonts w:ascii="Times New Roman" w:hAnsi="Times New Roman"/>
                <w:b/>
                <w:sz w:val="24"/>
                <w:szCs w:val="24"/>
              </w:rPr>
            </w:pPr>
            <w:r w:rsidRPr="004D4E20">
              <w:rPr>
                <w:rFonts w:ascii="Times New Roman" w:hAnsi="Times New Roman"/>
                <w:b/>
                <w:sz w:val="24"/>
                <w:szCs w:val="24"/>
              </w:rPr>
              <w:t>Zabezpečenie efektívnejšieho a finančne menej náročného prístupu k normám</w:t>
            </w:r>
          </w:p>
          <w:p w:rsidR="004D4E20" w:rsidRPr="004D4E20" w:rsidP="004D4E20">
            <w:pPr>
              <w:widowControl/>
              <w:shd w:val="clear" w:color="auto" w:fill="FFFFFF"/>
              <w:bidi w:val="0"/>
              <w:adjustRightInd/>
              <w:spacing w:after="0" w:line="240" w:lineRule="auto"/>
              <w:jc w:val="both"/>
              <w:rPr>
                <w:rFonts w:ascii="Times New Roman" w:hAnsi="Times New Roman"/>
                <w:sz w:val="24"/>
                <w:szCs w:val="24"/>
                <w:lang w:eastAsia="sk-SK"/>
              </w:rPr>
            </w:pPr>
            <w:r w:rsidRPr="004D4E20">
              <w:rPr>
                <w:rFonts w:ascii="Times New Roman" w:hAnsi="Times New Roman"/>
                <w:sz w:val="24"/>
                <w:szCs w:val="24"/>
                <w:lang w:eastAsia="sk-SK"/>
              </w:rPr>
              <w:t xml:space="preserve">Tvorba poplatkov za slovenské technické normy vychádza zo skutočných nákladov vynaložených na tvorbu slovenských technických noriem a režijných a vecných nákladov </w:t>
            </w:r>
            <w:r>
              <w:rPr>
                <w:rFonts w:ascii="Times New Roman" w:hAnsi="Times New Roman"/>
                <w:sz w:val="24"/>
                <w:szCs w:val="24"/>
                <w:lang w:eastAsia="sk-SK"/>
              </w:rPr>
              <w:t xml:space="preserve">                   </w:t>
            </w:r>
            <w:r w:rsidRPr="004D4E20">
              <w:rPr>
                <w:rFonts w:ascii="Times New Roman" w:hAnsi="Times New Roman"/>
                <w:sz w:val="24"/>
                <w:szCs w:val="24"/>
                <w:lang w:eastAsia="sk-SK"/>
              </w:rPr>
              <w:t>na ich vydávanie.</w:t>
            </w:r>
          </w:p>
          <w:p w:rsidR="004D4E20" w:rsidRPr="004D4E20" w:rsidP="004D4E20">
            <w:pPr>
              <w:widowControl/>
              <w:shd w:val="clear" w:color="auto" w:fill="FFFFFF"/>
              <w:bidi w:val="0"/>
              <w:adjustRightInd/>
              <w:spacing w:after="0" w:line="240" w:lineRule="auto"/>
              <w:jc w:val="both"/>
              <w:rPr>
                <w:rFonts w:ascii="Times New Roman" w:hAnsi="Times New Roman"/>
                <w:sz w:val="24"/>
                <w:szCs w:val="24"/>
                <w:lang w:eastAsia="sk-SK"/>
              </w:rPr>
            </w:pPr>
            <w:r w:rsidRPr="004D4E20">
              <w:rPr>
                <w:rFonts w:ascii="Times New Roman" w:hAnsi="Times New Roman"/>
                <w:sz w:val="24"/>
                <w:szCs w:val="24"/>
                <w:lang w:eastAsia="sk-SK"/>
              </w:rPr>
              <w:t xml:space="preserve">Poplatok sa tvorí z alikvotných nákladov za preklad, za prácu zamestnanca NNO vykonávajúceho odborné práce na slovenskej technickej norme, z nákladov na grafické úpravy, na tlač a súvisiaci materiál. </w:t>
            </w:r>
          </w:p>
          <w:p w:rsidR="004D4E20" w:rsidRPr="004D4E20" w:rsidP="004D4E20">
            <w:pPr>
              <w:widowControl/>
              <w:shd w:val="clear" w:color="auto" w:fill="FFFFFF"/>
              <w:bidi w:val="0"/>
              <w:adjustRightInd/>
              <w:spacing w:after="0" w:line="240" w:lineRule="auto"/>
              <w:jc w:val="both"/>
              <w:rPr>
                <w:rFonts w:ascii="Times New Roman" w:hAnsi="Times New Roman"/>
                <w:sz w:val="24"/>
                <w:szCs w:val="24"/>
                <w:lang w:eastAsia="sk-SK"/>
              </w:rPr>
            </w:pPr>
            <w:r w:rsidRPr="004D4E20">
              <w:rPr>
                <w:rFonts w:ascii="Times New Roman" w:hAnsi="Times New Roman"/>
                <w:sz w:val="24"/>
                <w:szCs w:val="24"/>
                <w:lang w:eastAsia="sk-SK"/>
              </w:rPr>
              <w:t>Finančné zdroje získané za poskytovanie technických noriem sú príjmom štátneho rozpočtu.</w:t>
            </w:r>
          </w:p>
          <w:p w:rsidR="004D4E20" w:rsidRPr="004D4E20" w:rsidP="004D4E20">
            <w:pPr>
              <w:widowControl/>
              <w:bidi w:val="0"/>
              <w:adjustRightInd/>
              <w:spacing w:after="0" w:line="240" w:lineRule="auto"/>
              <w:rPr>
                <w:rFonts w:ascii="Times New Roman" w:hAnsi="Times New Roman"/>
                <w:i/>
                <w:sz w:val="24"/>
                <w:szCs w:val="24"/>
                <w:lang w:eastAsia="sk-SK"/>
              </w:rPr>
            </w:pPr>
            <w:r w:rsidRPr="004D4E20">
              <w:rPr>
                <w:rFonts w:ascii="Times New Roman" w:hAnsi="Times New Roman"/>
                <w:i/>
                <w:sz w:val="24"/>
                <w:szCs w:val="24"/>
                <w:lang w:eastAsia="sk-SK"/>
              </w:rPr>
              <w:t xml:space="preserve"> </w:t>
            </w:r>
          </w:p>
        </w:tc>
      </w:tr>
      <w:tr>
        <w:tblPrEx>
          <w:tblW w:w="0" w:type="auto"/>
          <w:tblLook w:val="04A0"/>
        </w:tblPrEx>
        <w:trPr>
          <w:trHeight w:val="119"/>
        </w:trPr>
        <w:tc>
          <w:tcPr>
            <w:tcW w:w="932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4D4E20" w:rsidRPr="004D4E20" w:rsidP="004D4E20">
            <w:pPr>
              <w:widowControl/>
              <w:bidi w:val="0"/>
              <w:adjustRightInd/>
              <w:spacing w:after="0" w:line="240" w:lineRule="auto"/>
              <w:rPr>
                <w:rFonts w:ascii="Times New Roman" w:hAnsi="Times New Roman"/>
                <w:b/>
                <w:sz w:val="24"/>
                <w:szCs w:val="24"/>
                <w:lang w:eastAsia="sk-SK"/>
              </w:rPr>
            </w:pPr>
            <w:r w:rsidRPr="004D4E20">
              <w:rPr>
                <w:rFonts w:ascii="Times New Roman" w:hAnsi="Times New Roman"/>
                <w:b/>
                <w:sz w:val="24"/>
                <w:szCs w:val="24"/>
                <w:lang w:eastAsia="sk-SK"/>
              </w:rPr>
              <w:t>3.3 Náklady regulácie</w:t>
            </w:r>
          </w:p>
          <w:p w:rsidR="004D4E20" w:rsidRPr="004D4E20" w:rsidP="004D4E20">
            <w:pPr>
              <w:widowControl/>
              <w:bidi w:val="0"/>
              <w:adjustRightInd/>
              <w:spacing w:after="0" w:line="240" w:lineRule="auto"/>
              <w:rPr>
                <w:rFonts w:ascii="Times New Roman" w:hAnsi="Times New Roman"/>
                <w:b/>
                <w:sz w:val="24"/>
                <w:szCs w:val="24"/>
                <w:lang w:eastAsia="sk-SK"/>
              </w:rPr>
            </w:pPr>
            <w:r w:rsidRPr="004D4E20">
              <w:rPr>
                <w:rFonts w:ascii="Times New Roman" w:hAnsi="Times New Roman"/>
                <w:sz w:val="24"/>
                <w:szCs w:val="24"/>
                <w:lang w:eastAsia="sk-SK"/>
              </w:rPr>
              <w:t xml:space="preserve">      - </w:t>
            </w:r>
            <w:r w:rsidRPr="004D4E20">
              <w:rPr>
                <w:rFonts w:ascii="Times New Roman" w:hAnsi="Times New Roman"/>
                <w:b/>
                <w:sz w:val="24"/>
                <w:szCs w:val="24"/>
                <w:lang w:eastAsia="sk-SK"/>
              </w:rPr>
              <w:t>z toho MSP</w:t>
            </w:r>
          </w:p>
        </w:tc>
      </w:tr>
      <w:tr>
        <w:tblPrEx>
          <w:tblW w:w="0" w:type="auto"/>
          <w:tblLook w:val="04A0"/>
        </w:tblPrEx>
        <w:trPr>
          <w:trHeight w:val="119"/>
        </w:trPr>
        <w:tc>
          <w:tcPr>
            <w:tcW w:w="9322" w:type="dxa"/>
            <w:tcBorders>
              <w:top w:val="single" w:sz="4" w:space="0" w:color="auto"/>
              <w:left w:val="single" w:sz="4" w:space="0" w:color="auto"/>
              <w:bottom w:val="single" w:sz="4" w:space="0" w:color="auto"/>
              <w:right w:val="single" w:sz="4" w:space="0" w:color="auto"/>
            </w:tcBorders>
            <w:textDirection w:val="lrTb"/>
            <w:vAlign w:val="top"/>
          </w:tcPr>
          <w:p w:rsidR="004D4E20" w:rsidRPr="004D4E20" w:rsidP="004D4E20">
            <w:pPr>
              <w:widowControl/>
              <w:bidi w:val="0"/>
              <w:adjustRightInd/>
              <w:spacing w:after="0" w:line="240" w:lineRule="auto"/>
              <w:rPr>
                <w:rFonts w:ascii="Times New Roman" w:hAnsi="Times New Roman"/>
                <w:b/>
                <w:i/>
                <w:sz w:val="24"/>
                <w:szCs w:val="24"/>
                <w:lang w:eastAsia="sk-SK"/>
              </w:rPr>
            </w:pPr>
            <w:r w:rsidRPr="004D4E20">
              <w:rPr>
                <w:rFonts w:ascii="Times New Roman" w:hAnsi="Times New Roman"/>
                <w:b/>
                <w:i/>
                <w:sz w:val="24"/>
                <w:szCs w:val="24"/>
                <w:lang w:eastAsia="sk-SK"/>
              </w:rPr>
              <w:t>3.3.1 Priame finančné náklady</w:t>
            </w:r>
          </w:p>
          <w:p w:rsidR="004D4E20" w:rsidRPr="004D4E20" w:rsidP="004D4E20">
            <w:pPr>
              <w:widowControl/>
              <w:bidi w:val="0"/>
              <w:adjustRightInd/>
              <w:spacing w:after="0" w:line="240" w:lineRule="auto"/>
              <w:rPr>
                <w:rFonts w:ascii="Times New Roman" w:hAnsi="Times New Roman"/>
                <w:i/>
                <w:sz w:val="24"/>
                <w:szCs w:val="24"/>
                <w:lang w:eastAsia="sk-SK"/>
              </w:rPr>
            </w:pPr>
            <w:r w:rsidRPr="004D4E20">
              <w:rPr>
                <w:rFonts w:ascii="Times New Roman" w:hAnsi="Times New Roman"/>
                <w:i/>
                <w:sz w:val="24"/>
                <w:szCs w:val="24"/>
                <w:lang w:eastAsia="sk-SK"/>
              </w:rPr>
              <w:t xml:space="preserve">Dochádza k zvýšeniu/zníženiu priamych finančných nákladov (poplatky, odvody, dane clá...)? Ak áno, popíšte a vyčíslite ich. Uveďte tiež spôsob ich výpočtu. </w:t>
            </w:r>
          </w:p>
        </w:tc>
      </w:tr>
      <w:tr>
        <w:tblPrEx>
          <w:tblW w:w="0" w:type="auto"/>
          <w:tblLook w:val="04A0"/>
        </w:tblPrEx>
        <w:trPr>
          <w:trHeight w:val="119"/>
        </w:trPr>
        <w:tc>
          <w:tcPr>
            <w:tcW w:w="9322" w:type="dxa"/>
            <w:tcBorders>
              <w:top w:val="single" w:sz="4" w:space="0" w:color="auto"/>
              <w:left w:val="single" w:sz="4" w:space="0" w:color="auto"/>
              <w:bottom w:val="single" w:sz="4" w:space="0" w:color="auto"/>
              <w:right w:val="single" w:sz="4" w:space="0" w:color="auto"/>
            </w:tcBorders>
            <w:textDirection w:val="lrTb"/>
            <w:vAlign w:val="top"/>
          </w:tcPr>
          <w:p w:rsidR="004D4E20" w:rsidRPr="004D4E20" w:rsidP="004D4E20">
            <w:pPr>
              <w:widowControl/>
              <w:bidi w:val="0"/>
              <w:adjustRightInd/>
              <w:spacing w:after="0" w:line="240" w:lineRule="auto"/>
              <w:rPr>
                <w:rFonts w:ascii="Times New Roman" w:hAnsi="Times New Roman"/>
                <w:b/>
                <w:i/>
                <w:sz w:val="24"/>
                <w:szCs w:val="24"/>
                <w:lang w:eastAsia="sk-SK"/>
              </w:rPr>
            </w:pPr>
          </w:p>
          <w:p w:rsidR="004D4E20" w:rsidRPr="004D4E20" w:rsidP="004D4E20">
            <w:pPr>
              <w:widowControl/>
              <w:bidi w:val="0"/>
              <w:adjustRightInd/>
              <w:spacing w:after="0" w:line="240" w:lineRule="auto"/>
              <w:rPr>
                <w:rFonts w:ascii="Times New Roman" w:hAnsi="Times New Roman"/>
                <w:b/>
                <w:sz w:val="24"/>
                <w:szCs w:val="24"/>
                <w:lang w:eastAsia="sk-SK"/>
              </w:rPr>
            </w:pPr>
            <w:r w:rsidRPr="004D4E20">
              <w:rPr>
                <w:rFonts w:ascii="Times New Roman" w:hAnsi="Times New Roman"/>
                <w:b/>
                <w:sz w:val="24"/>
                <w:szCs w:val="24"/>
                <w:lang w:eastAsia="sk-SK"/>
              </w:rPr>
              <w:t>Nedochádza k zvýšeniu priamych nákladov</w:t>
            </w:r>
          </w:p>
          <w:p w:rsidR="004D4E20" w:rsidRPr="004D4E20" w:rsidP="004D4E20">
            <w:pPr>
              <w:widowControl/>
              <w:bidi w:val="0"/>
              <w:adjustRightInd/>
              <w:spacing w:after="0" w:line="240" w:lineRule="auto"/>
              <w:rPr>
                <w:rFonts w:ascii="Times New Roman" w:hAnsi="Times New Roman"/>
                <w:sz w:val="24"/>
                <w:szCs w:val="24"/>
                <w:lang w:eastAsia="sk-SK"/>
              </w:rPr>
            </w:pPr>
            <w:r w:rsidRPr="004D4E20">
              <w:rPr>
                <w:rFonts w:ascii="Times New Roman" w:hAnsi="Times New Roman"/>
                <w:sz w:val="24"/>
                <w:szCs w:val="24"/>
                <w:lang w:eastAsia="sk-SK"/>
              </w:rPr>
              <w:t xml:space="preserve">K zníženiu priamych finančných nákladov dochádza u spracovateľov pôvodných slovenských technických noriem, ktorým bude poskytnutá  pôvodná slovenská technická norma a pôvodný normalizačný dokument za zníženú cenu. Zníženie finančných nákladov závisí od množstva pôvodných slovenských technických noriem a pôvodných normalizačných dokumentov, na ktorých sa budú podielať. </w:t>
            </w:r>
          </w:p>
          <w:p w:rsidR="004D4E20" w:rsidRPr="004D4E20" w:rsidP="004D4E20">
            <w:pPr>
              <w:widowControl/>
              <w:bidi w:val="0"/>
              <w:adjustRightInd/>
              <w:spacing w:after="0" w:line="240" w:lineRule="auto"/>
              <w:rPr>
                <w:rFonts w:ascii="Times New Roman" w:hAnsi="Times New Roman"/>
                <w:b/>
                <w:i/>
                <w:sz w:val="24"/>
                <w:szCs w:val="24"/>
                <w:lang w:eastAsia="sk-SK"/>
              </w:rPr>
            </w:pPr>
          </w:p>
        </w:tc>
      </w:tr>
      <w:tr>
        <w:tblPrEx>
          <w:tblW w:w="0" w:type="auto"/>
          <w:tblLook w:val="04A0"/>
        </w:tblPrEx>
        <w:trPr>
          <w:trHeight w:val="119"/>
        </w:trPr>
        <w:tc>
          <w:tcPr>
            <w:tcW w:w="9322" w:type="dxa"/>
            <w:tcBorders>
              <w:top w:val="single" w:sz="4" w:space="0" w:color="auto"/>
              <w:left w:val="single" w:sz="4" w:space="0" w:color="auto"/>
              <w:bottom w:val="single" w:sz="4" w:space="0" w:color="auto"/>
              <w:right w:val="single" w:sz="4" w:space="0" w:color="auto"/>
            </w:tcBorders>
            <w:textDirection w:val="lrTb"/>
            <w:vAlign w:val="top"/>
          </w:tcPr>
          <w:p w:rsidR="004D4E20" w:rsidRPr="004D4E20" w:rsidP="004D4E20">
            <w:pPr>
              <w:widowControl/>
              <w:bidi w:val="0"/>
              <w:adjustRightInd/>
              <w:spacing w:after="0" w:line="240" w:lineRule="auto"/>
              <w:rPr>
                <w:rFonts w:ascii="Times New Roman" w:hAnsi="Times New Roman"/>
                <w:b/>
                <w:i/>
                <w:sz w:val="24"/>
                <w:szCs w:val="24"/>
                <w:lang w:eastAsia="sk-SK"/>
              </w:rPr>
            </w:pPr>
            <w:r w:rsidRPr="004D4E20">
              <w:rPr>
                <w:rFonts w:ascii="Times New Roman" w:hAnsi="Times New Roman"/>
                <w:b/>
                <w:i/>
                <w:sz w:val="24"/>
                <w:szCs w:val="24"/>
                <w:lang w:eastAsia="sk-SK"/>
              </w:rPr>
              <w:t>3.3.2 Nepriame finančné náklady</w:t>
            </w:r>
          </w:p>
          <w:p w:rsidR="004D4E20" w:rsidRPr="004D4E20" w:rsidP="004D4E20">
            <w:pPr>
              <w:widowControl/>
              <w:bidi w:val="0"/>
              <w:adjustRightInd/>
              <w:spacing w:after="0" w:line="240" w:lineRule="auto"/>
              <w:rPr>
                <w:rFonts w:ascii="Times New Roman" w:hAnsi="Times New Roman"/>
                <w:i/>
                <w:sz w:val="24"/>
                <w:szCs w:val="24"/>
                <w:lang w:eastAsia="sk-SK"/>
              </w:rPr>
            </w:pPr>
            <w:r w:rsidRPr="004D4E20">
              <w:rPr>
                <w:rFonts w:ascii="Times New Roman" w:hAnsi="Times New Roman"/>
                <w:i/>
                <w:sz w:val="24"/>
                <w:szCs w:val="24"/>
                <w:lang w:eastAsia="sk-SK"/>
              </w:rPr>
              <w:t>Vyžaduje si predkladaný návrh dodatočné náklady na nákup tovarov alebo služieb? Zvyšuje predkladaný návrh náklady súvisiace so zamestnávaním? Ak áno, popíšte a vyčíslite ich. Uveďte tiež spôsob ich výpočtu.</w:t>
            </w:r>
          </w:p>
        </w:tc>
      </w:tr>
      <w:tr>
        <w:tblPrEx>
          <w:tblW w:w="0" w:type="auto"/>
          <w:tblLook w:val="04A0"/>
        </w:tblPrEx>
        <w:trPr>
          <w:trHeight w:val="119"/>
        </w:trPr>
        <w:tc>
          <w:tcPr>
            <w:tcW w:w="9322" w:type="dxa"/>
            <w:tcBorders>
              <w:top w:val="single" w:sz="4" w:space="0" w:color="auto"/>
              <w:left w:val="single" w:sz="4" w:space="0" w:color="auto"/>
              <w:bottom w:val="single" w:sz="4" w:space="0" w:color="auto"/>
              <w:right w:val="single" w:sz="4" w:space="0" w:color="auto"/>
            </w:tcBorders>
            <w:textDirection w:val="lrTb"/>
            <w:vAlign w:val="top"/>
          </w:tcPr>
          <w:p w:rsidR="004D4E20" w:rsidRPr="004D4E20" w:rsidP="004D4E20">
            <w:pPr>
              <w:widowControl/>
              <w:bidi w:val="0"/>
              <w:adjustRightInd/>
              <w:spacing w:after="0" w:line="240" w:lineRule="auto"/>
              <w:rPr>
                <w:rFonts w:ascii="Times New Roman" w:hAnsi="Times New Roman"/>
                <w:b/>
                <w:i/>
                <w:sz w:val="24"/>
                <w:szCs w:val="24"/>
                <w:lang w:eastAsia="sk-SK"/>
              </w:rPr>
            </w:pPr>
          </w:p>
          <w:p w:rsidR="004D4E20" w:rsidRPr="004D4E20" w:rsidP="004D4E20">
            <w:pPr>
              <w:widowControl/>
              <w:bidi w:val="0"/>
              <w:adjustRightInd/>
              <w:spacing w:after="0" w:line="240" w:lineRule="auto"/>
              <w:rPr>
                <w:rFonts w:ascii="Times New Roman" w:hAnsi="Times New Roman"/>
                <w:b/>
                <w:sz w:val="24"/>
                <w:szCs w:val="24"/>
                <w:lang w:eastAsia="sk-SK"/>
              </w:rPr>
            </w:pPr>
            <w:r w:rsidRPr="004D4E20">
              <w:rPr>
                <w:rFonts w:ascii="Times New Roman" w:hAnsi="Times New Roman"/>
                <w:b/>
                <w:sz w:val="24"/>
                <w:szCs w:val="24"/>
                <w:lang w:eastAsia="sk-SK"/>
              </w:rPr>
              <w:t>Nedochádza k zvýšeniu nepriamych nákladov</w:t>
            </w:r>
          </w:p>
          <w:p w:rsidR="004D4E20" w:rsidRPr="004D4E20" w:rsidP="004D4E20">
            <w:pPr>
              <w:widowControl/>
              <w:bidi w:val="0"/>
              <w:adjustRightInd/>
              <w:spacing w:after="0" w:line="240" w:lineRule="auto"/>
              <w:rPr>
                <w:rFonts w:ascii="Times New Roman" w:hAnsi="Times New Roman"/>
                <w:b/>
                <w:i/>
                <w:sz w:val="24"/>
                <w:szCs w:val="24"/>
                <w:lang w:eastAsia="sk-SK"/>
              </w:rPr>
            </w:pPr>
          </w:p>
        </w:tc>
      </w:tr>
      <w:tr>
        <w:tblPrEx>
          <w:tblW w:w="0" w:type="auto"/>
          <w:tblLook w:val="04A0"/>
        </w:tblPrEx>
        <w:trPr>
          <w:trHeight w:val="119"/>
        </w:trPr>
        <w:tc>
          <w:tcPr>
            <w:tcW w:w="9322" w:type="dxa"/>
            <w:tcBorders>
              <w:top w:val="single" w:sz="4" w:space="0" w:color="auto"/>
              <w:left w:val="single" w:sz="4" w:space="0" w:color="auto"/>
              <w:bottom w:val="single" w:sz="4" w:space="0" w:color="auto"/>
              <w:right w:val="single" w:sz="4" w:space="0" w:color="auto"/>
            </w:tcBorders>
            <w:textDirection w:val="lrTb"/>
            <w:vAlign w:val="top"/>
          </w:tcPr>
          <w:p w:rsidR="004D4E20" w:rsidRPr="004D4E20" w:rsidP="004D4E20">
            <w:pPr>
              <w:widowControl/>
              <w:bidi w:val="0"/>
              <w:adjustRightInd/>
              <w:spacing w:after="0" w:line="240" w:lineRule="auto"/>
              <w:rPr>
                <w:rFonts w:ascii="Times New Roman" w:hAnsi="Times New Roman"/>
                <w:b/>
                <w:i/>
                <w:sz w:val="24"/>
                <w:szCs w:val="24"/>
                <w:lang w:eastAsia="sk-SK"/>
              </w:rPr>
            </w:pPr>
            <w:r w:rsidRPr="004D4E20">
              <w:rPr>
                <w:rFonts w:ascii="Times New Roman" w:hAnsi="Times New Roman"/>
                <w:b/>
                <w:i/>
                <w:sz w:val="24"/>
                <w:szCs w:val="24"/>
                <w:lang w:eastAsia="sk-SK"/>
              </w:rPr>
              <w:t>3.3.3 Administratívne náklady</w:t>
            </w:r>
          </w:p>
          <w:p w:rsidR="004D4E20" w:rsidRPr="004D4E20" w:rsidP="004D4E20">
            <w:pPr>
              <w:widowControl/>
              <w:bidi w:val="0"/>
              <w:adjustRightInd/>
              <w:spacing w:after="0" w:line="240" w:lineRule="auto"/>
              <w:rPr>
                <w:rFonts w:ascii="Times New Roman" w:hAnsi="Times New Roman"/>
                <w:i/>
                <w:sz w:val="24"/>
                <w:szCs w:val="24"/>
                <w:lang w:eastAsia="sk-SK"/>
              </w:rPr>
            </w:pPr>
            <w:r w:rsidRPr="004D4E20">
              <w:rPr>
                <w:rFonts w:ascii="Times New Roman" w:hAnsi="Times New Roman"/>
                <w:i/>
                <w:sz w:val="24"/>
                <w:szCs w:val="24"/>
                <w:lang w:eastAsia="sk-SK"/>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tblPrEx>
          <w:tblW w:w="0" w:type="auto"/>
          <w:tblLook w:val="04A0"/>
        </w:tblPrEx>
        <w:trPr>
          <w:trHeight w:val="119"/>
        </w:trPr>
        <w:tc>
          <w:tcPr>
            <w:tcW w:w="9322" w:type="dxa"/>
            <w:tcBorders>
              <w:top w:val="single" w:sz="4" w:space="0" w:color="auto"/>
              <w:left w:val="single" w:sz="4" w:space="0" w:color="auto"/>
              <w:bottom w:val="single" w:sz="4" w:space="0" w:color="auto"/>
              <w:right w:val="single" w:sz="4" w:space="0" w:color="auto"/>
            </w:tcBorders>
            <w:textDirection w:val="lrTb"/>
            <w:vAlign w:val="top"/>
          </w:tcPr>
          <w:p w:rsidR="004D4E20" w:rsidRPr="004D4E20" w:rsidP="004D4E20">
            <w:pPr>
              <w:widowControl/>
              <w:bidi w:val="0"/>
              <w:adjustRightInd/>
              <w:spacing w:after="0" w:line="240" w:lineRule="auto"/>
              <w:rPr>
                <w:rFonts w:ascii="Times New Roman" w:hAnsi="Times New Roman"/>
                <w:b/>
                <w:i/>
                <w:sz w:val="24"/>
                <w:szCs w:val="24"/>
                <w:lang w:eastAsia="sk-SK"/>
              </w:rPr>
            </w:pPr>
          </w:p>
          <w:p w:rsidR="004D4E20" w:rsidRPr="004D4E20" w:rsidP="004D4E20">
            <w:pPr>
              <w:widowControl/>
              <w:bidi w:val="0"/>
              <w:adjustRightInd/>
              <w:spacing w:after="0" w:line="240" w:lineRule="auto"/>
              <w:rPr>
                <w:rFonts w:ascii="Times New Roman" w:hAnsi="Times New Roman"/>
                <w:b/>
                <w:sz w:val="24"/>
                <w:szCs w:val="24"/>
                <w:lang w:eastAsia="sk-SK"/>
              </w:rPr>
            </w:pPr>
            <w:r w:rsidRPr="004D4E20">
              <w:rPr>
                <w:rFonts w:ascii="Times New Roman" w:hAnsi="Times New Roman"/>
                <w:b/>
                <w:sz w:val="24"/>
                <w:szCs w:val="24"/>
                <w:lang w:eastAsia="sk-SK"/>
              </w:rPr>
              <w:t>Nedochádza k zvýšeniu administratívnych nákladov</w:t>
            </w:r>
          </w:p>
          <w:p w:rsidR="004D4E20" w:rsidRPr="004D4E20" w:rsidP="004D4E20">
            <w:pPr>
              <w:widowControl/>
              <w:bidi w:val="0"/>
              <w:adjustRightInd/>
              <w:spacing w:after="0" w:line="240" w:lineRule="auto"/>
              <w:rPr>
                <w:rFonts w:ascii="Times New Roman" w:hAnsi="Times New Roman"/>
                <w:b/>
                <w:i/>
                <w:sz w:val="24"/>
                <w:szCs w:val="24"/>
                <w:lang w:eastAsia="sk-SK"/>
              </w:rPr>
            </w:pPr>
          </w:p>
        </w:tc>
      </w:tr>
      <w:tr>
        <w:tblPrEx>
          <w:tblW w:w="0" w:type="auto"/>
          <w:tblLook w:val="04A0"/>
        </w:tblPrEx>
        <w:trPr>
          <w:trHeight w:val="1917"/>
        </w:trPr>
        <w:tc>
          <w:tcPr>
            <w:tcW w:w="9322" w:type="dxa"/>
            <w:tcBorders>
              <w:top w:val="single" w:sz="4" w:space="0" w:color="auto"/>
              <w:left w:val="single" w:sz="4" w:space="0" w:color="auto"/>
              <w:bottom w:val="single" w:sz="4" w:space="0" w:color="auto"/>
              <w:right w:val="single" w:sz="4" w:space="0" w:color="auto"/>
            </w:tcBorders>
            <w:textDirection w:val="lrTb"/>
            <w:vAlign w:val="top"/>
          </w:tcPr>
          <w:p w:rsidR="004D4E20" w:rsidRPr="004D4E20" w:rsidP="004D4E20">
            <w:pPr>
              <w:widowControl/>
              <w:bidi w:val="0"/>
              <w:adjustRightInd/>
              <w:spacing w:after="0" w:line="240" w:lineRule="auto"/>
              <w:rPr>
                <w:rFonts w:ascii="Times New Roman" w:hAnsi="Times New Roman"/>
                <w:i/>
                <w:sz w:val="24"/>
                <w:szCs w:val="24"/>
                <w:lang w:eastAsia="sk-SK"/>
              </w:rPr>
            </w:pPr>
            <w:r w:rsidRPr="004D4E20">
              <w:rPr>
                <w:rFonts w:ascii="Times New Roman" w:hAnsi="Times New Roman"/>
                <w:b/>
                <w:i/>
                <w:sz w:val="24"/>
                <w:szCs w:val="24"/>
                <w:lang w:eastAsia="sk-SK"/>
              </w:rPr>
              <w:t>3.3.4 Súhrnná tabuľka nákladov regulácie</w:t>
            </w:r>
          </w:p>
          <w:p w:rsidR="004D4E20" w:rsidRPr="004D4E20" w:rsidP="004D4E20">
            <w:pPr>
              <w:widowControl/>
              <w:bidi w:val="0"/>
              <w:adjustRightInd/>
              <w:spacing w:after="0" w:line="240" w:lineRule="auto"/>
              <w:rPr>
                <w:rFonts w:ascii="Times New Roman" w:hAnsi="Times New Roman"/>
                <w:i/>
                <w:sz w:val="24"/>
                <w:szCs w:val="24"/>
                <w:lang w:eastAsia="sk-SK"/>
              </w:rPr>
            </w:pPr>
          </w:p>
          <w:tbl>
            <w:tblPr>
              <w:tblStyle w:val="Mriekatabuky1"/>
              <w:tblW w:w="8135" w:type="dxa"/>
              <w:tblLook w:val="04A0"/>
            </w:tblPr>
            <w:tblGrid>
              <w:gridCol w:w="2711"/>
              <w:gridCol w:w="2712"/>
              <w:gridCol w:w="2712"/>
            </w:tblGrid>
            <w:tr>
              <w:tblPrEx>
                <w:tblW w:w="8135" w:type="dxa"/>
                <w:tblLook w:val="04A0"/>
              </w:tblPrEx>
              <w:trPr>
                <w:trHeight w:val="380"/>
              </w:trPr>
              <w:tc>
                <w:tcPr>
                  <w:tcW w:w="2711" w:type="dxa"/>
                  <w:tcBorders>
                    <w:top w:val="single" w:sz="4" w:space="0" w:color="auto"/>
                    <w:left w:val="single" w:sz="4" w:space="0" w:color="auto"/>
                    <w:bottom w:val="single" w:sz="4" w:space="0" w:color="auto"/>
                    <w:right w:val="single" w:sz="4" w:space="0" w:color="auto"/>
                  </w:tcBorders>
                  <w:textDirection w:val="lrTb"/>
                  <w:vAlign w:val="top"/>
                </w:tcPr>
                <w:p w:rsidR="004D4E20" w:rsidRPr="004D4E20" w:rsidP="004D4E20">
                  <w:pPr>
                    <w:widowControl/>
                    <w:bidi w:val="0"/>
                    <w:adjustRightInd/>
                    <w:spacing w:after="0" w:line="240" w:lineRule="auto"/>
                    <w:rPr>
                      <w:rFonts w:ascii="Times New Roman" w:hAnsi="Times New Roman"/>
                      <w:i/>
                      <w:sz w:val="24"/>
                      <w:szCs w:val="24"/>
                      <w:lang w:eastAsia="sk-SK"/>
                    </w:rPr>
                  </w:pPr>
                </w:p>
              </w:tc>
              <w:tc>
                <w:tcPr>
                  <w:tcW w:w="2712" w:type="dxa"/>
                  <w:tcBorders>
                    <w:top w:val="single" w:sz="4" w:space="0" w:color="auto"/>
                    <w:left w:val="single" w:sz="4" w:space="0" w:color="auto"/>
                    <w:bottom w:val="single" w:sz="4" w:space="0" w:color="auto"/>
                    <w:right w:val="single" w:sz="4" w:space="0" w:color="auto"/>
                  </w:tcBorders>
                  <w:textDirection w:val="lrTb"/>
                  <w:vAlign w:val="top"/>
                </w:tcPr>
                <w:p w:rsidR="004D4E20" w:rsidRPr="004D4E20" w:rsidP="004D4E20">
                  <w:pPr>
                    <w:widowControl/>
                    <w:bidi w:val="0"/>
                    <w:adjustRightInd/>
                    <w:spacing w:after="0" w:line="240" w:lineRule="auto"/>
                    <w:jc w:val="center"/>
                    <w:rPr>
                      <w:rFonts w:ascii="Times New Roman" w:hAnsi="Times New Roman"/>
                      <w:i/>
                      <w:sz w:val="24"/>
                      <w:szCs w:val="24"/>
                      <w:lang w:eastAsia="sk-SK"/>
                    </w:rPr>
                  </w:pPr>
                  <w:r w:rsidRPr="004D4E20">
                    <w:rPr>
                      <w:rFonts w:ascii="Times New Roman" w:hAnsi="Times New Roman"/>
                      <w:i/>
                      <w:sz w:val="24"/>
                      <w:szCs w:val="24"/>
                      <w:lang w:eastAsia="sk-SK"/>
                    </w:rPr>
                    <w:t>Náklady na 1 podnikateľa</w:t>
                  </w:r>
                </w:p>
              </w:tc>
              <w:tc>
                <w:tcPr>
                  <w:tcW w:w="2712" w:type="dxa"/>
                  <w:tcBorders>
                    <w:top w:val="single" w:sz="4" w:space="0" w:color="auto"/>
                    <w:left w:val="single" w:sz="4" w:space="0" w:color="auto"/>
                    <w:bottom w:val="single" w:sz="4" w:space="0" w:color="auto"/>
                    <w:right w:val="single" w:sz="4" w:space="0" w:color="auto"/>
                  </w:tcBorders>
                  <w:textDirection w:val="lrTb"/>
                  <w:vAlign w:val="top"/>
                </w:tcPr>
                <w:p w:rsidR="004D4E20" w:rsidRPr="004D4E20" w:rsidP="004D4E20">
                  <w:pPr>
                    <w:widowControl/>
                    <w:bidi w:val="0"/>
                    <w:adjustRightInd/>
                    <w:spacing w:after="0" w:line="240" w:lineRule="auto"/>
                    <w:jc w:val="center"/>
                    <w:rPr>
                      <w:rFonts w:ascii="Times New Roman" w:hAnsi="Times New Roman"/>
                      <w:i/>
                      <w:sz w:val="24"/>
                      <w:szCs w:val="24"/>
                      <w:lang w:eastAsia="sk-SK"/>
                    </w:rPr>
                  </w:pPr>
                  <w:r w:rsidRPr="004D4E20">
                    <w:rPr>
                      <w:rFonts w:ascii="Times New Roman" w:hAnsi="Times New Roman"/>
                      <w:i/>
                      <w:sz w:val="24"/>
                      <w:szCs w:val="24"/>
                      <w:lang w:eastAsia="sk-SK"/>
                    </w:rPr>
                    <w:t>Náklady na celé podnikateľské prostredie</w:t>
                  </w:r>
                </w:p>
              </w:tc>
            </w:tr>
            <w:tr>
              <w:tblPrEx>
                <w:tblW w:w="8135" w:type="dxa"/>
                <w:tblLook w:val="04A0"/>
              </w:tblPrEx>
              <w:trPr>
                <w:trHeight w:val="190"/>
              </w:trPr>
              <w:tc>
                <w:tcPr>
                  <w:tcW w:w="2711" w:type="dxa"/>
                  <w:tcBorders>
                    <w:top w:val="single" w:sz="4" w:space="0" w:color="auto"/>
                    <w:left w:val="single" w:sz="4" w:space="0" w:color="auto"/>
                    <w:bottom w:val="single" w:sz="4" w:space="0" w:color="auto"/>
                    <w:right w:val="single" w:sz="4" w:space="0" w:color="auto"/>
                  </w:tcBorders>
                  <w:textDirection w:val="lrTb"/>
                  <w:vAlign w:val="top"/>
                </w:tcPr>
                <w:p w:rsidR="004D4E20" w:rsidRPr="004D4E20" w:rsidP="004D4E20">
                  <w:pPr>
                    <w:widowControl/>
                    <w:bidi w:val="0"/>
                    <w:adjustRightInd/>
                    <w:spacing w:after="0" w:line="240" w:lineRule="auto"/>
                    <w:rPr>
                      <w:rFonts w:ascii="Times New Roman" w:hAnsi="Times New Roman"/>
                      <w:i/>
                      <w:sz w:val="24"/>
                      <w:szCs w:val="24"/>
                      <w:lang w:eastAsia="sk-SK"/>
                    </w:rPr>
                  </w:pPr>
                  <w:r w:rsidRPr="004D4E20">
                    <w:rPr>
                      <w:rFonts w:ascii="Times New Roman" w:hAnsi="Times New Roman"/>
                      <w:i/>
                      <w:sz w:val="24"/>
                      <w:szCs w:val="24"/>
                      <w:lang w:eastAsia="sk-SK"/>
                    </w:rPr>
                    <w:t>Priame finančné náklady</w:t>
                  </w:r>
                </w:p>
              </w:tc>
              <w:tc>
                <w:tcPr>
                  <w:tcW w:w="2712" w:type="dxa"/>
                  <w:tcBorders>
                    <w:top w:val="single" w:sz="4" w:space="0" w:color="auto"/>
                    <w:left w:val="single" w:sz="4" w:space="0" w:color="auto"/>
                    <w:bottom w:val="single" w:sz="4" w:space="0" w:color="auto"/>
                    <w:right w:val="single" w:sz="4" w:space="0" w:color="auto"/>
                  </w:tcBorders>
                  <w:textDirection w:val="lrTb"/>
                  <w:vAlign w:val="top"/>
                </w:tcPr>
                <w:p w:rsidR="004D4E20" w:rsidRPr="004D4E20" w:rsidP="004D4E20">
                  <w:pPr>
                    <w:widowControl/>
                    <w:bidi w:val="0"/>
                    <w:adjustRightInd/>
                    <w:spacing w:after="0" w:line="240" w:lineRule="auto"/>
                    <w:jc w:val="center"/>
                    <w:rPr>
                      <w:rFonts w:ascii="Times New Roman" w:hAnsi="Times New Roman"/>
                      <w:i/>
                      <w:sz w:val="24"/>
                      <w:szCs w:val="24"/>
                      <w:lang w:eastAsia="sk-SK"/>
                    </w:rPr>
                  </w:pPr>
                  <w:r w:rsidRPr="004D4E20">
                    <w:rPr>
                      <w:rFonts w:ascii="Times New Roman" w:hAnsi="Times New Roman"/>
                      <w:i/>
                      <w:sz w:val="24"/>
                      <w:szCs w:val="24"/>
                      <w:lang w:eastAsia="sk-SK"/>
                    </w:rPr>
                    <w:t>0</w:t>
                  </w:r>
                </w:p>
              </w:tc>
              <w:tc>
                <w:tcPr>
                  <w:tcW w:w="2712" w:type="dxa"/>
                  <w:tcBorders>
                    <w:top w:val="single" w:sz="4" w:space="0" w:color="auto"/>
                    <w:left w:val="single" w:sz="4" w:space="0" w:color="auto"/>
                    <w:bottom w:val="single" w:sz="4" w:space="0" w:color="auto"/>
                    <w:right w:val="single" w:sz="4" w:space="0" w:color="auto"/>
                  </w:tcBorders>
                  <w:textDirection w:val="lrTb"/>
                  <w:vAlign w:val="top"/>
                </w:tcPr>
                <w:p w:rsidR="004D4E20" w:rsidRPr="004D4E20" w:rsidP="004D4E20">
                  <w:pPr>
                    <w:widowControl/>
                    <w:bidi w:val="0"/>
                    <w:adjustRightInd/>
                    <w:spacing w:after="0" w:line="240" w:lineRule="auto"/>
                    <w:jc w:val="center"/>
                    <w:rPr>
                      <w:rFonts w:ascii="Times New Roman" w:hAnsi="Times New Roman"/>
                      <w:i/>
                      <w:sz w:val="24"/>
                      <w:szCs w:val="24"/>
                      <w:lang w:eastAsia="sk-SK"/>
                    </w:rPr>
                  </w:pPr>
                  <w:r w:rsidRPr="004D4E20">
                    <w:rPr>
                      <w:rFonts w:ascii="Times New Roman" w:hAnsi="Times New Roman"/>
                      <w:i/>
                      <w:sz w:val="24"/>
                      <w:szCs w:val="24"/>
                      <w:lang w:eastAsia="sk-SK"/>
                    </w:rPr>
                    <w:t>0</w:t>
                  </w:r>
                </w:p>
              </w:tc>
            </w:tr>
            <w:tr>
              <w:tblPrEx>
                <w:tblW w:w="8135" w:type="dxa"/>
                <w:tblLook w:val="04A0"/>
              </w:tblPrEx>
              <w:trPr>
                <w:trHeight w:val="190"/>
              </w:trPr>
              <w:tc>
                <w:tcPr>
                  <w:tcW w:w="2711" w:type="dxa"/>
                  <w:tcBorders>
                    <w:top w:val="single" w:sz="4" w:space="0" w:color="auto"/>
                    <w:left w:val="single" w:sz="4" w:space="0" w:color="auto"/>
                    <w:bottom w:val="single" w:sz="4" w:space="0" w:color="auto"/>
                    <w:right w:val="single" w:sz="4" w:space="0" w:color="auto"/>
                  </w:tcBorders>
                  <w:textDirection w:val="lrTb"/>
                  <w:vAlign w:val="top"/>
                </w:tcPr>
                <w:p w:rsidR="004D4E20" w:rsidRPr="004D4E20" w:rsidP="004D4E20">
                  <w:pPr>
                    <w:widowControl/>
                    <w:bidi w:val="0"/>
                    <w:adjustRightInd/>
                    <w:spacing w:after="0" w:line="240" w:lineRule="auto"/>
                    <w:rPr>
                      <w:rFonts w:ascii="Times New Roman" w:hAnsi="Times New Roman"/>
                      <w:i/>
                      <w:sz w:val="24"/>
                      <w:szCs w:val="24"/>
                      <w:lang w:eastAsia="sk-SK"/>
                    </w:rPr>
                  </w:pPr>
                  <w:r w:rsidRPr="004D4E20">
                    <w:rPr>
                      <w:rFonts w:ascii="Times New Roman" w:hAnsi="Times New Roman"/>
                      <w:i/>
                      <w:sz w:val="24"/>
                      <w:szCs w:val="24"/>
                      <w:lang w:eastAsia="sk-SK"/>
                    </w:rPr>
                    <w:t>Nepriame finančné náklady</w:t>
                  </w:r>
                </w:p>
              </w:tc>
              <w:tc>
                <w:tcPr>
                  <w:tcW w:w="2712" w:type="dxa"/>
                  <w:tcBorders>
                    <w:top w:val="single" w:sz="4" w:space="0" w:color="auto"/>
                    <w:left w:val="single" w:sz="4" w:space="0" w:color="auto"/>
                    <w:bottom w:val="single" w:sz="4" w:space="0" w:color="auto"/>
                    <w:right w:val="single" w:sz="4" w:space="0" w:color="auto"/>
                  </w:tcBorders>
                  <w:textDirection w:val="lrTb"/>
                  <w:vAlign w:val="top"/>
                </w:tcPr>
                <w:p w:rsidR="004D4E20" w:rsidRPr="004D4E20" w:rsidP="004D4E20">
                  <w:pPr>
                    <w:widowControl/>
                    <w:bidi w:val="0"/>
                    <w:adjustRightInd/>
                    <w:spacing w:after="0" w:line="240" w:lineRule="auto"/>
                    <w:jc w:val="center"/>
                    <w:rPr>
                      <w:rFonts w:ascii="Times New Roman" w:hAnsi="Times New Roman"/>
                      <w:i/>
                      <w:sz w:val="24"/>
                      <w:szCs w:val="24"/>
                      <w:lang w:eastAsia="sk-SK"/>
                    </w:rPr>
                  </w:pPr>
                  <w:r w:rsidRPr="004D4E20">
                    <w:rPr>
                      <w:rFonts w:ascii="Times New Roman" w:hAnsi="Times New Roman"/>
                      <w:i/>
                      <w:sz w:val="24"/>
                      <w:szCs w:val="24"/>
                      <w:lang w:eastAsia="sk-SK"/>
                    </w:rPr>
                    <w:t>0</w:t>
                  </w:r>
                </w:p>
              </w:tc>
              <w:tc>
                <w:tcPr>
                  <w:tcW w:w="2712" w:type="dxa"/>
                  <w:tcBorders>
                    <w:top w:val="single" w:sz="4" w:space="0" w:color="auto"/>
                    <w:left w:val="single" w:sz="4" w:space="0" w:color="auto"/>
                    <w:bottom w:val="single" w:sz="4" w:space="0" w:color="auto"/>
                    <w:right w:val="single" w:sz="4" w:space="0" w:color="auto"/>
                  </w:tcBorders>
                  <w:textDirection w:val="lrTb"/>
                  <w:vAlign w:val="top"/>
                </w:tcPr>
                <w:p w:rsidR="004D4E20" w:rsidRPr="004D4E20" w:rsidP="004D4E20">
                  <w:pPr>
                    <w:widowControl/>
                    <w:bidi w:val="0"/>
                    <w:adjustRightInd/>
                    <w:spacing w:after="0" w:line="240" w:lineRule="auto"/>
                    <w:jc w:val="center"/>
                    <w:rPr>
                      <w:rFonts w:ascii="Times New Roman" w:hAnsi="Times New Roman"/>
                      <w:i/>
                      <w:sz w:val="24"/>
                      <w:szCs w:val="24"/>
                      <w:lang w:eastAsia="sk-SK"/>
                    </w:rPr>
                  </w:pPr>
                  <w:r w:rsidRPr="004D4E20">
                    <w:rPr>
                      <w:rFonts w:ascii="Times New Roman" w:hAnsi="Times New Roman"/>
                      <w:i/>
                      <w:sz w:val="24"/>
                      <w:szCs w:val="24"/>
                      <w:lang w:eastAsia="sk-SK"/>
                    </w:rPr>
                    <w:t>0</w:t>
                  </w:r>
                </w:p>
              </w:tc>
            </w:tr>
            <w:tr>
              <w:tblPrEx>
                <w:tblW w:w="8135" w:type="dxa"/>
                <w:tblLook w:val="04A0"/>
              </w:tblPrEx>
              <w:trPr>
                <w:trHeight w:val="190"/>
              </w:trPr>
              <w:tc>
                <w:tcPr>
                  <w:tcW w:w="2711" w:type="dxa"/>
                  <w:tcBorders>
                    <w:top w:val="single" w:sz="4" w:space="0" w:color="auto"/>
                    <w:left w:val="single" w:sz="4" w:space="0" w:color="auto"/>
                    <w:bottom w:val="single" w:sz="4" w:space="0" w:color="auto"/>
                    <w:right w:val="single" w:sz="4" w:space="0" w:color="auto"/>
                  </w:tcBorders>
                  <w:textDirection w:val="lrTb"/>
                  <w:vAlign w:val="top"/>
                </w:tcPr>
                <w:p w:rsidR="004D4E20" w:rsidRPr="004D4E20" w:rsidP="004D4E20">
                  <w:pPr>
                    <w:widowControl/>
                    <w:bidi w:val="0"/>
                    <w:adjustRightInd/>
                    <w:spacing w:after="0" w:line="240" w:lineRule="auto"/>
                    <w:rPr>
                      <w:rFonts w:ascii="Times New Roman" w:hAnsi="Times New Roman"/>
                      <w:i/>
                      <w:sz w:val="24"/>
                      <w:szCs w:val="24"/>
                      <w:lang w:eastAsia="sk-SK"/>
                    </w:rPr>
                  </w:pPr>
                  <w:r w:rsidRPr="004D4E20">
                    <w:rPr>
                      <w:rFonts w:ascii="Times New Roman" w:hAnsi="Times New Roman"/>
                      <w:i/>
                      <w:sz w:val="24"/>
                      <w:szCs w:val="24"/>
                      <w:lang w:eastAsia="sk-SK"/>
                    </w:rPr>
                    <w:t>Administratívne náklady</w:t>
                  </w:r>
                </w:p>
              </w:tc>
              <w:tc>
                <w:tcPr>
                  <w:tcW w:w="2712" w:type="dxa"/>
                  <w:tcBorders>
                    <w:top w:val="single" w:sz="4" w:space="0" w:color="auto"/>
                    <w:left w:val="single" w:sz="4" w:space="0" w:color="auto"/>
                    <w:bottom w:val="single" w:sz="4" w:space="0" w:color="auto"/>
                    <w:right w:val="single" w:sz="4" w:space="0" w:color="auto"/>
                  </w:tcBorders>
                  <w:textDirection w:val="lrTb"/>
                  <w:vAlign w:val="top"/>
                </w:tcPr>
                <w:p w:rsidR="004D4E20" w:rsidRPr="004D4E20" w:rsidP="004D4E20">
                  <w:pPr>
                    <w:widowControl/>
                    <w:bidi w:val="0"/>
                    <w:adjustRightInd/>
                    <w:spacing w:after="0" w:line="240" w:lineRule="auto"/>
                    <w:jc w:val="center"/>
                    <w:rPr>
                      <w:rFonts w:ascii="Times New Roman" w:hAnsi="Times New Roman"/>
                      <w:i/>
                      <w:sz w:val="24"/>
                      <w:szCs w:val="24"/>
                      <w:lang w:eastAsia="sk-SK"/>
                    </w:rPr>
                  </w:pPr>
                  <w:r w:rsidRPr="004D4E20">
                    <w:rPr>
                      <w:rFonts w:ascii="Times New Roman" w:hAnsi="Times New Roman"/>
                      <w:i/>
                      <w:sz w:val="24"/>
                      <w:szCs w:val="24"/>
                      <w:lang w:eastAsia="sk-SK"/>
                    </w:rPr>
                    <w:t>0</w:t>
                  </w:r>
                </w:p>
              </w:tc>
              <w:tc>
                <w:tcPr>
                  <w:tcW w:w="2712" w:type="dxa"/>
                  <w:tcBorders>
                    <w:top w:val="single" w:sz="4" w:space="0" w:color="auto"/>
                    <w:left w:val="single" w:sz="4" w:space="0" w:color="auto"/>
                    <w:bottom w:val="single" w:sz="4" w:space="0" w:color="auto"/>
                    <w:right w:val="single" w:sz="4" w:space="0" w:color="auto"/>
                  </w:tcBorders>
                  <w:textDirection w:val="lrTb"/>
                  <w:vAlign w:val="top"/>
                </w:tcPr>
                <w:p w:rsidR="004D4E20" w:rsidRPr="004D4E20" w:rsidP="004D4E20">
                  <w:pPr>
                    <w:widowControl/>
                    <w:bidi w:val="0"/>
                    <w:adjustRightInd/>
                    <w:spacing w:after="0" w:line="240" w:lineRule="auto"/>
                    <w:jc w:val="center"/>
                    <w:rPr>
                      <w:rFonts w:ascii="Times New Roman" w:hAnsi="Times New Roman"/>
                      <w:i/>
                      <w:sz w:val="24"/>
                      <w:szCs w:val="24"/>
                      <w:lang w:eastAsia="sk-SK"/>
                    </w:rPr>
                  </w:pPr>
                  <w:r w:rsidRPr="004D4E20">
                    <w:rPr>
                      <w:rFonts w:ascii="Times New Roman" w:hAnsi="Times New Roman"/>
                      <w:i/>
                      <w:sz w:val="24"/>
                      <w:szCs w:val="24"/>
                      <w:lang w:eastAsia="sk-SK"/>
                    </w:rPr>
                    <w:t>0</w:t>
                  </w:r>
                </w:p>
              </w:tc>
            </w:tr>
            <w:tr>
              <w:tblPrEx>
                <w:tblW w:w="8135" w:type="dxa"/>
                <w:tblLook w:val="04A0"/>
              </w:tblPrEx>
              <w:trPr>
                <w:trHeight w:val="198"/>
              </w:trPr>
              <w:tc>
                <w:tcPr>
                  <w:tcW w:w="2711" w:type="dxa"/>
                  <w:tcBorders>
                    <w:top w:val="single" w:sz="4" w:space="0" w:color="auto"/>
                    <w:left w:val="single" w:sz="4" w:space="0" w:color="auto"/>
                    <w:bottom w:val="single" w:sz="4" w:space="0" w:color="auto"/>
                    <w:right w:val="single" w:sz="4" w:space="0" w:color="auto"/>
                  </w:tcBorders>
                  <w:textDirection w:val="lrTb"/>
                  <w:vAlign w:val="top"/>
                </w:tcPr>
                <w:p w:rsidR="004D4E20" w:rsidRPr="004D4E20" w:rsidP="004D4E20">
                  <w:pPr>
                    <w:widowControl/>
                    <w:bidi w:val="0"/>
                    <w:adjustRightInd/>
                    <w:spacing w:after="0" w:line="240" w:lineRule="auto"/>
                    <w:rPr>
                      <w:rFonts w:ascii="Times New Roman" w:hAnsi="Times New Roman"/>
                      <w:b/>
                      <w:i/>
                      <w:sz w:val="24"/>
                      <w:szCs w:val="24"/>
                      <w:lang w:eastAsia="sk-SK"/>
                    </w:rPr>
                  </w:pPr>
                  <w:r w:rsidRPr="004D4E20">
                    <w:rPr>
                      <w:rFonts w:ascii="Times New Roman" w:hAnsi="Times New Roman"/>
                      <w:b/>
                      <w:i/>
                      <w:sz w:val="24"/>
                      <w:szCs w:val="24"/>
                      <w:lang w:eastAsia="sk-SK"/>
                    </w:rPr>
                    <w:t>Celkové náklady regulácie</w:t>
                  </w:r>
                </w:p>
              </w:tc>
              <w:tc>
                <w:tcPr>
                  <w:tcW w:w="2712" w:type="dxa"/>
                  <w:tcBorders>
                    <w:top w:val="single" w:sz="4" w:space="0" w:color="auto"/>
                    <w:left w:val="single" w:sz="4" w:space="0" w:color="auto"/>
                    <w:bottom w:val="single" w:sz="4" w:space="0" w:color="auto"/>
                    <w:right w:val="single" w:sz="4" w:space="0" w:color="auto"/>
                  </w:tcBorders>
                  <w:textDirection w:val="lrTb"/>
                  <w:vAlign w:val="top"/>
                </w:tcPr>
                <w:p w:rsidR="004D4E20" w:rsidRPr="004D4E20" w:rsidP="004D4E20">
                  <w:pPr>
                    <w:widowControl/>
                    <w:bidi w:val="0"/>
                    <w:adjustRightInd/>
                    <w:spacing w:after="0" w:line="240" w:lineRule="auto"/>
                    <w:jc w:val="center"/>
                    <w:rPr>
                      <w:rFonts w:ascii="Times New Roman" w:hAnsi="Times New Roman"/>
                      <w:b/>
                      <w:i/>
                      <w:sz w:val="24"/>
                      <w:szCs w:val="24"/>
                      <w:lang w:eastAsia="sk-SK"/>
                    </w:rPr>
                  </w:pPr>
                  <w:r w:rsidRPr="004D4E20">
                    <w:rPr>
                      <w:rFonts w:ascii="Times New Roman" w:hAnsi="Times New Roman"/>
                      <w:b/>
                      <w:i/>
                      <w:sz w:val="24"/>
                      <w:szCs w:val="24"/>
                      <w:lang w:eastAsia="sk-SK"/>
                    </w:rPr>
                    <w:t>0</w:t>
                  </w:r>
                </w:p>
              </w:tc>
              <w:tc>
                <w:tcPr>
                  <w:tcW w:w="2712" w:type="dxa"/>
                  <w:tcBorders>
                    <w:top w:val="single" w:sz="4" w:space="0" w:color="auto"/>
                    <w:left w:val="single" w:sz="4" w:space="0" w:color="auto"/>
                    <w:bottom w:val="single" w:sz="4" w:space="0" w:color="auto"/>
                    <w:right w:val="single" w:sz="4" w:space="0" w:color="auto"/>
                  </w:tcBorders>
                  <w:textDirection w:val="lrTb"/>
                  <w:vAlign w:val="top"/>
                </w:tcPr>
                <w:p w:rsidR="004D4E20" w:rsidRPr="004D4E20" w:rsidP="004D4E20">
                  <w:pPr>
                    <w:widowControl/>
                    <w:bidi w:val="0"/>
                    <w:adjustRightInd/>
                    <w:spacing w:after="0" w:line="240" w:lineRule="auto"/>
                    <w:jc w:val="center"/>
                    <w:rPr>
                      <w:rFonts w:ascii="Times New Roman" w:hAnsi="Times New Roman"/>
                      <w:b/>
                      <w:i/>
                      <w:sz w:val="24"/>
                      <w:szCs w:val="24"/>
                      <w:lang w:eastAsia="sk-SK"/>
                    </w:rPr>
                  </w:pPr>
                  <w:r w:rsidRPr="004D4E20">
                    <w:rPr>
                      <w:rFonts w:ascii="Times New Roman" w:hAnsi="Times New Roman"/>
                      <w:b/>
                      <w:i/>
                      <w:sz w:val="24"/>
                      <w:szCs w:val="24"/>
                      <w:lang w:eastAsia="sk-SK"/>
                    </w:rPr>
                    <w:t>0</w:t>
                  </w:r>
                </w:p>
              </w:tc>
            </w:tr>
          </w:tbl>
          <w:p w:rsidR="004D4E20" w:rsidRPr="004D4E20" w:rsidP="004D4E20">
            <w:pPr>
              <w:widowControl/>
              <w:bidi w:val="0"/>
              <w:adjustRightInd/>
              <w:spacing w:after="0" w:line="240" w:lineRule="auto"/>
              <w:rPr>
                <w:rFonts w:ascii="Times New Roman" w:hAnsi="Times New Roman"/>
                <w:i/>
                <w:sz w:val="24"/>
                <w:szCs w:val="24"/>
                <w:lang w:eastAsia="sk-SK"/>
              </w:rPr>
            </w:pPr>
          </w:p>
        </w:tc>
      </w:tr>
      <w:tr>
        <w:tblPrEx>
          <w:tblW w:w="0" w:type="auto"/>
          <w:tblLook w:val="04A0"/>
        </w:tblPrEx>
        <w:trPr>
          <w:trHeight w:val="119"/>
        </w:trPr>
        <w:tc>
          <w:tcPr>
            <w:tcW w:w="932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4D4E20" w:rsidRPr="004D4E20" w:rsidP="004D4E20">
            <w:pPr>
              <w:widowControl/>
              <w:bidi w:val="0"/>
              <w:adjustRightInd/>
              <w:spacing w:after="0" w:line="240" w:lineRule="auto"/>
              <w:rPr>
                <w:rFonts w:ascii="Times New Roman" w:hAnsi="Times New Roman"/>
                <w:b/>
                <w:sz w:val="24"/>
                <w:szCs w:val="24"/>
                <w:lang w:eastAsia="sk-SK"/>
              </w:rPr>
            </w:pPr>
            <w:r w:rsidRPr="004D4E20">
              <w:rPr>
                <w:rFonts w:ascii="Times New Roman" w:hAnsi="Times New Roman"/>
                <w:b/>
                <w:sz w:val="24"/>
                <w:szCs w:val="24"/>
                <w:lang w:eastAsia="sk-SK"/>
              </w:rPr>
              <w:t>3.4 Konkurencieschopnosť a správanie sa podnikov na trhu</w:t>
            </w:r>
          </w:p>
          <w:p w:rsidR="004D4E20" w:rsidRPr="004D4E20" w:rsidP="004D4E20">
            <w:pPr>
              <w:widowControl/>
              <w:bidi w:val="0"/>
              <w:adjustRightInd/>
              <w:spacing w:after="0" w:line="240" w:lineRule="auto"/>
              <w:rPr>
                <w:rFonts w:ascii="Times New Roman" w:hAnsi="Times New Roman"/>
                <w:sz w:val="24"/>
                <w:szCs w:val="24"/>
                <w:lang w:eastAsia="sk-SK"/>
              </w:rPr>
            </w:pPr>
            <w:r w:rsidRPr="004D4E20">
              <w:rPr>
                <w:rFonts w:ascii="Times New Roman" w:hAnsi="Times New Roman"/>
                <w:b/>
                <w:sz w:val="24"/>
                <w:szCs w:val="24"/>
                <w:lang w:eastAsia="sk-SK"/>
              </w:rPr>
              <w:t xml:space="preserve">       </w:t>
            </w:r>
            <w:r w:rsidRPr="004D4E20">
              <w:rPr>
                <w:rFonts w:ascii="Times New Roman" w:hAnsi="Times New Roman"/>
                <w:sz w:val="24"/>
                <w:szCs w:val="24"/>
                <w:lang w:eastAsia="sk-SK"/>
              </w:rPr>
              <w:t xml:space="preserve">- </w:t>
            </w:r>
            <w:r w:rsidRPr="004D4E20">
              <w:rPr>
                <w:rFonts w:ascii="Times New Roman" w:hAnsi="Times New Roman"/>
                <w:b/>
                <w:sz w:val="24"/>
                <w:szCs w:val="24"/>
                <w:lang w:eastAsia="sk-SK"/>
              </w:rPr>
              <w:t>z toho MSP</w:t>
            </w:r>
          </w:p>
        </w:tc>
      </w:tr>
      <w:tr>
        <w:tblPrEx>
          <w:tblW w:w="0" w:type="auto"/>
          <w:tblLook w:val="04A0"/>
        </w:tblPrEx>
        <w:trPr>
          <w:trHeight w:val="119"/>
        </w:trPr>
        <w:tc>
          <w:tcPr>
            <w:tcW w:w="9322" w:type="dxa"/>
            <w:tcBorders>
              <w:top w:val="single" w:sz="4" w:space="0" w:color="auto"/>
              <w:left w:val="single" w:sz="4" w:space="0" w:color="auto"/>
              <w:bottom w:val="single" w:sz="4" w:space="0" w:color="auto"/>
              <w:right w:val="single" w:sz="4" w:space="0" w:color="auto"/>
            </w:tcBorders>
            <w:textDirection w:val="lrTb"/>
            <w:vAlign w:val="top"/>
          </w:tcPr>
          <w:p w:rsidR="004D4E20" w:rsidRPr="004D4E20" w:rsidP="004D4E20">
            <w:pPr>
              <w:widowControl/>
              <w:bidi w:val="0"/>
              <w:adjustRightInd/>
              <w:spacing w:after="0" w:line="240" w:lineRule="auto"/>
              <w:rPr>
                <w:rFonts w:ascii="Times New Roman" w:hAnsi="Times New Roman"/>
                <w:i/>
                <w:sz w:val="24"/>
                <w:szCs w:val="24"/>
                <w:lang w:eastAsia="sk-SK"/>
              </w:rPr>
            </w:pPr>
            <w:r w:rsidRPr="004D4E20">
              <w:rPr>
                <w:rFonts w:ascii="Times New Roman" w:hAnsi="Times New Roman"/>
                <w:i/>
                <w:sz w:val="24"/>
                <w:szCs w:val="24"/>
                <w:lang w:eastAsia="sk-SK"/>
              </w:rPr>
              <w:t>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mikro, malé a stredné podniky tzv. MSP)? Ak áno, popíšte.</w:t>
            </w:r>
          </w:p>
          <w:p w:rsidR="004D4E20" w:rsidRPr="004D4E20" w:rsidP="004D4E20">
            <w:pPr>
              <w:widowControl/>
              <w:bidi w:val="0"/>
              <w:adjustRightInd/>
              <w:spacing w:after="0" w:line="240" w:lineRule="auto"/>
              <w:rPr>
                <w:rFonts w:ascii="Times New Roman" w:hAnsi="Times New Roman"/>
                <w:i/>
                <w:sz w:val="24"/>
                <w:szCs w:val="24"/>
                <w:lang w:eastAsia="sk-SK"/>
              </w:rPr>
            </w:pPr>
            <w:r w:rsidRPr="004D4E20">
              <w:rPr>
                <w:rFonts w:ascii="Times New Roman" w:hAnsi="Times New Roman"/>
                <w:i/>
                <w:sz w:val="24"/>
                <w:szCs w:val="24"/>
                <w:lang w:eastAsia="sk-SK"/>
              </w:rPr>
              <w:t>Aký vplyv bude mať navrhovaná zmena na obchodné bariéry? Bude mať vplyv na vyvolanie cezhraničných investícií (príliv /odliv zahraničných investícií resp. uplatnenie slovenských podnikov na zahraničných trhoch)? Ak áno, popíšte.</w:t>
            </w:r>
          </w:p>
          <w:p w:rsidR="004D4E20" w:rsidRPr="004D4E20" w:rsidP="004D4E20">
            <w:pPr>
              <w:widowControl/>
              <w:bidi w:val="0"/>
              <w:adjustRightInd/>
              <w:spacing w:after="0" w:line="240" w:lineRule="auto"/>
              <w:rPr>
                <w:rFonts w:ascii="Times New Roman" w:hAnsi="Times New Roman"/>
                <w:i/>
                <w:sz w:val="24"/>
                <w:szCs w:val="24"/>
                <w:lang w:eastAsia="sk-SK"/>
              </w:rPr>
            </w:pPr>
            <w:r w:rsidRPr="004D4E20">
              <w:rPr>
                <w:rFonts w:ascii="Times New Roman" w:hAnsi="Times New Roman"/>
                <w:i/>
                <w:sz w:val="24"/>
                <w:szCs w:val="24"/>
                <w:lang w:eastAsia="sk-SK"/>
              </w:rPr>
              <w:t>Ako ovplyvní cenu alebo dostupnosť základných zdrojov (suroviny, mechanizmy, pracovná sila, energie atď.)?</w:t>
            </w:r>
          </w:p>
          <w:p w:rsidR="004D4E20" w:rsidRPr="004D4E20" w:rsidP="004D4E20">
            <w:pPr>
              <w:widowControl/>
              <w:bidi w:val="0"/>
              <w:adjustRightInd/>
              <w:spacing w:after="0" w:line="240" w:lineRule="auto"/>
              <w:rPr>
                <w:rFonts w:ascii="Times New Roman" w:hAnsi="Times New Roman"/>
                <w:i/>
                <w:sz w:val="24"/>
                <w:szCs w:val="24"/>
                <w:lang w:eastAsia="sk-SK"/>
              </w:rPr>
            </w:pPr>
            <w:r w:rsidRPr="004D4E20">
              <w:rPr>
                <w:rFonts w:ascii="Times New Roman" w:hAnsi="Times New Roman"/>
                <w:i/>
                <w:sz w:val="24"/>
                <w:szCs w:val="24"/>
                <w:lang w:eastAsia="sk-SK"/>
              </w:rPr>
              <w:t>Ovplyvňuje prístup k financiám? Ak áno, ako?</w:t>
            </w:r>
          </w:p>
        </w:tc>
      </w:tr>
      <w:tr>
        <w:tblPrEx>
          <w:tblW w:w="0" w:type="auto"/>
          <w:tblLook w:val="04A0"/>
        </w:tblPrEx>
        <w:trPr>
          <w:trHeight w:val="660"/>
        </w:trPr>
        <w:tc>
          <w:tcPr>
            <w:tcW w:w="9322" w:type="dxa"/>
            <w:tcBorders>
              <w:top w:val="single" w:sz="4" w:space="0" w:color="auto"/>
              <w:left w:val="single" w:sz="4" w:space="0" w:color="auto"/>
              <w:bottom w:val="single" w:sz="4" w:space="0" w:color="auto"/>
              <w:right w:val="single" w:sz="4" w:space="0" w:color="auto"/>
            </w:tcBorders>
            <w:textDirection w:val="lrTb"/>
            <w:vAlign w:val="top"/>
          </w:tcPr>
          <w:p w:rsidR="004D4E20" w:rsidRPr="004D4E20" w:rsidP="004D4E20">
            <w:pPr>
              <w:widowControl/>
              <w:bidi w:val="0"/>
              <w:adjustRightInd/>
              <w:spacing w:after="0" w:line="240" w:lineRule="auto"/>
              <w:rPr>
                <w:rFonts w:ascii="Times New Roman" w:hAnsi="Times New Roman"/>
                <w:sz w:val="24"/>
                <w:szCs w:val="24"/>
                <w:lang w:eastAsia="sk-SK"/>
              </w:rPr>
            </w:pPr>
            <w:r w:rsidRPr="004D4E20">
              <w:rPr>
                <w:rFonts w:ascii="Times New Roman" w:hAnsi="Times New Roman"/>
                <w:sz w:val="24"/>
                <w:szCs w:val="24"/>
                <w:lang w:eastAsia="sk-SK"/>
              </w:rPr>
              <w:t>Ne</w:t>
            </w:r>
            <w:r>
              <w:rPr>
                <w:rFonts w:ascii="Times New Roman" w:hAnsi="Times New Roman"/>
                <w:sz w:val="24"/>
                <w:szCs w:val="24"/>
                <w:lang w:eastAsia="sk-SK"/>
              </w:rPr>
              <w:t>m</w:t>
            </w:r>
            <w:r w:rsidRPr="004D4E20">
              <w:rPr>
                <w:rFonts w:ascii="Times New Roman" w:hAnsi="Times New Roman"/>
                <w:sz w:val="24"/>
                <w:szCs w:val="24"/>
                <w:lang w:eastAsia="sk-SK"/>
              </w:rPr>
              <w:t>á vplyv.</w:t>
            </w:r>
          </w:p>
        </w:tc>
      </w:tr>
      <w:tr>
        <w:tblPrEx>
          <w:tblW w:w="0" w:type="auto"/>
          <w:tblLook w:val="04A0"/>
        </w:tblPrEx>
        <w:trPr>
          <w:trHeight w:val="119"/>
        </w:trPr>
        <w:tc>
          <w:tcPr>
            <w:tcW w:w="932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4D4E20" w:rsidRPr="004D4E20" w:rsidP="004D4E20">
            <w:pPr>
              <w:widowControl/>
              <w:bidi w:val="0"/>
              <w:adjustRightInd/>
              <w:spacing w:after="0" w:line="240" w:lineRule="auto"/>
              <w:rPr>
                <w:rFonts w:ascii="Times New Roman" w:hAnsi="Times New Roman"/>
                <w:b/>
                <w:sz w:val="24"/>
                <w:szCs w:val="24"/>
                <w:lang w:eastAsia="sk-SK"/>
              </w:rPr>
            </w:pPr>
            <w:r w:rsidRPr="004D4E20">
              <w:rPr>
                <w:rFonts w:ascii="Times New Roman" w:hAnsi="Times New Roman"/>
                <w:b/>
                <w:sz w:val="24"/>
                <w:szCs w:val="24"/>
                <w:lang w:eastAsia="sk-SK"/>
              </w:rPr>
              <w:t xml:space="preserve">3.5 Inovácie </w:t>
            </w:r>
          </w:p>
          <w:p w:rsidR="004D4E20" w:rsidRPr="004D4E20" w:rsidP="004D4E20">
            <w:pPr>
              <w:widowControl/>
              <w:bidi w:val="0"/>
              <w:adjustRightInd/>
              <w:spacing w:after="0" w:line="240" w:lineRule="auto"/>
              <w:rPr>
                <w:rFonts w:ascii="Times New Roman" w:hAnsi="Times New Roman"/>
                <w:b/>
                <w:sz w:val="24"/>
                <w:szCs w:val="24"/>
                <w:lang w:eastAsia="sk-SK"/>
              </w:rPr>
            </w:pPr>
            <w:r w:rsidRPr="004D4E20">
              <w:rPr>
                <w:rFonts w:ascii="Times New Roman" w:hAnsi="Times New Roman"/>
                <w:sz w:val="24"/>
                <w:szCs w:val="24"/>
                <w:lang w:eastAsia="sk-SK"/>
              </w:rPr>
              <w:t xml:space="preserve">       - </w:t>
            </w:r>
            <w:r w:rsidRPr="004D4E20">
              <w:rPr>
                <w:rFonts w:ascii="Times New Roman" w:hAnsi="Times New Roman"/>
                <w:b/>
                <w:sz w:val="24"/>
                <w:szCs w:val="24"/>
                <w:lang w:eastAsia="sk-SK"/>
              </w:rPr>
              <w:t>z toho MSP</w:t>
            </w:r>
          </w:p>
        </w:tc>
      </w:tr>
      <w:tr>
        <w:tblPrEx>
          <w:tblW w:w="0" w:type="auto"/>
          <w:tblLook w:val="04A0"/>
        </w:tblPrEx>
        <w:trPr>
          <w:trHeight w:val="1147"/>
        </w:trPr>
        <w:tc>
          <w:tcPr>
            <w:tcW w:w="9322" w:type="dxa"/>
            <w:tcBorders>
              <w:top w:val="single" w:sz="4" w:space="0" w:color="auto"/>
              <w:left w:val="single" w:sz="4" w:space="0" w:color="auto"/>
              <w:bottom w:val="single" w:sz="4" w:space="0" w:color="auto"/>
              <w:right w:val="single" w:sz="4" w:space="0" w:color="auto"/>
            </w:tcBorders>
            <w:textDirection w:val="lrTb"/>
            <w:vAlign w:val="top"/>
          </w:tcPr>
          <w:p w:rsidR="004D4E20" w:rsidRPr="004D4E20" w:rsidP="004D4E20">
            <w:pPr>
              <w:widowControl/>
              <w:bidi w:val="0"/>
              <w:adjustRightInd/>
              <w:spacing w:after="0" w:line="240" w:lineRule="auto"/>
              <w:rPr>
                <w:rFonts w:ascii="Times New Roman" w:hAnsi="Times New Roman"/>
                <w:i/>
                <w:sz w:val="24"/>
                <w:szCs w:val="24"/>
                <w:lang w:eastAsia="sk-SK"/>
              </w:rPr>
            </w:pPr>
            <w:r w:rsidRPr="004D4E20">
              <w:rPr>
                <w:rFonts w:ascii="Times New Roman" w:hAnsi="Times New Roman"/>
                <w:i/>
                <w:sz w:val="24"/>
                <w:szCs w:val="24"/>
                <w:lang w:eastAsia="sk-SK"/>
              </w:rPr>
              <w:t>Uveďte, ako podporuje navrhovaná zmena inovácie.</w:t>
            </w:r>
          </w:p>
          <w:p w:rsidR="004D4E20" w:rsidRPr="004D4E20" w:rsidP="004D4E20">
            <w:pPr>
              <w:widowControl/>
              <w:bidi w:val="0"/>
              <w:adjustRightInd/>
              <w:spacing w:after="0" w:line="240" w:lineRule="auto"/>
              <w:rPr>
                <w:rFonts w:ascii="Times New Roman" w:hAnsi="Times New Roman"/>
                <w:i/>
                <w:sz w:val="24"/>
                <w:szCs w:val="24"/>
                <w:lang w:eastAsia="sk-SK"/>
              </w:rPr>
            </w:pPr>
            <w:r w:rsidRPr="004D4E20">
              <w:rPr>
                <w:rFonts w:ascii="Times New Roman" w:hAnsi="Times New Roman"/>
                <w:i/>
                <w:sz w:val="24"/>
                <w:szCs w:val="24"/>
                <w:lang w:eastAsia="sk-SK"/>
              </w:rPr>
              <w:t>Zjednodušuje uvedenie alebo rozšírenie nových výrobných metód, technológií a výrobkov na trh?</w:t>
            </w:r>
          </w:p>
          <w:p w:rsidR="004D4E20" w:rsidRPr="004D4E20" w:rsidP="004D4E20">
            <w:pPr>
              <w:widowControl/>
              <w:bidi w:val="0"/>
              <w:adjustRightInd/>
              <w:spacing w:after="0" w:line="240" w:lineRule="auto"/>
              <w:rPr>
                <w:rFonts w:ascii="Times New Roman" w:hAnsi="Times New Roman"/>
                <w:i/>
                <w:sz w:val="24"/>
                <w:szCs w:val="24"/>
                <w:lang w:eastAsia="sk-SK"/>
              </w:rPr>
            </w:pPr>
            <w:r w:rsidRPr="004D4E20">
              <w:rPr>
                <w:rFonts w:ascii="Times New Roman" w:hAnsi="Times New Roman"/>
                <w:i/>
                <w:sz w:val="24"/>
                <w:szCs w:val="24"/>
                <w:lang w:eastAsia="sk-SK"/>
              </w:rPr>
              <w:t>Uveďte, ako vplýva navrhovaná zmena na jednotlivé práva duševného vlastníctva (napr. patenty, ochranné známky, autorské práva, vlastníctvo know-how).</w:t>
            </w:r>
          </w:p>
          <w:p w:rsidR="004D4E20" w:rsidRPr="004D4E20" w:rsidP="004D4E20">
            <w:pPr>
              <w:widowControl/>
              <w:bidi w:val="0"/>
              <w:adjustRightInd/>
              <w:spacing w:after="0" w:line="240" w:lineRule="auto"/>
              <w:rPr>
                <w:rFonts w:ascii="Times New Roman" w:hAnsi="Times New Roman"/>
                <w:i/>
                <w:sz w:val="24"/>
                <w:szCs w:val="24"/>
                <w:lang w:eastAsia="sk-SK"/>
              </w:rPr>
            </w:pPr>
            <w:r w:rsidRPr="004D4E20">
              <w:rPr>
                <w:rFonts w:ascii="Times New Roman" w:hAnsi="Times New Roman"/>
                <w:i/>
                <w:sz w:val="24"/>
                <w:szCs w:val="24"/>
                <w:lang w:eastAsia="sk-SK"/>
              </w:rPr>
              <w:t>Podporuje vyššiu efektivitu výroby/využívania zdrojov? Ak áno, ako?</w:t>
            </w:r>
          </w:p>
          <w:p w:rsidR="004D4E20" w:rsidRPr="004D4E20" w:rsidP="004D4E20">
            <w:pPr>
              <w:widowControl/>
              <w:bidi w:val="0"/>
              <w:adjustRightInd/>
              <w:spacing w:after="0" w:line="240" w:lineRule="auto"/>
              <w:rPr>
                <w:rFonts w:ascii="Times New Roman" w:hAnsi="Times New Roman"/>
                <w:sz w:val="24"/>
                <w:szCs w:val="24"/>
                <w:lang w:eastAsia="sk-SK"/>
              </w:rPr>
            </w:pPr>
            <w:r w:rsidRPr="004D4E20">
              <w:rPr>
                <w:rFonts w:ascii="Times New Roman" w:hAnsi="Times New Roman"/>
                <w:i/>
                <w:sz w:val="24"/>
                <w:szCs w:val="24"/>
                <w:lang w:eastAsia="sk-SK"/>
              </w:rPr>
              <w:t>Vytvorí zmena nové pracovné miesta pre zamestnancov výskumu a vývoja v SR?</w:t>
            </w:r>
          </w:p>
        </w:tc>
      </w:tr>
      <w:tr>
        <w:tblPrEx>
          <w:tblW w:w="0" w:type="auto"/>
          <w:tblLook w:val="04A0"/>
        </w:tblPrEx>
        <w:trPr>
          <w:trHeight w:val="1445"/>
        </w:trPr>
        <w:tc>
          <w:tcPr>
            <w:tcW w:w="9322" w:type="dxa"/>
            <w:tcBorders>
              <w:top w:val="single" w:sz="4" w:space="0" w:color="auto"/>
              <w:left w:val="single" w:sz="4" w:space="0" w:color="auto"/>
              <w:bottom w:val="single" w:sz="4" w:space="0" w:color="auto"/>
              <w:right w:val="single" w:sz="4" w:space="0" w:color="auto"/>
            </w:tcBorders>
            <w:textDirection w:val="lrTb"/>
            <w:vAlign w:val="top"/>
          </w:tcPr>
          <w:p w:rsidR="004D4E20" w:rsidRPr="004D4E20" w:rsidP="004D4E20">
            <w:pPr>
              <w:widowControl/>
              <w:bidi w:val="0"/>
              <w:adjustRightInd/>
              <w:spacing w:after="0" w:line="240" w:lineRule="auto"/>
              <w:rPr>
                <w:rFonts w:ascii="Times New Roman" w:hAnsi="Times New Roman"/>
                <w:i/>
                <w:sz w:val="24"/>
                <w:szCs w:val="24"/>
                <w:lang w:eastAsia="sk-SK"/>
              </w:rPr>
            </w:pPr>
          </w:p>
        </w:tc>
      </w:tr>
    </w:tbl>
    <w:p w:rsidR="004D4E20" w:rsidRPr="004D4E20" w:rsidP="004D4E20">
      <w:pPr>
        <w:widowControl/>
        <w:bidi w:val="0"/>
        <w:adjustRightInd/>
        <w:spacing w:after="0" w:line="240" w:lineRule="auto"/>
        <w:rPr>
          <w:rFonts w:ascii="Times New Roman" w:hAnsi="Times New Roman"/>
          <w:sz w:val="24"/>
          <w:szCs w:val="24"/>
          <w:lang w:eastAsia="sk-SK"/>
        </w:rPr>
      </w:pPr>
    </w:p>
    <w:p w:rsidR="004D4E20" w:rsidRPr="004D4E20" w:rsidP="004D4E20">
      <w:pPr>
        <w:widowControl/>
        <w:bidi w:val="0"/>
        <w:adjustRightInd/>
        <w:spacing w:after="0" w:line="240" w:lineRule="auto"/>
        <w:rPr>
          <w:rFonts w:ascii="Times New Roman" w:hAnsi="Times New Roman"/>
          <w:sz w:val="24"/>
          <w:szCs w:val="24"/>
          <w:lang w:eastAsia="sk-SK"/>
        </w:rPr>
      </w:pPr>
    </w:p>
    <w:p w:rsidR="004D4E20" w:rsidP="004D4E20">
      <w:pPr>
        <w:widowControl/>
        <w:bidi w:val="0"/>
        <w:adjustRightInd/>
        <w:spacing w:after="0" w:line="240" w:lineRule="auto"/>
        <w:rPr>
          <w:rFonts w:ascii="Times New Roman" w:hAnsi="Times New Roman"/>
          <w:sz w:val="24"/>
          <w:szCs w:val="24"/>
          <w:lang w:eastAsia="sk-SK"/>
        </w:rPr>
      </w:pPr>
      <w:r>
        <w:rPr>
          <w:rFonts w:ascii="Times New Roman" w:hAnsi="Times New Roman"/>
          <w:sz w:val="24"/>
          <w:szCs w:val="24"/>
          <w:lang w:eastAsia="sk-SK"/>
        </w:rPr>
        <w:br w:type="page"/>
      </w:r>
    </w:p>
    <w:p w:rsidR="004D4E20" w:rsidRPr="004D4E20" w:rsidP="004D4E20">
      <w:pPr>
        <w:widowControl/>
        <w:bidi w:val="0"/>
        <w:adjustRightInd/>
        <w:spacing w:after="0" w:line="240" w:lineRule="auto"/>
        <w:jc w:val="center"/>
        <w:rPr>
          <w:rFonts w:ascii="Times New Roman" w:hAnsi="Times New Roman"/>
          <w:b/>
          <w:sz w:val="28"/>
          <w:szCs w:val="28"/>
          <w:lang w:eastAsia="sk-SK"/>
        </w:rPr>
      </w:pPr>
      <w:r w:rsidRPr="004D4E20">
        <w:rPr>
          <w:rFonts w:ascii="Times New Roman" w:hAnsi="Times New Roman"/>
          <w:b/>
          <w:sz w:val="28"/>
          <w:szCs w:val="28"/>
          <w:lang w:eastAsia="sk-SK"/>
        </w:rPr>
        <w:t>Doložka zlučiteľnosti</w:t>
      </w:r>
    </w:p>
    <w:p w:rsidR="004D4E20" w:rsidRPr="004D4E20" w:rsidP="004D4E20">
      <w:pPr>
        <w:widowControl/>
        <w:bidi w:val="0"/>
        <w:adjustRightInd/>
        <w:spacing w:after="0" w:line="240" w:lineRule="auto"/>
        <w:jc w:val="center"/>
        <w:rPr>
          <w:rFonts w:ascii="Times New Roman" w:hAnsi="Times New Roman"/>
          <w:b/>
          <w:sz w:val="28"/>
          <w:szCs w:val="28"/>
          <w:lang w:eastAsia="sk-SK"/>
        </w:rPr>
      </w:pPr>
      <w:r w:rsidRPr="004D4E20">
        <w:rPr>
          <w:rFonts w:ascii="Times New Roman" w:hAnsi="Times New Roman"/>
          <w:b/>
          <w:sz w:val="28"/>
          <w:szCs w:val="28"/>
          <w:lang w:eastAsia="sk-SK"/>
        </w:rPr>
        <w:t>návrhu právneho predpisu s právom Európskej únie</w:t>
      </w:r>
    </w:p>
    <w:p w:rsidR="004D4E20" w:rsidRPr="004D4E20" w:rsidP="004D4E20">
      <w:pPr>
        <w:widowControl/>
        <w:bidi w:val="0"/>
        <w:adjustRightInd/>
        <w:spacing w:after="0" w:line="240" w:lineRule="auto"/>
        <w:rPr>
          <w:rFonts w:ascii="Times New Roman" w:hAnsi="Times New Roman"/>
          <w:b/>
          <w:sz w:val="24"/>
          <w:szCs w:val="24"/>
          <w:lang w:eastAsia="sk-SK"/>
        </w:rPr>
      </w:pPr>
    </w:p>
    <w:p w:rsidR="004D4E20" w:rsidRPr="004D4E20" w:rsidP="004D4E20">
      <w:pPr>
        <w:widowControl/>
        <w:bidi w:val="0"/>
        <w:adjustRightInd/>
        <w:spacing w:after="0" w:line="240" w:lineRule="auto"/>
        <w:rPr>
          <w:rFonts w:ascii="Times New Roman" w:hAnsi="Times New Roman"/>
          <w:b/>
          <w:sz w:val="24"/>
          <w:szCs w:val="24"/>
          <w:lang w:eastAsia="sk-SK"/>
        </w:rPr>
      </w:pPr>
    </w:p>
    <w:tbl>
      <w:tblPr>
        <w:tblStyle w:val="TableGrid"/>
        <w:tblW w:w="10031" w:type="dxa"/>
        <w:tblLook w:val="04A0"/>
      </w:tblPr>
      <w:tblGrid>
        <w:gridCol w:w="404"/>
        <w:gridCol w:w="9627"/>
      </w:tblGrid>
      <w:tr>
        <w:tblPrEx>
          <w:tblW w:w="10031" w:type="dxa"/>
          <w:tblLook w:val="04A0"/>
        </w:tblPrEx>
        <w:tc>
          <w:tcPr>
            <w:tcW w:w="404" w:type="dxa"/>
            <w:tcBorders>
              <w:top w:val="none" w:sz="0" w:space="0" w:color="auto"/>
              <w:left w:val="none" w:sz="0" w:space="0" w:color="auto"/>
              <w:bottom w:val="none" w:sz="0" w:space="0" w:color="auto"/>
              <w:right w:val="none" w:sz="0" w:space="0" w:color="auto"/>
            </w:tcBorders>
            <w:textDirection w:val="lrTb"/>
            <w:vAlign w:val="top"/>
          </w:tcPr>
          <w:p w:rsidR="004D4E20" w:rsidRPr="004D4E20" w:rsidP="004D4E20">
            <w:pPr>
              <w:widowControl/>
              <w:bidi w:val="0"/>
              <w:adjustRightInd/>
              <w:spacing w:after="0" w:line="240" w:lineRule="auto"/>
              <w:rPr>
                <w:rFonts w:ascii="Times New Roman" w:hAnsi="Times New Roman"/>
                <w:b/>
                <w:sz w:val="24"/>
                <w:szCs w:val="24"/>
                <w:lang w:eastAsia="sk-SK"/>
              </w:rPr>
            </w:pPr>
            <w:r w:rsidRPr="004D4E20">
              <w:rPr>
                <w:rFonts w:ascii="Times New Roman" w:hAnsi="Times New Roman"/>
                <w:b/>
                <w:sz w:val="24"/>
                <w:szCs w:val="24"/>
                <w:lang w:eastAsia="sk-SK"/>
              </w:rPr>
              <w:t>1.</w:t>
            </w:r>
          </w:p>
        </w:tc>
        <w:tc>
          <w:tcPr>
            <w:tcW w:w="9627" w:type="dxa"/>
            <w:tcBorders>
              <w:top w:val="none" w:sz="0" w:space="0" w:color="auto"/>
              <w:left w:val="none" w:sz="0" w:space="0" w:color="auto"/>
              <w:bottom w:val="none" w:sz="0" w:space="0" w:color="auto"/>
              <w:right w:val="none" w:sz="0" w:space="0" w:color="auto"/>
            </w:tcBorders>
            <w:textDirection w:val="lrTb"/>
            <w:vAlign w:val="top"/>
          </w:tcPr>
          <w:p w:rsidR="004D4E20" w:rsidRPr="004D4E20" w:rsidP="004D4E20">
            <w:pPr>
              <w:widowControl/>
              <w:bidi w:val="0"/>
              <w:adjustRightInd/>
              <w:spacing w:after="0" w:line="240" w:lineRule="auto"/>
              <w:jc w:val="both"/>
              <w:rPr>
                <w:rFonts w:ascii="Times New Roman" w:hAnsi="Times New Roman"/>
                <w:sz w:val="24"/>
                <w:szCs w:val="24"/>
                <w:lang w:eastAsia="sk-SK"/>
              </w:rPr>
            </w:pPr>
            <w:r w:rsidRPr="004D4E20">
              <w:rPr>
                <w:rFonts w:ascii="Times New Roman" w:hAnsi="Times New Roman"/>
                <w:b/>
                <w:sz w:val="24"/>
                <w:szCs w:val="24"/>
                <w:lang w:eastAsia="sk-SK"/>
              </w:rPr>
              <w:t>Predkladateľ návrhu právneho predpisu:</w:t>
            </w:r>
            <w:r w:rsidRPr="004D4E20">
              <w:rPr>
                <w:rFonts w:ascii="Times New Roman" w:hAnsi="Times New Roman"/>
                <w:sz w:val="24"/>
                <w:szCs w:val="24"/>
                <w:lang w:eastAsia="sk-SK"/>
              </w:rPr>
              <w:t xml:space="preserve"> </w:t>
            </w:r>
            <w:r w:rsidRPr="004D4E20">
              <w:rPr>
                <w:rFonts w:ascii="Times New Roman" w:hAnsi="Times New Roman"/>
                <w:sz w:val="24"/>
                <w:szCs w:val="24"/>
                <w:lang w:eastAsia="sk-SK"/>
              </w:rPr>
              <w:fldChar w:fldCharType="begin"/>
            </w:r>
            <w:r w:rsidRPr="004D4E20">
              <w:rPr>
                <w:rFonts w:ascii="Times New Roman" w:hAnsi="Times New Roman"/>
                <w:sz w:val="24"/>
                <w:szCs w:val="24"/>
                <w:lang w:eastAsia="sk-SK"/>
              </w:rPr>
              <w:instrText xml:space="preserve"> DOCPROPERTY  FSC#SKEDITIONSLOVLEX@103.510:zodpinstitucia  \* MERGEFORMAT </w:instrText>
            </w:r>
            <w:r w:rsidRPr="004D4E20">
              <w:rPr>
                <w:rFonts w:ascii="Times New Roman" w:hAnsi="Times New Roman"/>
                <w:sz w:val="24"/>
                <w:szCs w:val="24"/>
                <w:lang w:eastAsia="sk-SK"/>
              </w:rPr>
              <w:fldChar w:fldCharType="separate"/>
            </w:r>
            <w:r w:rsidRPr="004D4E20">
              <w:rPr>
                <w:rFonts w:ascii="Times New Roman" w:hAnsi="Times New Roman"/>
                <w:sz w:val="24"/>
                <w:szCs w:val="24"/>
                <w:lang w:eastAsia="sk-SK"/>
              </w:rPr>
              <w:t>Úrad pre normalizáciu, metrológiu                                 a skúšobníctvo Slovenskej republiky</w:t>
            </w:r>
            <w:r w:rsidRPr="004D4E20">
              <w:rPr>
                <w:rFonts w:ascii="Times New Roman" w:hAnsi="Times New Roman"/>
                <w:sz w:val="24"/>
                <w:szCs w:val="24"/>
                <w:lang w:eastAsia="sk-SK"/>
              </w:rPr>
              <w:fldChar w:fldCharType="end"/>
            </w:r>
          </w:p>
        </w:tc>
      </w:tr>
      <w:tr>
        <w:tblPrEx>
          <w:tblW w:w="10031" w:type="dxa"/>
          <w:tblLook w:val="04A0"/>
        </w:tblPrEx>
        <w:tc>
          <w:tcPr>
            <w:tcW w:w="404" w:type="dxa"/>
            <w:tcBorders>
              <w:top w:val="none" w:sz="0" w:space="0" w:color="auto"/>
              <w:left w:val="none" w:sz="0" w:space="0" w:color="auto"/>
              <w:bottom w:val="none" w:sz="0" w:space="0" w:color="auto"/>
              <w:right w:val="none" w:sz="0" w:space="0" w:color="auto"/>
            </w:tcBorders>
            <w:textDirection w:val="lrTb"/>
            <w:vAlign w:val="top"/>
          </w:tcPr>
          <w:p w:rsidR="004D4E20" w:rsidRPr="004D4E20" w:rsidP="004D4E20">
            <w:pPr>
              <w:widowControl/>
              <w:bidi w:val="0"/>
              <w:adjustRightInd/>
              <w:spacing w:after="0" w:line="240" w:lineRule="auto"/>
              <w:rPr>
                <w:rFonts w:ascii="Times New Roman" w:hAnsi="Times New Roman"/>
                <w:sz w:val="24"/>
                <w:szCs w:val="24"/>
                <w:lang w:eastAsia="sk-SK"/>
              </w:rPr>
            </w:pPr>
          </w:p>
        </w:tc>
        <w:tc>
          <w:tcPr>
            <w:tcW w:w="9627" w:type="dxa"/>
            <w:tcBorders>
              <w:top w:val="none" w:sz="0" w:space="0" w:color="auto"/>
              <w:left w:val="none" w:sz="0" w:space="0" w:color="auto"/>
              <w:bottom w:val="none" w:sz="0" w:space="0" w:color="auto"/>
              <w:right w:val="none" w:sz="0" w:space="0" w:color="auto"/>
            </w:tcBorders>
            <w:textDirection w:val="lrTb"/>
            <w:vAlign w:val="top"/>
          </w:tcPr>
          <w:p w:rsidR="004D4E20" w:rsidRPr="004D4E20" w:rsidP="004D4E20">
            <w:pPr>
              <w:widowControl/>
              <w:bidi w:val="0"/>
              <w:adjustRightInd/>
              <w:spacing w:after="0" w:line="240" w:lineRule="auto"/>
              <w:rPr>
                <w:rFonts w:ascii="Times New Roman" w:hAnsi="Times New Roman"/>
                <w:sz w:val="24"/>
                <w:szCs w:val="24"/>
                <w:lang w:eastAsia="sk-SK"/>
              </w:rPr>
            </w:pPr>
          </w:p>
        </w:tc>
      </w:tr>
      <w:tr>
        <w:tblPrEx>
          <w:tblW w:w="10031" w:type="dxa"/>
          <w:tblLook w:val="04A0"/>
        </w:tblPrEx>
        <w:tc>
          <w:tcPr>
            <w:tcW w:w="404" w:type="dxa"/>
            <w:tcBorders>
              <w:top w:val="none" w:sz="0" w:space="0" w:color="auto"/>
              <w:left w:val="none" w:sz="0" w:space="0" w:color="auto"/>
              <w:bottom w:val="none" w:sz="0" w:space="0" w:color="auto"/>
              <w:right w:val="none" w:sz="0" w:space="0" w:color="auto"/>
            </w:tcBorders>
            <w:textDirection w:val="lrTb"/>
            <w:vAlign w:val="top"/>
          </w:tcPr>
          <w:p w:rsidR="004D4E20" w:rsidRPr="004D4E20" w:rsidP="004D4E20">
            <w:pPr>
              <w:widowControl/>
              <w:bidi w:val="0"/>
              <w:adjustRightInd/>
              <w:spacing w:after="0" w:line="240" w:lineRule="auto"/>
              <w:rPr>
                <w:rFonts w:ascii="Times New Roman" w:hAnsi="Times New Roman"/>
                <w:b/>
                <w:sz w:val="24"/>
                <w:szCs w:val="24"/>
                <w:lang w:eastAsia="sk-SK"/>
              </w:rPr>
            </w:pPr>
            <w:r w:rsidRPr="004D4E20">
              <w:rPr>
                <w:rFonts w:ascii="Times New Roman" w:hAnsi="Times New Roman"/>
                <w:b/>
                <w:sz w:val="24"/>
                <w:szCs w:val="24"/>
                <w:lang w:eastAsia="sk-SK"/>
              </w:rPr>
              <w:t>2.</w:t>
            </w:r>
          </w:p>
        </w:tc>
        <w:tc>
          <w:tcPr>
            <w:tcW w:w="9627" w:type="dxa"/>
            <w:tcBorders>
              <w:top w:val="none" w:sz="0" w:space="0" w:color="auto"/>
              <w:left w:val="none" w:sz="0" w:space="0" w:color="auto"/>
              <w:bottom w:val="none" w:sz="0" w:space="0" w:color="auto"/>
              <w:right w:val="none" w:sz="0" w:space="0" w:color="auto"/>
            </w:tcBorders>
            <w:textDirection w:val="lrTb"/>
            <w:vAlign w:val="top"/>
          </w:tcPr>
          <w:p w:rsidR="004D4E20" w:rsidRPr="004D4E20" w:rsidP="004D4E20">
            <w:pPr>
              <w:widowControl/>
              <w:bidi w:val="0"/>
              <w:adjustRightInd/>
              <w:spacing w:after="0" w:line="240" w:lineRule="auto"/>
              <w:jc w:val="both"/>
              <w:rPr>
                <w:rFonts w:ascii="Times New Roman" w:hAnsi="Times New Roman"/>
                <w:sz w:val="24"/>
                <w:szCs w:val="24"/>
                <w:lang w:eastAsia="sk-SK"/>
              </w:rPr>
            </w:pPr>
            <w:r w:rsidRPr="004D4E20">
              <w:rPr>
                <w:rFonts w:ascii="Times New Roman" w:hAnsi="Times New Roman"/>
                <w:b/>
                <w:sz w:val="24"/>
                <w:szCs w:val="24"/>
                <w:lang w:eastAsia="sk-SK"/>
              </w:rPr>
              <w:t>Názov návrhu právneho predpisu:</w:t>
            </w:r>
            <w:r w:rsidRPr="004D4E20">
              <w:rPr>
                <w:rFonts w:ascii="Times New Roman" w:hAnsi="Times New Roman"/>
                <w:sz w:val="24"/>
                <w:szCs w:val="24"/>
                <w:lang w:eastAsia="sk-SK"/>
              </w:rPr>
              <w:t xml:space="preserve"> </w:t>
            </w:r>
            <w:r w:rsidRPr="004D4E20">
              <w:rPr>
                <w:rFonts w:ascii="Times New Roman" w:hAnsi="Times New Roman"/>
                <w:sz w:val="24"/>
                <w:szCs w:val="24"/>
                <w:lang w:eastAsia="sk-SK"/>
              </w:rPr>
              <w:fldChar w:fldCharType="begin"/>
            </w:r>
            <w:r w:rsidRPr="004D4E20">
              <w:rPr>
                <w:rFonts w:ascii="Times New Roman" w:hAnsi="Times New Roman"/>
                <w:sz w:val="24"/>
                <w:szCs w:val="24"/>
                <w:lang w:eastAsia="sk-SK"/>
              </w:rPr>
              <w:instrText xml:space="preserve"> DOCPROPERTY  FSC#SKEDITIONSLOVLEX@103.510:plnynazovpredpis  \* MERGEFORMAT </w:instrText>
            </w:r>
            <w:r w:rsidRPr="004D4E20">
              <w:rPr>
                <w:rFonts w:ascii="Times New Roman" w:hAnsi="Times New Roman"/>
                <w:sz w:val="24"/>
                <w:szCs w:val="24"/>
                <w:lang w:eastAsia="sk-SK"/>
              </w:rPr>
              <w:fldChar w:fldCharType="separate"/>
            </w:r>
            <w:r w:rsidRPr="004D4E20">
              <w:rPr>
                <w:rFonts w:ascii="Times New Roman" w:hAnsi="Times New Roman"/>
                <w:sz w:val="24"/>
                <w:szCs w:val="24"/>
                <w:lang w:eastAsia="sk-SK"/>
              </w:rPr>
              <w:t xml:space="preserve"> Zákon o technickej normalizácii a o zmene zákona                    č. 264/1999 Z. z. o technických požiadavkách na výrobky a o posudzovaní zhody a o zmene </w:t>
            </w:r>
            <w:r>
              <w:rPr>
                <w:rFonts w:ascii="Times New Roman" w:hAnsi="Times New Roman"/>
                <w:sz w:val="24"/>
                <w:szCs w:val="24"/>
                <w:lang w:eastAsia="sk-SK"/>
              </w:rPr>
              <w:t xml:space="preserve">                          </w:t>
            </w:r>
            <w:r w:rsidRPr="004D4E20">
              <w:rPr>
                <w:rFonts w:ascii="Times New Roman" w:hAnsi="Times New Roman"/>
                <w:sz w:val="24"/>
                <w:szCs w:val="24"/>
                <w:lang w:eastAsia="sk-SK"/>
              </w:rPr>
              <w:t>a doplnení niektorých zákonov v znení neskorších predpisov</w:t>
            </w:r>
            <w:r w:rsidRPr="004D4E20">
              <w:rPr>
                <w:rFonts w:ascii="Times New Roman" w:hAnsi="Times New Roman"/>
                <w:sz w:val="24"/>
                <w:szCs w:val="24"/>
                <w:lang w:eastAsia="sk-SK"/>
              </w:rPr>
              <w:fldChar w:fldCharType="end"/>
            </w:r>
            <w:r w:rsidRPr="004D4E20">
              <w:rPr>
                <w:rFonts w:ascii="Times New Roman" w:hAnsi="Times New Roman"/>
                <w:sz w:val="24"/>
                <w:szCs w:val="24"/>
                <w:lang w:eastAsia="sk-SK"/>
              </w:rPr>
              <w:fldChar w:fldCharType="begin"/>
            </w:r>
            <w:r w:rsidRPr="004D4E20">
              <w:rPr>
                <w:rFonts w:ascii="Times New Roman" w:hAnsi="Times New Roman"/>
                <w:sz w:val="24"/>
                <w:szCs w:val="24"/>
                <w:lang w:eastAsia="sk-SK"/>
              </w:rPr>
              <w:instrText xml:space="preserve"> DOCPROPERTY  FSC#SKEDITIONSLOVLEX@103.510:plnynazovpredpis1  \* MERGEFORMAT </w:instrText>
            </w:r>
            <w:r w:rsidRPr="004D4E20">
              <w:rPr>
                <w:rFonts w:ascii="Times New Roman" w:hAnsi="Times New Roman"/>
                <w:sz w:val="24"/>
                <w:szCs w:val="24"/>
                <w:lang w:eastAsia="sk-SK"/>
              </w:rPr>
              <w:fldChar w:fldCharType="separate"/>
            </w:r>
            <w:r w:rsidRPr="004D4E20">
              <w:rPr>
                <w:rFonts w:ascii="Times New Roman" w:hAnsi="Times New Roman"/>
                <w:sz w:val="24"/>
                <w:szCs w:val="24"/>
                <w:lang w:eastAsia="sk-SK"/>
              </w:rPr>
              <w:fldChar w:fldCharType="end"/>
            </w:r>
            <w:r w:rsidRPr="004D4E20">
              <w:rPr>
                <w:rFonts w:ascii="Times New Roman" w:hAnsi="Times New Roman"/>
                <w:sz w:val="24"/>
                <w:szCs w:val="24"/>
                <w:lang w:eastAsia="sk-SK"/>
              </w:rPr>
              <w:fldChar w:fldCharType="begin"/>
            </w:r>
            <w:r w:rsidRPr="004D4E20">
              <w:rPr>
                <w:rFonts w:ascii="Times New Roman" w:hAnsi="Times New Roman"/>
                <w:sz w:val="24"/>
                <w:szCs w:val="24"/>
                <w:lang w:eastAsia="sk-SK"/>
              </w:rPr>
              <w:instrText xml:space="preserve"> DOCPROPERTY  FSC#SKEDITIONSLOVLEX@103.510:plnynazovpredpis2  \* MERGEFORMAT </w:instrText>
            </w:r>
            <w:r w:rsidRPr="004D4E20">
              <w:rPr>
                <w:rFonts w:ascii="Times New Roman" w:hAnsi="Times New Roman"/>
                <w:sz w:val="24"/>
                <w:szCs w:val="24"/>
                <w:lang w:eastAsia="sk-SK"/>
              </w:rPr>
              <w:fldChar w:fldCharType="separate"/>
            </w:r>
            <w:r w:rsidRPr="004D4E20">
              <w:rPr>
                <w:rFonts w:ascii="Times New Roman" w:hAnsi="Times New Roman"/>
                <w:sz w:val="24"/>
                <w:szCs w:val="24"/>
                <w:lang w:eastAsia="sk-SK"/>
              </w:rPr>
              <w:fldChar w:fldCharType="end"/>
            </w:r>
            <w:r w:rsidRPr="004D4E20">
              <w:rPr>
                <w:rFonts w:ascii="Times New Roman" w:hAnsi="Times New Roman"/>
                <w:sz w:val="24"/>
                <w:szCs w:val="24"/>
                <w:lang w:eastAsia="sk-SK"/>
              </w:rPr>
              <w:fldChar w:fldCharType="begin"/>
            </w:r>
            <w:r w:rsidRPr="004D4E20">
              <w:rPr>
                <w:rFonts w:ascii="Times New Roman" w:hAnsi="Times New Roman"/>
                <w:sz w:val="24"/>
                <w:szCs w:val="24"/>
                <w:lang w:eastAsia="sk-SK"/>
              </w:rPr>
              <w:instrText xml:space="preserve"> DOCPROPERTY  FSC#SKEDITIONSLOVLEX@103.510:plnynazovpredpis3  \* MERGEFORMAT </w:instrText>
            </w:r>
            <w:r w:rsidRPr="004D4E20">
              <w:rPr>
                <w:rFonts w:ascii="Times New Roman" w:hAnsi="Times New Roman"/>
                <w:sz w:val="24"/>
                <w:szCs w:val="24"/>
                <w:lang w:eastAsia="sk-SK"/>
              </w:rPr>
              <w:fldChar w:fldCharType="separate"/>
            </w:r>
            <w:r w:rsidRPr="004D4E20">
              <w:rPr>
                <w:rFonts w:ascii="Times New Roman" w:hAnsi="Times New Roman"/>
                <w:sz w:val="24"/>
                <w:szCs w:val="24"/>
                <w:lang w:eastAsia="sk-SK"/>
              </w:rPr>
              <w:fldChar w:fldCharType="end"/>
            </w:r>
          </w:p>
        </w:tc>
      </w:tr>
      <w:tr>
        <w:tblPrEx>
          <w:tblW w:w="10031" w:type="dxa"/>
          <w:tblLook w:val="04A0"/>
        </w:tblPrEx>
        <w:tc>
          <w:tcPr>
            <w:tcW w:w="404" w:type="dxa"/>
            <w:tcBorders>
              <w:top w:val="none" w:sz="0" w:space="0" w:color="auto"/>
              <w:left w:val="none" w:sz="0" w:space="0" w:color="auto"/>
              <w:bottom w:val="none" w:sz="0" w:space="0" w:color="auto"/>
              <w:right w:val="none" w:sz="0" w:space="0" w:color="auto"/>
            </w:tcBorders>
            <w:textDirection w:val="lrTb"/>
            <w:vAlign w:val="top"/>
          </w:tcPr>
          <w:p w:rsidR="004D4E20" w:rsidRPr="004D4E20" w:rsidP="004D4E20">
            <w:pPr>
              <w:widowControl/>
              <w:bidi w:val="0"/>
              <w:adjustRightInd/>
              <w:spacing w:after="0" w:line="240" w:lineRule="auto"/>
              <w:rPr>
                <w:rFonts w:ascii="Times New Roman" w:hAnsi="Times New Roman"/>
                <w:sz w:val="24"/>
                <w:szCs w:val="24"/>
                <w:lang w:eastAsia="sk-SK"/>
              </w:rPr>
            </w:pPr>
          </w:p>
        </w:tc>
        <w:tc>
          <w:tcPr>
            <w:tcW w:w="9627" w:type="dxa"/>
            <w:tcBorders>
              <w:top w:val="none" w:sz="0" w:space="0" w:color="auto"/>
              <w:left w:val="none" w:sz="0" w:space="0" w:color="auto"/>
              <w:bottom w:val="none" w:sz="0" w:space="0" w:color="auto"/>
              <w:right w:val="none" w:sz="0" w:space="0" w:color="auto"/>
            </w:tcBorders>
            <w:textDirection w:val="lrTb"/>
            <w:vAlign w:val="top"/>
          </w:tcPr>
          <w:p w:rsidR="004D4E20" w:rsidRPr="004D4E20" w:rsidP="004D4E20">
            <w:pPr>
              <w:widowControl/>
              <w:bidi w:val="0"/>
              <w:adjustRightInd/>
              <w:spacing w:after="0" w:line="240" w:lineRule="auto"/>
              <w:rPr>
                <w:rFonts w:ascii="Times New Roman" w:hAnsi="Times New Roman"/>
                <w:sz w:val="24"/>
                <w:szCs w:val="24"/>
                <w:lang w:eastAsia="sk-SK"/>
              </w:rPr>
            </w:pPr>
          </w:p>
        </w:tc>
      </w:tr>
      <w:tr>
        <w:tblPrEx>
          <w:tblW w:w="10031" w:type="dxa"/>
          <w:tblLook w:val="04A0"/>
        </w:tblPrEx>
        <w:tc>
          <w:tcPr>
            <w:tcW w:w="404" w:type="dxa"/>
            <w:tcBorders>
              <w:top w:val="none" w:sz="0" w:space="0" w:color="auto"/>
              <w:left w:val="none" w:sz="0" w:space="0" w:color="auto"/>
              <w:bottom w:val="none" w:sz="0" w:space="0" w:color="auto"/>
              <w:right w:val="none" w:sz="0" w:space="0" w:color="auto"/>
            </w:tcBorders>
            <w:textDirection w:val="lrTb"/>
            <w:vAlign w:val="top"/>
          </w:tcPr>
          <w:p w:rsidR="004D4E20" w:rsidRPr="004D4E20" w:rsidP="004D4E20">
            <w:pPr>
              <w:widowControl/>
              <w:bidi w:val="0"/>
              <w:adjustRightInd/>
              <w:spacing w:after="0" w:line="240" w:lineRule="auto"/>
              <w:rPr>
                <w:rFonts w:ascii="Times New Roman" w:hAnsi="Times New Roman"/>
                <w:b/>
                <w:sz w:val="24"/>
                <w:szCs w:val="24"/>
                <w:lang w:eastAsia="sk-SK"/>
              </w:rPr>
            </w:pPr>
            <w:r w:rsidRPr="004D4E20">
              <w:rPr>
                <w:rFonts w:ascii="Times New Roman" w:hAnsi="Times New Roman"/>
                <w:b/>
                <w:sz w:val="24"/>
                <w:szCs w:val="24"/>
                <w:lang w:eastAsia="sk-SK"/>
              </w:rPr>
              <w:t>3.</w:t>
            </w:r>
          </w:p>
        </w:tc>
        <w:tc>
          <w:tcPr>
            <w:tcW w:w="9627" w:type="dxa"/>
            <w:tcBorders>
              <w:top w:val="none" w:sz="0" w:space="0" w:color="auto"/>
              <w:left w:val="none" w:sz="0" w:space="0" w:color="auto"/>
              <w:bottom w:val="none" w:sz="0" w:space="0" w:color="auto"/>
              <w:right w:val="none" w:sz="0" w:space="0" w:color="auto"/>
            </w:tcBorders>
            <w:textDirection w:val="lrTb"/>
            <w:vAlign w:val="top"/>
          </w:tcPr>
          <w:p w:rsidR="004D4E20" w:rsidRPr="004D4E20" w:rsidP="004D4E20">
            <w:pPr>
              <w:widowControl/>
              <w:bidi w:val="0"/>
              <w:adjustRightInd/>
              <w:spacing w:after="0" w:line="240" w:lineRule="auto"/>
              <w:rPr>
                <w:rFonts w:ascii="Times New Roman" w:hAnsi="Times New Roman"/>
                <w:b/>
                <w:sz w:val="24"/>
                <w:szCs w:val="24"/>
                <w:lang w:eastAsia="sk-SK"/>
              </w:rPr>
            </w:pPr>
            <w:r w:rsidRPr="004D4E20">
              <w:rPr>
                <w:rFonts w:ascii="Times New Roman" w:hAnsi="Times New Roman"/>
                <w:b/>
                <w:sz w:val="24"/>
                <w:szCs w:val="24"/>
                <w:lang w:eastAsia="sk-SK"/>
              </w:rPr>
              <w:t>Problematika návrhu právneho predpisu:</w:t>
            </w:r>
          </w:p>
          <w:p w:rsidR="004D4E20" w:rsidRPr="004D4E20" w:rsidP="004D4E20">
            <w:pPr>
              <w:widowControl/>
              <w:bidi w:val="0"/>
              <w:adjustRightInd/>
              <w:spacing w:after="0" w:line="240" w:lineRule="auto"/>
              <w:rPr>
                <w:rFonts w:ascii="Times New Roman" w:hAnsi="Times New Roman"/>
                <w:sz w:val="24"/>
                <w:szCs w:val="24"/>
                <w:lang w:eastAsia="sk-SK"/>
              </w:rPr>
            </w:pPr>
          </w:p>
        </w:tc>
      </w:tr>
      <w:tr>
        <w:tblPrEx>
          <w:tblW w:w="10031" w:type="dxa"/>
          <w:tblLook w:val="04A0"/>
        </w:tblPrEx>
        <w:tc>
          <w:tcPr>
            <w:tcW w:w="404" w:type="dxa"/>
            <w:tcBorders>
              <w:top w:val="none" w:sz="0" w:space="0" w:color="auto"/>
              <w:left w:val="none" w:sz="0" w:space="0" w:color="auto"/>
              <w:bottom w:val="none" w:sz="0" w:space="0" w:color="auto"/>
              <w:right w:val="none" w:sz="0" w:space="0" w:color="auto"/>
            </w:tcBorders>
            <w:textDirection w:val="lrTb"/>
            <w:vAlign w:val="top"/>
          </w:tcPr>
          <w:p w:rsidR="004D4E20" w:rsidRPr="004D4E20" w:rsidP="004D4E20">
            <w:pPr>
              <w:widowControl/>
              <w:bidi w:val="0"/>
              <w:adjustRightInd/>
              <w:spacing w:after="0" w:line="240" w:lineRule="auto"/>
              <w:rPr>
                <w:rFonts w:ascii="Times New Roman" w:hAnsi="Times New Roman"/>
                <w:sz w:val="24"/>
                <w:szCs w:val="24"/>
                <w:lang w:eastAsia="sk-SK"/>
              </w:rPr>
            </w:pPr>
          </w:p>
        </w:tc>
        <w:tc>
          <w:tcPr>
            <w:tcW w:w="9627" w:type="dxa"/>
            <w:tcBorders>
              <w:top w:val="none" w:sz="0" w:space="0" w:color="auto"/>
              <w:left w:val="none" w:sz="0" w:space="0" w:color="auto"/>
              <w:bottom w:val="none" w:sz="0" w:space="0" w:color="auto"/>
              <w:right w:val="none" w:sz="0" w:space="0" w:color="auto"/>
            </w:tcBorders>
            <w:textDirection w:val="lrTb"/>
            <w:vAlign w:val="top"/>
          </w:tcPr>
          <w:p w:rsidR="004D4E20" w:rsidRPr="004D4E20" w:rsidP="004D4E20">
            <w:pPr>
              <w:widowControl/>
              <w:numPr>
                <w:numId w:val="3"/>
              </w:numPr>
              <w:bidi w:val="0"/>
              <w:adjustRightInd/>
              <w:spacing w:after="0" w:line="240" w:lineRule="auto"/>
              <w:rPr>
                <w:rFonts w:ascii="Times New Roman" w:hAnsi="Times New Roman"/>
                <w:sz w:val="24"/>
                <w:szCs w:val="24"/>
                <w:lang w:eastAsia="sk-SK"/>
              </w:rPr>
            </w:pPr>
            <w:r w:rsidRPr="004D4E20">
              <w:rPr>
                <w:rFonts w:ascii="Times New Roman" w:hAnsi="Times New Roman"/>
                <w:sz w:val="24"/>
                <w:szCs w:val="24"/>
                <w:lang w:eastAsia="sk-SK"/>
              </w:rPr>
              <w:t>je upravená v práve Európskej únie</w:t>
            </w:r>
          </w:p>
          <w:p w:rsidR="004D4E20" w:rsidRPr="004D4E20" w:rsidP="004D4E20">
            <w:pPr>
              <w:widowControl/>
              <w:bidi w:val="0"/>
              <w:adjustRightInd/>
              <w:spacing w:after="0" w:line="240" w:lineRule="auto"/>
              <w:rPr>
                <w:rFonts w:ascii="Times New Roman" w:hAnsi="Times New Roman"/>
                <w:sz w:val="24"/>
                <w:szCs w:val="24"/>
                <w:lang w:eastAsia="sk-SK"/>
              </w:rPr>
            </w:pPr>
            <w:r w:rsidRPr="004D4E20">
              <w:rPr>
                <w:rFonts w:ascii="Times New Roman" w:hAnsi="Times New Roman"/>
                <w:sz w:val="24"/>
                <w:szCs w:val="24"/>
                <w:lang w:eastAsia="sk-SK"/>
              </w:rPr>
              <w:br/>
            </w:r>
            <w:r w:rsidRPr="004D4E20">
              <w:rPr>
                <w:rFonts w:ascii="Times New Roman" w:hAnsi="Times New Roman"/>
                <w:i/>
                <w:iCs/>
                <w:sz w:val="24"/>
                <w:szCs w:val="24"/>
                <w:lang w:eastAsia="sk-SK"/>
              </w:rPr>
              <w:t xml:space="preserve">- primárnom </w:t>
            </w:r>
            <w:r w:rsidRPr="004D4E20">
              <w:rPr>
                <w:rFonts w:ascii="Times New Roman" w:hAnsi="Times New Roman"/>
                <w:sz w:val="24"/>
                <w:szCs w:val="24"/>
                <w:lang w:eastAsia="sk-SK"/>
              </w:rPr>
              <w:br/>
              <w:br/>
              <w:t>článok 114 Zmluvy o fungovaní Európskej únie</w:t>
            </w:r>
          </w:p>
          <w:p w:rsidR="004D4E20" w:rsidRPr="004D4E20" w:rsidP="004D4E20">
            <w:pPr>
              <w:widowControl/>
              <w:bidi w:val="0"/>
              <w:adjustRightInd/>
              <w:spacing w:after="0" w:line="240" w:lineRule="auto"/>
              <w:rPr>
                <w:rFonts w:ascii="Times New Roman" w:hAnsi="Times New Roman"/>
                <w:sz w:val="24"/>
                <w:szCs w:val="24"/>
                <w:lang w:eastAsia="sk-SK"/>
              </w:rPr>
            </w:pPr>
          </w:p>
          <w:p w:rsidR="004D4E20" w:rsidP="004D4E20">
            <w:pPr>
              <w:widowControl/>
              <w:bidi w:val="0"/>
              <w:adjustRightInd/>
              <w:spacing w:after="0" w:line="240" w:lineRule="auto"/>
              <w:jc w:val="both"/>
              <w:rPr>
                <w:rFonts w:ascii="Times New Roman" w:hAnsi="Times New Roman"/>
                <w:sz w:val="24"/>
                <w:szCs w:val="24"/>
                <w:lang w:eastAsia="sk-SK"/>
              </w:rPr>
            </w:pPr>
            <w:r w:rsidRPr="004D4E20">
              <w:rPr>
                <w:rFonts w:ascii="Times New Roman" w:hAnsi="Times New Roman"/>
                <w:i/>
                <w:iCs/>
                <w:sz w:val="24"/>
                <w:szCs w:val="24"/>
                <w:lang w:eastAsia="sk-SK"/>
              </w:rPr>
              <w:t>- sekundárnom (prijatom po nadobudnutím platnosti Lisabonskej zmluvy, ktorou sa mení                         a dopĺňa Zmluva o Európskom spoločenstve a Zmluva o Európskej únii – po 30. novembri 2009)</w:t>
            </w:r>
            <w:r w:rsidRPr="004D4E20">
              <w:rPr>
                <w:rFonts w:ascii="Times New Roman" w:hAnsi="Times New Roman"/>
                <w:sz w:val="24"/>
                <w:szCs w:val="24"/>
                <w:lang w:eastAsia="sk-SK"/>
              </w:rPr>
              <w:br/>
              <w:br/>
              <w:t>1. legislatívne akty:</w:t>
            </w:r>
          </w:p>
          <w:p w:rsidR="004D4E20" w:rsidRPr="004D4E20" w:rsidP="004D4E20">
            <w:pPr>
              <w:widowControl/>
              <w:bidi w:val="0"/>
              <w:adjustRightInd/>
              <w:spacing w:after="0" w:line="240" w:lineRule="auto"/>
              <w:jc w:val="both"/>
              <w:rPr>
                <w:rFonts w:ascii="Times New Roman" w:hAnsi="Times New Roman"/>
                <w:sz w:val="24"/>
                <w:szCs w:val="24"/>
                <w:lang w:eastAsia="sk-SK"/>
              </w:rPr>
            </w:pPr>
            <w:r w:rsidRPr="004D4E20">
              <w:rPr>
                <w:rFonts w:ascii="Times New Roman" w:hAnsi="Times New Roman"/>
                <w:sz w:val="24"/>
                <w:szCs w:val="24"/>
                <w:lang w:eastAsia="sk-SK"/>
              </w:rPr>
              <w:br/>
              <w:t>- nariadenie Európskeho parlamentu a Rady (EÚ) č. 1025/2012 z 25. októbra 2012                           o európskej normalizácii, ktorým sa menia a dopĺňajú smernice Rady 89/686/EHS                             a 93/15/EHS a smernice Európskeho parlamentu a Rady 94/9/ES, 94/25/ES, 95/16/ES, 97/23/ES, 98/34/ES, 2004/22/ES, 2007/23/ES, 2009/23/ES a 2009/105/ES a ktorým sa zrušuje rozhodnutie Rady 87/95/EHS a rozhodnutie Európskeho parlamentu a Rady č. 1673/2006/ES (Ú. v. EÚ L 316, 14.11.2012)</w:t>
            </w:r>
          </w:p>
          <w:p w:rsidR="004D4E20" w:rsidRPr="004D4E20" w:rsidP="004D4E20">
            <w:pPr>
              <w:widowControl/>
              <w:bidi w:val="0"/>
              <w:adjustRightInd/>
              <w:spacing w:after="0" w:line="240" w:lineRule="auto"/>
              <w:rPr>
                <w:rFonts w:ascii="Times New Roman" w:hAnsi="Times New Roman"/>
                <w:sz w:val="24"/>
                <w:szCs w:val="24"/>
                <w:lang w:eastAsia="sk-SK"/>
              </w:rPr>
            </w:pPr>
          </w:p>
          <w:p w:rsidR="004D4E20" w:rsidRPr="004D4E20" w:rsidP="004D4E20">
            <w:pPr>
              <w:widowControl/>
              <w:bidi w:val="0"/>
              <w:adjustRightInd/>
              <w:spacing w:after="0" w:line="240" w:lineRule="auto"/>
              <w:rPr>
                <w:rFonts w:ascii="Times New Roman" w:hAnsi="Times New Roman"/>
                <w:sz w:val="24"/>
                <w:szCs w:val="24"/>
                <w:lang w:eastAsia="sk-SK"/>
              </w:rPr>
            </w:pPr>
            <w:r w:rsidRPr="004D4E20">
              <w:rPr>
                <w:rFonts w:ascii="Times New Roman" w:hAnsi="Times New Roman"/>
                <w:sz w:val="24"/>
                <w:szCs w:val="24"/>
                <w:lang w:eastAsia="sk-SK"/>
              </w:rPr>
              <w:t xml:space="preserve">2. nelegislatívne akty: </w:t>
              <w:br/>
              <w:br/>
              <w:t>-</w:t>
            </w:r>
          </w:p>
          <w:p w:rsidR="004D4E20" w:rsidRPr="004D4E20" w:rsidP="004D4E20">
            <w:pPr>
              <w:widowControl/>
              <w:bidi w:val="0"/>
              <w:adjustRightInd/>
              <w:spacing w:after="0" w:line="240" w:lineRule="auto"/>
              <w:rPr>
                <w:rFonts w:ascii="Times New Roman" w:hAnsi="Times New Roman"/>
                <w:sz w:val="24"/>
                <w:szCs w:val="24"/>
                <w:lang w:eastAsia="sk-SK"/>
              </w:rPr>
            </w:pPr>
          </w:p>
          <w:p w:rsidR="004D4E20" w:rsidRPr="004D4E20" w:rsidP="004D4E20">
            <w:pPr>
              <w:widowControl/>
              <w:bidi w:val="0"/>
              <w:adjustRightInd/>
              <w:spacing w:after="0" w:line="240" w:lineRule="auto"/>
              <w:rPr>
                <w:rFonts w:ascii="Times New Roman" w:hAnsi="Times New Roman"/>
                <w:sz w:val="24"/>
                <w:szCs w:val="24"/>
                <w:lang w:eastAsia="sk-SK"/>
              </w:rPr>
            </w:pPr>
            <w:r w:rsidRPr="004D4E20">
              <w:rPr>
                <w:rFonts w:ascii="Times New Roman" w:hAnsi="Times New Roman"/>
                <w:i/>
                <w:iCs/>
                <w:sz w:val="24"/>
                <w:szCs w:val="24"/>
                <w:lang w:eastAsia="sk-SK"/>
              </w:rPr>
              <w:t>- sekundárnom (prijatom pred nadobudnutím platnosti Lisabonskej zmluvy)</w:t>
              <w:br/>
              <w:br/>
              <w:t>-</w:t>
            </w:r>
          </w:p>
          <w:p w:rsidR="004D4E20" w:rsidRPr="004D4E20" w:rsidP="004D4E20">
            <w:pPr>
              <w:widowControl/>
              <w:bidi w:val="0"/>
              <w:adjustRightInd/>
              <w:spacing w:after="0" w:line="240" w:lineRule="auto"/>
              <w:rPr>
                <w:rFonts w:ascii="Times New Roman" w:hAnsi="Times New Roman"/>
                <w:sz w:val="24"/>
                <w:szCs w:val="24"/>
                <w:lang w:eastAsia="sk-SK"/>
              </w:rPr>
            </w:pPr>
          </w:p>
          <w:p w:rsidR="004D4E20" w:rsidRPr="004D4E20" w:rsidP="004D4E20">
            <w:pPr>
              <w:widowControl/>
              <w:bidi w:val="0"/>
              <w:adjustRightInd/>
              <w:spacing w:after="0" w:line="240" w:lineRule="auto"/>
              <w:rPr>
                <w:rFonts w:ascii="Times New Roman" w:hAnsi="Times New Roman"/>
                <w:sz w:val="24"/>
                <w:szCs w:val="24"/>
                <w:lang w:eastAsia="sk-SK"/>
              </w:rPr>
            </w:pPr>
          </w:p>
        </w:tc>
      </w:tr>
      <w:tr>
        <w:tblPrEx>
          <w:tblW w:w="10031" w:type="dxa"/>
          <w:tblLook w:val="04A0"/>
        </w:tblPrEx>
        <w:tc>
          <w:tcPr>
            <w:tcW w:w="404" w:type="dxa"/>
            <w:tcBorders>
              <w:top w:val="none" w:sz="0" w:space="0" w:color="auto"/>
              <w:left w:val="none" w:sz="0" w:space="0" w:color="auto"/>
              <w:bottom w:val="none" w:sz="0" w:space="0" w:color="auto"/>
              <w:right w:val="none" w:sz="0" w:space="0" w:color="auto"/>
            </w:tcBorders>
            <w:textDirection w:val="lrTb"/>
            <w:vAlign w:val="top"/>
          </w:tcPr>
          <w:p w:rsidR="004D4E20" w:rsidRPr="004D4E20" w:rsidP="004D4E20">
            <w:pPr>
              <w:widowControl/>
              <w:bidi w:val="0"/>
              <w:adjustRightInd/>
              <w:spacing w:after="0" w:line="240" w:lineRule="auto"/>
              <w:rPr>
                <w:rFonts w:ascii="Times New Roman" w:hAnsi="Times New Roman"/>
                <w:sz w:val="24"/>
                <w:szCs w:val="24"/>
                <w:lang w:eastAsia="sk-SK"/>
              </w:rPr>
            </w:pPr>
          </w:p>
        </w:tc>
        <w:tc>
          <w:tcPr>
            <w:tcW w:w="9627" w:type="dxa"/>
            <w:tcBorders>
              <w:top w:val="none" w:sz="0" w:space="0" w:color="auto"/>
              <w:left w:val="none" w:sz="0" w:space="0" w:color="auto"/>
              <w:bottom w:val="none" w:sz="0" w:space="0" w:color="auto"/>
              <w:right w:val="none" w:sz="0" w:space="0" w:color="auto"/>
            </w:tcBorders>
            <w:textDirection w:val="lrTb"/>
            <w:vAlign w:val="top"/>
          </w:tcPr>
          <w:p w:rsidR="004D4E20" w:rsidRPr="004D4E20" w:rsidP="004D4E20">
            <w:pPr>
              <w:widowControl/>
              <w:numPr>
                <w:numId w:val="3"/>
              </w:numPr>
              <w:bidi w:val="0"/>
              <w:adjustRightInd/>
              <w:spacing w:after="0" w:line="240" w:lineRule="auto"/>
              <w:rPr>
                <w:rFonts w:ascii="Times New Roman" w:hAnsi="Times New Roman"/>
                <w:sz w:val="24"/>
                <w:szCs w:val="24"/>
                <w:lang w:eastAsia="sk-SK"/>
              </w:rPr>
            </w:pPr>
            <w:r w:rsidRPr="004D4E20">
              <w:rPr>
                <w:rFonts w:ascii="Times New Roman" w:hAnsi="Times New Roman"/>
                <w:sz w:val="24"/>
                <w:szCs w:val="24"/>
                <w:lang w:eastAsia="sk-SK"/>
              </w:rPr>
              <w:t>nie je obsiahnutá v judikatúre Súdneho dvora Európskej únie</w:t>
            </w:r>
          </w:p>
          <w:p w:rsidR="004D4E20" w:rsidRPr="004D4E20" w:rsidP="004D4E20">
            <w:pPr>
              <w:widowControl/>
              <w:bidi w:val="0"/>
              <w:adjustRightInd/>
              <w:spacing w:after="0" w:line="240" w:lineRule="auto"/>
              <w:rPr>
                <w:rFonts w:ascii="Times New Roman" w:hAnsi="Times New Roman"/>
                <w:sz w:val="24"/>
                <w:szCs w:val="24"/>
                <w:lang w:eastAsia="sk-SK"/>
              </w:rPr>
            </w:pPr>
          </w:p>
          <w:p w:rsidR="004D4E20" w:rsidRPr="004D4E20" w:rsidP="004D4E20">
            <w:pPr>
              <w:widowControl/>
              <w:bidi w:val="0"/>
              <w:adjustRightInd/>
              <w:spacing w:after="0" w:line="240" w:lineRule="auto"/>
              <w:rPr>
                <w:rFonts w:ascii="Times New Roman" w:hAnsi="Times New Roman"/>
                <w:sz w:val="24"/>
                <w:szCs w:val="24"/>
                <w:lang w:eastAsia="sk-SK"/>
              </w:rPr>
            </w:pPr>
          </w:p>
        </w:tc>
      </w:tr>
      <w:tr>
        <w:tblPrEx>
          <w:tblW w:w="10031" w:type="dxa"/>
          <w:tblLook w:val="04A0"/>
        </w:tblPrEx>
        <w:tc>
          <w:tcPr>
            <w:tcW w:w="404" w:type="dxa"/>
            <w:tcBorders>
              <w:top w:val="none" w:sz="0" w:space="0" w:color="auto"/>
              <w:left w:val="none" w:sz="0" w:space="0" w:color="auto"/>
              <w:bottom w:val="none" w:sz="0" w:space="0" w:color="auto"/>
              <w:right w:val="none" w:sz="0" w:space="0" w:color="auto"/>
            </w:tcBorders>
            <w:textDirection w:val="lrTb"/>
            <w:vAlign w:val="top"/>
          </w:tcPr>
          <w:p w:rsidR="004D4E20" w:rsidRPr="004D4E20" w:rsidP="004D4E20">
            <w:pPr>
              <w:widowControl/>
              <w:bidi w:val="0"/>
              <w:adjustRightInd/>
              <w:spacing w:after="0" w:line="240" w:lineRule="auto"/>
              <w:rPr>
                <w:rFonts w:ascii="Times New Roman" w:hAnsi="Times New Roman"/>
                <w:b/>
                <w:sz w:val="24"/>
                <w:szCs w:val="24"/>
                <w:lang w:eastAsia="sk-SK"/>
              </w:rPr>
            </w:pPr>
          </w:p>
        </w:tc>
        <w:tc>
          <w:tcPr>
            <w:tcW w:w="9627" w:type="dxa"/>
            <w:tcBorders>
              <w:top w:val="none" w:sz="0" w:space="0" w:color="auto"/>
              <w:left w:val="none" w:sz="0" w:space="0" w:color="auto"/>
              <w:bottom w:val="none" w:sz="0" w:space="0" w:color="auto"/>
              <w:right w:val="none" w:sz="0" w:space="0" w:color="auto"/>
            </w:tcBorders>
            <w:textDirection w:val="lrTb"/>
            <w:vAlign w:val="top"/>
          </w:tcPr>
          <w:p w:rsidR="004D4E20" w:rsidRPr="004D4E20" w:rsidP="004D4E20">
            <w:pPr>
              <w:widowControl/>
              <w:bidi w:val="0"/>
              <w:adjustRightInd/>
              <w:spacing w:after="0" w:line="240" w:lineRule="auto"/>
              <w:rPr>
                <w:rFonts w:ascii="Times New Roman" w:hAnsi="Times New Roman"/>
                <w:sz w:val="24"/>
                <w:szCs w:val="24"/>
                <w:lang w:eastAsia="sk-SK"/>
              </w:rPr>
            </w:pPr>
          </w:p>
        </w:tc>
      </w:tr>
    </w:tbl>
    <w:tbl>
      <w:tblPr>
        <w:tblStyle w:val="TableNormal"/>
        <w:tblW w:w="5000" w:type="pct"/>
        <w:jc w:val="center"/>
        <w:tblCellMar>
          <w:left w:w="0" w:type="dxa"/>
          <w:right w:w="0" w:type="dxa"/>
        </w:tblCellMar>
        <w:tblLook w:val="04A0"/>
      </w:tblPr>
      <w:tblGrid>
        <w:gridCol w:w="470"/>
        <w:gridCol w:w="282"/>
        <w:gridCol w:w="8652"/>
      </w:tblGrid>
      <w:tr>
        <w:tblPrEx>
          <w:tblW w:w="5000" w:type="pct"/>
          <w:jc w:val="center"/>
          <w:tblCellMar>
            <w:left w:w="0" w:type="dxa"/>
            <w:right w:w="0" w:type="dxa"/>
          </w:tblCellMar>
          <w:tblLook w:val="04A0"/>
        </w:tblPrEx>
        <w:trPr>
          <w:jc w:val="center"/>
        </w:trPr>
        <w:tc>
          <w:tcPr>
            <w:tcW w:w="250" w:type="pct"/>
            <w:tcBorders>
              <w:top w:val="nil"/>
              <w:left w:val="nil"/>
              <w:bottom w:val="nil"/>
              <w:right w:val="nil"/>
            </w:tcBorders>
            <w:textDirection w:val="lrTb"/>
            <w:vAlign w:val="top"/>
            <w:hideMark/>
          </w:tcPr>
          <w:p w:rsidR="004D4E20" w:rsidRPr="004D4E20" w:rsidP="004D4E20">
            <w:pPr>
              <w:widowControl/>
              <w:bidi w:val="0"/>
              <w:adjustRightInd/>
              <w:spacing w:after="0" w:line="240" w:lineRule="auto"/>
              <w:rPr>
                <w:rFonts w:ascii="Times New Roman" w:hAnsi="Times New Roman"/>
                <w:b/>
                <w:bCs/>
                <w:sz w:val="24"/>
                <w:szCs w:val="24"/>
                <w:lang w:eastAsia="sk-SK"/>
              </w:rPr>
            </w:pPr>
            <w:r w:rsidRPr="004D4E20">
              <w:rPr>
                <w:rFonts w:ascii="Times New Roman" w:hAnsi="Times New Roman"/>
                <w:b/>
                <w:bCs/>
                <w:sz w:val="24"/>
                <w:szCs w:val="24"/>
                <w:lang w:eastAsia="sk-SK"/>
              </w:rPr>
              <w:t>4.</w:t>
            </w:r>
          </w:p>
        </w:tc>
        <w:tc>
          <w:tcPr>
            <w:tcW w:w="4750" w:type="pct"/>
            <w:gridSpan w:val="2"/>
            <w:tcBorders>
              <w:top w:val="nil"/>
              <w:left w:val="nil"/>
              <w:bottom w:val="nil"/>
              <w:right w:val="nil"/>
            </w:tcBorders>
            <w:textDirection w:val="lrTb"/>
            <w:vAlign w:val="center"/>
            <w:hideMark/>
          </w:tcPr>
          <w:p w:rsidR="004D4E20" w:rsidRPr="004D4E20" w:rsidP="004D4E20">
            <w:pPr>
              <w:widowControl/>
              <w:bidi w:val="0"/>
              <w:adjustRightInd/>
              <w:spacing w:after="0" w:line="240" w:lineRule="auto"/>
              <w:rPr>
                <w:rFonts w:ascii="Times New Roman" w:hAnsi="Times New Roman"/>
                <w:b/>
                <w:bCs/>
                <w:sz w:val="24"/>
                <w:szCs w:val="24"/>
                <w:lang w:eastAsia="sk-SK"/>
              </w:rPr>
            </w:pPr>
            <w:r w:rsidRPr="004D4E20">
              <w:rPr>
                <w:rFonts w:ascii="Times New Roman" w:hAnsi="Times New Roman"/>
                <w:b/>
                <w:bCs/>
                <w:sz w:val="24"/>
                <w:szCs w:val="24"/>
                <w:lang w:eastAsia="sk-SK"/>
              </w:rPr>
              <w:t>Záväzky Slovenskej republiky vo vzťahu k Európskej únii:</w:t>
            </w:r>
          </w:p>
        </w:tc>
      </w:tr>
      <w:tr>
        <w:tblPrEx>
          <w:tblW w:w="5000" w:type="pct"/>
          <w:jc w:val="center"/>
          <w:tblCellMar>
            <w:left w:w="0" w:type="dxa"/>
            <w:right w:w="0" w:type="dxa"/>
          </w:tblCellMar>
          <w:tblLook w:val="04A0"/>
        </w:tblPrEx>
        <w:trPr>
          <w:jc w:val="center"/>
        </w:trPr>
        <w:tc>
          <w:tcPr>
            <w:tcW w:w="0" w:type="auto"/>
            <w:tcBorders>
              <w:top w:val="nil"/>
              <w:left w:val="nil"/>
              <w:bottom w:val="nil"/>
              <w:right w:val="nil"/>
            </w:tcBorders>
            <w:textDirection w:val="lrTb"/>
            <w:vAlign w:val="top"/>
            <w:hideMark/>
          </w:tcPr>
          <w:p w:rsidR="004D4E20" w:rsidRPr="004D4E20" w:rsidP="004D4E20">
            <w:pPr>
              <w:widowControl/>
              <w:bidi w:val="0"/>
              <w:adjustRightInd/>
              <w:spacing w:after="0" w:line="240" w:lineRule="auto"/>
              <w:rPr>
                <w:rFonts w:ascii="Times New Roman" w:hAnsi="Times New Roman"/>
                <w:b/>
                <w:bCs/>
                <w:sz w:val="24"/>
                <w:szCs w:val="24"/>
                <w:lang w:eastAsia="sk-SK"/>
              </w:rPr>
            </w:pPr>
          </w:p>
        </w:tc>
        <w:tc>
          <w:tcPr>
            <w:tcW w:w="150" w:type="pct"/>
            <w:tcBorders>
              <w:top w:val="nil"/>
              <w:left w:val="nil"/>
              <w:bottom w:val="nil"/>
              <w:right w:val="nil"/>
            </w:tcBorders>
            <w:textDirection w:val="lrTb"/>
            <w:vAlign w:val="top"/>
            <w:hideMark/>
          </w:tcPr>
          <w:p w:rsidR="004D4E20" w:rsidRPr="004D4E20" w:rsidP="004D4E20">
            <w:pPr>
              <w:widowControl/>
              <w:bidi w:val="0"/>
              <w:adjustRightInd/>
              <w:spacing w:after="0" w:line="240" w:lineRule="auto"/>
              <w:rPr>
                <w:rFonts w:ascii="Times New Roman" w:hAnsi="Times New Roman"/>
                <w:sz w:val="24"/>
                <w:szCs w:val="24"/>
                <w:lang w:eastAsia="sk-SK"/>
              </w:rPr>
            </w:pPr>
            <w:r w:rsidRPr="004D4E20">
              <w:rPr>
                <w:rFonts w:ascii="Times New Roman" w:hAnsi="Times New Roman"/>
                <w:sz w:val="24"/>
                <w:szCs w:val="24"/>
                <w:lang w:eastAsia="sk-SK"/>
              </w:rPr>
              <w:t>a)</w:t>
            </w:r>
          </w:p>
        </w:tc>
        <w:tc>
          <w:tcPr>
            <w:tcW w:w="0" w:type="auto"/>
            <w:tcBorders>
              <w:top w:val="nil"/>
              <w:left w:val="nil"/>
              <w:bottom w:val="nil"/>
              <w:right w:val="nil"/>
            </w:tcBorders>
            <w:textDirection w:val="lrTb"/>
            <w:vAlign w:val="center"/>
            <w:hideMark/>
          </w:tcPr>
          <w:p w:rsidR="004D4E20" w:rsidRPr="004D4E20" w:rsidP="004D4E20">
            <w:pPr>
              <w:widowControl/>
              <w:bidi w:val="0"/>
              <w:adjustRightInd/>
              <w:spacing w:after="0" w:line="240" w:lineRule="auto"/>
              <w:jc w:val="both"/>
              <w:rPr>
                <w:rFonts w:ascii="Times New Roman" w:hAnsi="Times New Roman"/>
                <w:sz w:val="24"/>
                <w:szCs w:val="24"/>
                <w:lang w:eastAsia="sk-SK"/>
              </w:rPr>
            </w:pPr>
            <w:r w:rsidRPr="004D4E20">
              <w:rPr>
                <w:rFonts w:ascii="Times New Roman" w:hAnsi="Times New Roman"/>
                <w:sz w:val="24"/>
                <w:szCs w:val="24"/>
                <w:lang w:eastAsia="sk-SK"/>
              </w:rPr>
              <w:t>lehota na prebratie smernice alebo lehota na implementáciu nariadenia alebo rozhodnutia</w:t>
            </w:r>
          </w:p>
        </w:tc>
      </w:tr>
      <w:tr>
        <w:tblPrEx>
          <w:tblW w:w="5000" w:type="pct"/>
          <w:jc w:val="center"/>
          <w:tblCellMar>
            <w:left w:w="0" w:type="dxa"/>
            <w:right w:w="0" w:type="dxa"/>
          </w:tblCellMar>
          <w:tblLook w:val="04A0"/>
        </w:tblPrEx>
        <w:trPr>
          <w:jc w:val="center"/>
        </w:trPr>
        <w:tc>
          <w:tcPr>
            <w:tcW w:w="0" w:type="auto"/>
            <w:tcBorders>
              <w:top w:val="nil"/>
              <w:left w:val="nil"/>
              <w:bottom w:val="nil"/>
              <w:right w:val="nil"/>
            </w:tcBorders>
            <w:textDirection w:val="lrTb"/>
            <w:vAlign w:val="top"/>
            <w:hideMark/>
          </w:tcPr>
          <w:p w:rsidR="004D4E20" w:rsidRPr="004D4E20" w:rsidP="004D4E20">
            <w:pPr>
              <w:widowControl/>
              <w:bidi w:val="0"/>
              <w:adjustRightInd/>
              <w:spacing w:after="0" w:line="240" w:lineRule="auto"/>
              <w:rPr>
                <w:rFonts w:ascii="Times New Roman" w:hAnsi="Times New Roman"/>
                <w:sz w:val="24"/>
                <w:szCs w:val="24"/>
                <w:lang w:eastAsia="sk-SK"/>
              </w:rPr>
            </w:pPr>
          </w:p>
        </w:tc>
        <w:tc>
          <w:tcPr>
            <w:tcW w:w="0" w:type="auto"/>
            <w:tcBorders>
              <w:top w:val="nil"/>
              <w:left w:val="nil"/>
              <w:bottom w:val="nil"/>
              <w:right w:val="nil"/>
            </w:tcBorders>
            <w:textDirection w:val="lrTb"/>
            <w:vAlign w:val="top"/>
            <w:hideMark/>
          </w:tcPr>
          <w:p w:rsidR="004D4E20" w:rsidRPr="004D4E20" w:rsidP="004D4E20">
            <w:pPr>
              <w:widowControl/>
              <w:bidi w:val="0"/>
              <w:adjustRightInd/>
              <w:spacing w:after="0" w:line="240" w:lineRule="auto"/>
              <w:rPr>
                <w:rFonts w:ascii="Times New Roman" w:hAnsi="Times New Roman"/>
                <w:sz w:val="24"/>
                <w:szCs w:val="24"/>
                <w:lang w:eastAsia="sk-SK"/>
              </w:rPr>
            </w:pPr>
          </w:p>
        </w:tc>
        <w:tc>
          <w:tcPr>
            <w:tcW w:w="0" w:type="auto"/>
            <w:tcBorders>
              <w:top w:val="nil"/>
              <w:left w:val="nil"/>
              <w:bottom w:val="nil"/>
              <w:right w:val="nil"/>
            </w:tcBorders>
            <w:textDirection w:val="lrTb"/>
            <w:vAlign w:val="center"/>
            <w:hideMark/>
          </w:tcPr>
          <w:p w:rsidR="004D4E20" w:rsidRPr="004D4E20" w:rsidP="004D4E20">
            <w:pPr>
              <w:widowControl/>
              <w:bidi w:val="0"/>
              <w:adjustRightInd/>
              <w:spacing w:after="0" w:line="240" w:lineRule="auto"/>
              <w:rPr>
                <w:rFonts w:ascii="Times New Roman" w:hAnsi="Times New Roman"/>
                <w:sz w:val="24"/>
                <w:szCs w:val="24"/>
                <w:lang w:eastAsia="sk-SK"/>
              </w:rPr>
            </w:pPr>
            <w:r w:rsidRPr="004D4E20">
              <w:rPr>
                <w:rFonts w:ascii="Times New Roman" w:hAnsi="Times New Roman"/>
                <w:sz w:val="24"/>
                <w:szCs w:val="24"/>
                <w:lang w:eastAsia="sk-SK"/>
              </w:rPr>
              <w:t>do 1. januára 2013 pri nariadení (EÚ) č.1025 /2012</w:t>
              <w:br/>
            </w:r>
          </w:p>
        </w:tc>
      </w:tr>
      <w:tr>
        <w:tblPrEx>
          <w:tblW w:w="5000" w:type="pct"/>
          <w:jc w:val="center"/>
          <w:tblCellMar>
            <w:left w:w="0" w:type="dxa"/>
            <w:right w:w="0" w:type="dxa"/>
          </w:tblCellMar>
          <w:tblLook w:val="04A0"/>
        </w:tblPrEx>
        <w:trPr>
          <w:jc w:val="center"/>
        </w:trPr>
        <w:tc>
          <w:tcPr>
            <w:tcW w:w="0" w:type="auto"/>
            <w:tcBorders>
              <w:top w:val="nil"/>
              <w:left w:val="nil"/>
              <w:bottom w:val="nil"/>
              <w:right w:val="nil"/>
            </w:tcBorders>
            <w:textDirection w:val="lrTb"/>
            <w:vAlign w:val="top"/>
            <w:hideMark/>
          </w:tcPr>
          <w:p w:rsidR="004D4E20" w:rsidRPr="004D4E20" w:rsidP="004D4E20">
            <w:pPr>
              <w:widowControl/>
              <w:bidi w:val="0"/>
              <w:adjustRightInd/>
              <w:spacing w:after="0" w:line="240" w:lineRule="auto"/>
              <w:rPr>
                <w:rFonts w:ascii="Times New Roman" w:hAnsi="Times New Roman"/>
                <w:sz w:val="24"/>
                <w:szCs w:val="24"/>
                <w:lang w:eastAsia="sk-SK"/>
              </w:rPr>
            </w:pPr>
          </w:p>
        </w:tc>
        <w:tc>
          <w:tcPr>
            <w:tcW w:w="0" w:type="auto"/>
            <w:tcBorders>
              <w:top w:val="nil"/>
              <w:left w:val="nil"/>
              <w:bottom w:val="nil"/>
              <w:right w:val="nil"/>
            </w:tcBorders>
            <w:textDirection w:val="lrTb"/>
            <w:vAlign w:val="top"/>
            <w:hideMark/>
          </w:tcPr>
          <w:p w:rsidR="004D4E20" w:rsidRPr="004D4E20" w:rsidP="004D4E20">
            <w:pPr>
              <w:widowControl/>
              <w:bidi w:val="0"/>
              <w:adjustRightInd/>
              <w:spacing w:after="0" w:line="240" w:lineRule="auto"/>
              <w:rPr>
                <w:rFonts w:ascii="Times New Roman" w:hAnsi="Times New Roman"/>
                <w:sz w:val="24"/>
                <w:szCs w:val="24"/>
                <w:lang w:eastAsia="sk-SK"/>
              </w:rPr>
            </w:pPr>
            <w:r w:rsidRPr="004D4E20">
              <w:rPr>
                <w:rFonts w:ascii="Times New Roman" w:hAnsi="Times New Roman"/>
                <w:sz w:val="24"/>
                <w:szCs w:val="24"/>
                <w:lang w:eastAsia="sk-SK"/>
              </w:rPr>
              <w:t>b)</w:t>
            </w:r>
          </w:p>
        </w:tc>
        <w:tc>
          <w:tcPr>
            <w:tcW w:w="0" w:type="auto"/>
            <w:tcBorders>
              <w:top w:val="nil"/>
              <w:left w:val="nil"/>
              <w:bottom w:val="nil"/>
              <w:right w:val="nil"/>
            </w:tcBorders>
            <w:textDirection w:val="lrTb"/>
            <w:vAlign w:val="center"/>
            <w:hideMark/>
          </w:tcPr>
          <w:p w:rsidR="004D4E20" w:rsidRPr="004D4E20" w:rsidP="004D4E20">
            <w:pPr>
              <w:widowControl/>
              <w:bidi w:val="0"/>
              <w:adjustRightInd/>
              <w:spacing w:after="0" w:line="240" w:lineRule="auto"/>
              <w:jc w:val="both"/>
              <w:rPr>
                <w:rFonts w:ascii="Times New Roman" w:hAnsi="Times New Roman"/>
                <w:sz w:val="24"/>
                <w:szCs w:val="24"/>
                <w:lang w:eastAsia="sk-SK"/>
              </w:rPr>
            </w:pPr>
            <w:r w:rsidRPr="004D4E20">
              <w:rPr>
                <w:rFonts w:ascii="Times New Roman" w:hAnsi="Times New Roman"/>
                <w:sz w:val="24"/>
                <w:szCs w:val="24"/>
                <w:lang w:eastAsia="sk-SK"/>
              </w:rPr>
              <w:t>lehota určená na predloženie návrhu právneho predpisu na rokovanie vlády podľa určenia gestorských ústredných orgánov štátnej správy zodpovedných za transpozíciu smerníc                a vypracovanie tabuliek zhody k návrhom všeobecne záväzných právnych predpisov</w:t>
            </w:r>
          </w:p>
        </w:tc>
      </w:tr>
      <w:tr>
        <w:tblPrEx>
          <w:tblW w:w="5000" w:type="pct"/>
          <w:jc w:val="center"/>
          <w:tblCellMar>
            <w:left w:w="0" w:type="dxa"/>
            <w:right w:w="0" w:type="dxa"/>
          </w:tblCellMar>
          <w:tblLook w:val="04A0"/>
        </w:tblPrEx>
        <w:trPr>
          <w:jc w:val="center"/>
        </w:trPr>
        <w:tc>
          <w:tcPr>
            <w:tcW w:w="0" w:type="auto"/>
            <w:tcBorders>
              <w:top w:val="nil"/>
              <w:left w:val="nil"/>
              <w:bottom w:val="nil"/>
              <w:right w:val="nil"/>
            </w:tcBorders>
            <w:textDirection w:val="lrTb"/>
            <w:vAlign w:val="top"/>
            <w:hideMark/>
          </w:tcPr>
          <w:p w:rsidR="004D4E20" w:rsidRPr="004D4E20" w:rsidP="004D4E20">
            <w:pPr>
              <w:widowControl/>
              <w:bidi w:val="0"/>
              <w:adjustRightInd/>
              <w:spacing w:after="0" w:line="240" w:lineRule="auto"/>
              <w:rPr>
                <w:rFonts w:ascii="Times New Roman" w:hAnsi="Times New Roman"/>
                <w:sz w:val="24"/>
                <w:szCs w:val="24"/>
                <w:lang w:eastAsia="sk-SK"/>
              </w:rPr>
            </w:pPr>
          </w:p>
        </w:tc>
        <w:tc>
          <w:tcPr>
            <w:tcW w:w="0" w:type="auto"/>
            <w:tcBorders>
              <w:top w:val="nil"/>
              <w:left w:val="nil"/>
              <w:bottom w:val="nil"/>
              <w:right w:val="nil"/>
            </w:tcBorders>
            <w:textDirection w:val="lrTb"/>
            <w:vAlign w:val="top"/>
            <w:hideMark/>
          </w:tcPr>
          <w:p w:rsidR="004D4E20" w:rsidRPr="004D4E20" w:rsidP="004D4E20">
            <w:pPr>
              <w:widowControl/>
              <w:bidi w:val="0"/>
              <w:adjustRightInd/>
              <w:spacing w:after="0" w:line="240" w:lineRule="auto"/>
              <w:rPr>
                <w:rFonts w:ascii="Times New Roman" w:hAnsi="Times New Roman"/>
                <w:sz w:val="24"/>
                <w:szCs w:val="24"/>
                <w:lang w:eastAsia="sk-SK"/>
              </w:rPr>
            </w:pPr>
          </w:p>
        </w:tc>
        <w:tc>
          <w:tcPr>
            <w:tcW w:w="0" w:type="auto"/>
            <w:tcBorders>
              <w:top w:val="nil"/>
              <w:left w:val="nil"/>
              <w:bottom w:val="nil"/>
              <w:right w:val="nil"/>
            </w:tcBorders>
            <w:textDirection w:val="lrTb"/>
            <w:vAlign w:val="center"/>
            <w:hideMark/>
          </w:tcPr>
          <w:p w:rsidR="004D4E20" w:rsidRPr="004D4E20" w:rsidP="004D4E20">
            <w:pPr>
              <w:widowControl/>
              <w:bidi w:val="0"/>
              <w:adjustRightInd/>
              <w:spacing w:after="0" w:line="240" w:lineRule="auto"/>
              <w:rPr>
                <w:rFonts w:ascii="Times New Roman" w:hAnsi="Times New Roman"/>
                <w:sz w:val="24"/>
                <w:szCs w:val="24"/>
                <w:lang w:eastAsia="sk-SK"/>
              </w:rPr>
            </w:pPr>
            <w:r w:rsidRPr="004D4E20">
              <w:rPr>
                <w:rFonts w:ascii="Times New Roman" w:hAnsi="Times New Roman"/>
                <w:sz w:val="24"/>
                <w:szCs w:val="24"/>
                <w:lang w:eastAsia="sk-SK"/>
              </w:rPr>
              <w:t>nebola určená</w:t>
              <w:br/>
            </w:r>
          </w:p>
        </w:tc>
      </w:tr>
      <w:tr>
        <w:tblPrEx>
          <w:tblW w:w="5000" w:type="pct"/>
          <w:jc w:val="center"/>
          <w:tblCellMar>
            <w:left w:w="0" w:type="dxa"/>
            <w:right w:w="0" w:type="dxa"/>
          </w:tblCellMar>
          <w:tblLook w:val="04A0"/>
        </w:tblPrEx>
        <w:trPr>
          <w:jc w:val="center"/>
        </w:trPr>
        <w:tc>
          <w:tcPr>
            <w:tcW w:w="0" w:type="auto"/>
            <w:tcBorders>
              <w:top w:val="nil"/>
              <w:left w:val="nil"/>
              <w:bottom w:val="nil"/>
              <w:right w:val="nil"/>
            </w:tcBorders>
            <w:textDirection w:val="lrTb"/>
            <w:vAlign w:val="top"/>
            <w:hideMark/>
          </w:tcPr>
          <w:p w:rsidR="004D4E20" w:rsidRPr="004D4E20" w:rsidP="004D4E20">
            <w:pPr>
              <w:widowControl/>
              <w:bidi w:val="0"/>
              <w:adjustRightInd/>
              <w:spacing w:after="0" w:line="240" w:lineRule="auto"/>
              <w:rPr>
                <w:rFonts w:ascii="Times New Roman" w:hAnsi="Times New Roman"/>
                <w:sz w:val="24"/>
                <w:szCs w:val="24"/>
                <w:lang w:eastAsia="sk-SK"/>
              </w:rPr>
            </w:pPr>
          </w:p>
        </w:tc>
        <w:tc>
          <w:tcPr>
            <w:tcW w:w="0" w:type="auto"/>
            <w:tcBorders>
              <w:top w:val="nil"/>
              <w:left w:val="nil"/>
              <w:bottom w:val="nil"/>
              <w:right w:val="nil"/>
            </w:tcBorders>
            <w:textDirection w:val="lrTb"/>
            <w:vAlign w:val="top"/>
            <w:hideMark/>
          </w:tcPr>
          <w:p w:rsidR="004D4E20" w:rsidRPr="004D4E20" w:rsidP="004D4E20">
            <w:pPr>
              <w:widowControl/>
              <w:bidi w:val="0"/>
              <w:adjustRightInd/>
              <w:spacing w:after="0" w:line="240" w:lineRule="auto"/>
              <w:rPr>
                <w:rFonts w:ascii="Times New Roman" w:hAnsi="Times New Roman"/>
                <w:sz w:val="24"/>
                <w:szCs w:val="24"/>
                <w:lang w:eastAsia="sk-SK"/>
              </w:rPr>
            </w:pPr>
            <w:r w:rsidRPr="004D4E20">
              <w:rPr>
                <w:rFonts w:ascii="Times New Roman" w:hAnsi="Times New Roman"/>
                <w:sz w:val="24"/>
                <w:szCs w:val="24"/>
                <w:lang w:eastAsia="sk-SK"/>
              </w:rPr>
              <w:t>c)</w:t>
            </w:r>
          </w:p>
        </w:tc>
        <w:tc>
          <w:tcPr>
            <w:tcW w:w="0" w:type="auto"/>
            <w:tcBorders>
              <w:top w:val="nil"/>
              <w:left w:val="nil"/>
              <w:bottom w:val="nil"/>
              <w:right w:val="nil"/>
            </w:tcBorders>
            <w:textDirection w:val="lrTb"/>
            <w:vAlign w:val="center"/>
            <w:hideMark/>
          </w:tcPr>
          <w:p w:rsidR="004D4E20" w:rsidRPr="004D4E20" w:rsidP="004D4E20">
            <w:pPr>
              <w:widowControl/>
              <w:bidi w:val="0"/>
              <w:adjustRightInd/>
              <w:spacing w:after="0" w:line="240" w:lineRule="auto"/>
              <w:jc w:val="both"/>
              <w:rPr>
                <w:rFonts w:ascii="Times New Roman" w:hAnsi="Times New Roman"/>
                <w:sz w:val="24"/>
                <w:szCs w:val="24"/>
                <w:lang w:eastAsia="sk-SK"/>
              </w:rPr>
            </w:pPr>
            <w:r w:rsidRPr="004D4E20">
              <w:rPr>
                <w:rFonts w:ascii="Times New Roman" w:hAnsi="Times New Roman"/>
                <w:sz w:val="24"/>
                <w:szCs w:val="24"/>
                <w:lang w:eastAsia="sk-SK"/>
              </w:rPr>
              <w:t>informácia o konaní začatom proti Slovenskej republike o porušení podľa čl. 258 až 260 Zmluvy o fungovaní Európskej únie</w:t>
            </w:r>
          </w:p>
        </w:tc>
      </w:tr>
      <w:tr>
        <w:tblPrEx>
          <w:tblW w:w="5000" w:type="pct"/>
          <w:jc w:val="center"/>
          <w:tblCellMar>
            <w:left w:w="0" w:type="dxa"/>
            <w:right w:w="0" w:type="dxa"/>
          </w:tblCellMar>
          <w:tblLook w:val="04A0"/>
        </w:tblPrEx>
        <w:trPr>
          <w:jc w:val="center"/>
        </w:trPr>
        <w:tc>
          <w:tcPr>
            <w:tcW w:w="0" w:type="auto"/>
            <w:tcBorders>
              <w:top w:val="nil"/>
              <w:left w:val="nil"/>
              <w:bottom w:val="nil"/>
              <w:right w:val="nil"/>
            </w:tcBorders>
            <w:textDirection w:val="lrTb"/>
            <w:vAlign w:val="top"/>
            <w:hideMark/>
          </w:tcPr>
          <w:p w:rsidR="004D4E20" w:rsidRPr="004D4E20" w:rsidP="004D4E20">
            <w:pPr>
              <w:widowControl/>
              <w:bidi w:val="0"/>
              <w:adjustRightInd/>
              <w:spacing w:after="0" w:line="240" w:lineRule="auto"/>
              <w:rPr>
                <w:rFonts w:ascii="Times New Roman" w:hAnsi="Times New Roman"/>
                <w:sz w:val="24"/>
                <w:szCs w:val="24"/>
                <w:lang w:eastAsia="sk-SK"/>
              </w:rPr>
            </w:pPr>
          </w:p>
        </w:tc>
        <w:tc>
          <w:tcPr>
            <w:tcW w:w="0" w:type="auto"/>
            <w:tcBorders>
              <w:top w:val="nil"/>
              <w:left w:val="nil"/>
              <w:bottom w:val="nil"/>
              <w:right w:val="nil"/>
            </w:tcBorders>
            <w:textDirection w:val="lrTb"/>
            <w:vAlign w:val="top"/>
            <w:hideMark/>
          </w:tcPr>
          <w:p w:rsidR="004D4E20" w:rsidRPr="004D4E20" w:rsidP="004D4E20">
            <w:pPr>
              <w:widowControl/>
              <w:bidi w:val="0"/>
              <w:adjustRightInd/>
              <w:spacing w:after="0" w:line="240" w:lineRule="auto"/>
              <w:rPr>
                <w:rFonts w:ascii="Times New Roman" w:hAnsi="Times New Roman"/>
                <w:sz w:val="24"/>
                <w:szCs w:val="24"/>
                <w:lang w:eastAsia="sk-SK"/>
              </w:rPr>
            </w:pPr>
          </w:p>
        </w:tc>
        <w:tc>
          <w:tcPr>
            <w:tcW w:w="0" w:type="auto"/>
            <w:tcBorders>
              <w:top w:val="nil"/>
              <w:left w:val="nil"/>
              <w:bottom w:val="nil"/>
              <w:right w:val="nil"/>
            </w:tcBorders>
            <w:textDirection w:val="lrTb"/>
            <w:vAlign w:val="center"/>
            <w:hideMark/>
          </w:tcPr>
          <w:p w:rsidR="004D4E20" w:rsidRPr="004D4E20" w:rsidP="004D4E20">
            <w:pPr>
              <w:widowControl/>
              <w:bidi w:val="0"/>
              <w:adjustRightInd/>
              <w:spacing w:after="0" w:line="240" w:lineRule="auto"/>
              <w:rPr>
                <w:rFonts w:ascii="Times New Roman" w:hAnsi="Times New Roman"/>
                <w:sz w:val="24"/>
                <w:szCs w:val="24"/>
                <w:lang w:eastAsia="sk-SK"/>
              </w:rPr>
            </w:pPr>
            <w:r w:rsidRPr="004D4E20">
              <w:rPr>
                <w:rFonts w:ascii="Times New Roman" w:hAnsi="Times New Roman"/>
                <w:sz w:val="24"/>
                <w:szCs w:val="24"/>
                <w:lang w:eastAsia="sk-SK"/>
              </w:rPr>
              <w:t>konanie nebolo začaté</w:t>
              <w:br/>
            </w:r>
          </w:p>
        </w:tc>
      </w:tr>
      <w:tr>
        <w:tblPrEx>
          <w:tblW w:w="5000" w:type="pct"/>
          <w:jc w:val="center"/>
          <w:tblCellMar>
            <w:left w:w="0" w:type="dxa"/>
            <w:right w:w="0" w:type="dxa"/>
          </w:tblCellMar>
          <w:tblLook w:val="04A0"/>
        </w:tblPrEx>
        <w:trPr>
          <w:jc w:val="center"/>
        </w:trPr>
        <w:tc>
          <w:tcPr>
            <w:tcW w:w="0" w:type="auto"/>
            <w:tcBorders>
              <w:top w:val="nil"/>
              <w:left w:val="nil"/>
              <w:bottom w:val="nil"/>
              <w:right w:val="nil"/>
            </w:tcBorders>
            <w:textDirection w:val="lrTb"/>
            <w:vAlign w:val="top"/>
            <w:hideMark/>
          </w:tcPr>
          <w:p w:rsidR="004D4E20" w:rsidRPr="004D4E20" w:rsidP="004D4E20">
            <w:pPr>
              <w:widowControl/>
              <w:bidi w:val="0"/>
              <w:adjustRightInd/>
              <w:spacing w:after="0" w:line="240" w:lineRule="auto"/>
              <w:rPr>
                <w:rFonts w:ascii="Times New Roman" w:hAnsi="Times New Roman"/>
                <w:sz w:val="24"/>
                <w:szCs w:val="24"/>
                <w:lang w:eastAsia="sk-SK"/>
              </w:rPr>
            </w:pPr>
          </w:p>
        </w:tc>
        <w:tc>
          <w:tcPr>
            <w:tcW w:w="0" w:type="auto"/>
            <w:tcBorders>
              <w:top w:val="nil"/>
              <w:left w:val="nil"/>
              <w:bottom w:val="nil"/>
              <w:right w:val="nil"/>
            </w:tcBorders>
            <w:textDirection w:val="lrTb"/>
            <w:vAlign w:val="top"/>
            <w:hideMark/>
          </w:tcPr>
          <w:p w:rsidR="004D4E20" w:rsidRPr="004D4E20" w:rsidP="004D4E20">
            <w:pPr>
              <w:widowControl/>
              <w:bidi w:val="0"/>
              <w:adjustRightInd/>
              <w:spacing w:after="0" w:line="240" w:lineRule="auto"/>
              <w:rPr>
                <w:rFonts w:ascii="Times New Roman" w:hAnsi="Times New Roman"/>
                <w:sz w:val="24"/>
                <w:szCs w:val="24"/>
                <w:lang w:eastAsia="sk-SK"/>
              </w:rPr>
            </w:pPr>
            <w:r w:rsidRPr="004D4E20">
              <w:rPr>
                <w:rFonts w:ascii="Times New Roman" w:hAnsi="Times New Roman"/>
                <w:sz w:val="24"/>
                <w:szCs w:val="24"/>
                <w:lang w:eastAsia="sk-SK"/>
              </w:rPr>
              <w:t>d)</w:t>
            </w:r>
          </w:p>
        </w:tc>
        <w:tc>
          <w:tcPr>
            <w:tcW w:w="0" w:type="auto"/>
            <w:tcBorders>
              <w:top w:val="nil"/>
              <w:left w:val="nil"/>
              <w:bottom w:val="nil"/>
              <w:right w:val="nil"/>
            </w:tcBorders>
            <w:textDirection w:val="lrTb"/>
            <w:vAlign w:val="center"/>
            <w:hideMark/>
          </w:tcPr>
          <w:p w:rsidR="004D4E20" w:rsidRPr="004D4E20" w:rsidP="004D4E20">
            <w:pPr>
              <w:widowControl/>
              <w:bidi w:val="0"/>
              <w:adjustRightInd/>
              <w:spacing w:after="0" w:line="240" w:lineRule="auto"/>
              <w:jc w:val="both"/>
              <w:rPr>
                <w:rFonts w:ascii="Times New Roman" w:hAnsi="Times New Roman"/>
                <w:sz w:val="24"/>
                <w:szCs w:val="24"/>
                <w:lang w:eastAsia="sk-SK"/>
              </w:rPr>
            </w:pPr>
            <w:r w:rsidRPr="004D4E20">
              <w:rPr>
                <w:rFonts w:ascii="Times New Roman" w:hAnsi="Times New Roman"/>
                <w:sz w:val="24"/>
                <w:szCs w:val="24"/>
                <w:lang w:eastAsia="sk-SK"/>
              </w:rPr>
              <w:t>informácia o právnych predpisoch, v ktorých sú preberané smernice už prebraté spolu                 s uvedením rozsahu tohto prebratia</w:t>
            </w:r>
          </w:p>
        </w:tc>
      </w:tr>
      <w:tr>
        <w:tblPrEx>
          <w:tblW w:w="5000" w:type="pct"/>
          <w:jc w:val="center"/>
          <w:tblCellMar>
            <w:left w:w="0" w:type="dxa"/>
            <w:right w:w="0" w:type="dxa"/>
          </w:tblCellMar>
          <w:tblLook w:val="04A0"/>
        </w:tblPrEx>
        <w:trPr>
          <w:jc w:val="center"/>
        </w:trPr>
        <w:tc>
          <w:tcPr>
            <w:tcW w:w="0" w:type="auto"/>
            <w:tcBorders>
              <w:top w:val="nil"/>
              <w:left w:val="nil"/>
              <w:bottom w:val="nil"/>
              <w:right w:val="nil"/>
            </w:tcBorders>
            <w:textDirection w:val="lrTb"/>
            <w:vAlign w:val="top"/>
            <w:hideMark/>
          </w:tcPr>
          <w:p w:rsidR="004D4E20" w:rsidRPr="004D4E20" w:rsidP="004D4E20">
            <w:pPr>
              <w:widowControl/>
              <w:bidi w:val="0"/>
              <w:adjustRightInd/>
              <w:spacing w:after="0" w:line="240" w:lineRule="auto"/>
              <w:rPr>
                <w:rFonts w:ascii="Times New Roman" w:hAnsi="Times New Roman"/>
                <w:sz w:val="24"/>
                <w:szCs w:val="24"/>
                <w:lang w:eastAsia="sk-SK"/>
              </w:rPr>
            </w:pPr>
          </w:p>
        </w:tc>
        <w:tc>
          <w:tcPr>
            <w:tcW w:w="0" w:type="auto"/>
            <w:tcBorders>
              <w:top w:val="nil"/>
              <w:left w:val="nil"/>
              <w:bottom w:val="nil"/>
              <w:right w:val="nil"/>
            </w:tcBorders>
            <w:textDirection w:val="lrTb"/>
            <w:vAlign w:val="top"/>
            <w:hideMark/>
          </w:tcPr>
          <w:p w:rsidR="004D4E20" w:rsidRPr="004D4E20" w:rsidP="004D4E20">
            <w:pPr>
              <w:widowControl/>
              <w:bidi w:val="0"/>
              <w:adjustRightInd/>
              <w:spacing w:after="0" w:line="240" w:lineRule="auto"/>
              <w:rPr>
                <w:rFonts w:ascii="Times New Roman" w:hAnsi="Times New Roman"/>
                <w:sz w:val="24"/>
                <w:szCs w:val="24"/>
                <w:lang w:eastAsia="sk-SK"/>
              </w:rPr>
            </w:pPr>
          </w:p>
        </w:tc>
        <w:tc>
          <w:tcPr>
            <w:tcW w:w="0" w:type="auto"/>
            <w:tcBorders>
              <w:top w:val="nil"/>
              <w:left w:val="nil"/>
              <w:bottom w:val="nil"/>
              <w:right w:val="nil"/>
            </w:tcBorders>
            <w:textDirection w:val="lrTb"/>
            <w:vAlign w:val="center"/>
            <w:hideMark/>
          </w:tcPr>
          <w:p w:rsidR="004D4E20" w:rsidRPr="004D4E20" w:rsidP="004D4E20">
            <w:pPr>
              <w:widowControl/>
              <w:bidi w:val="0"/>
              <w:adjustRightInd/>
              <w:spacing w:after="0" w:line="240" w:lineRule="auto"/>
              <w:jc w:val="both"/>
              <w:rPr>
                <w:rFonts w:ascii="Times New Roman" w:hAnsi="Times New Roman"/>
                <w:sz w:val="24"/>
                <w:szCs w:val="24"/>
                <w:lang w:eastAsia="sk-SK"/>
              </w:rPr>
            </w:pPr>
            <w:r w:rsidRPr="004D4E20">
              <w:rPr>
                <w:rFonts w:ascii="Times New Roman" w:hAnsi="Times New Roman"/>
                <w:sz w:val="24"/>
                <w:szCs w:val="24"/>
                <w:lang w:eastAsia="sk-SK"/>
              </w:rPr>
              <w:t>zákon č. 51/2017 Z. z. ktorým sa mení a dopĺňa zákon č. 264/1999 Z. z. o technických požiadavkách na výrobky a o posudzovaní zhody a o zmene a doplnení niektorých zákonov v znení neskorších predpisov a ktorým sa menia a dopĺňajú niektoré zákony</w:t>
              <w:br/>
            </w:r>
          </w:p>
        </w:tc>
      </w:tr>
      <w:tr>
        <w:tblPrEx>
          <w:tblW w:w="5000" w:type="pct"/>
          <w:jc w:val="center"/>
          <w:tblCellMar>
            <w:left w:w="0" w:type="dxa"/>
            <w:right w:w="0" w:type="dxa"/>
          </w:tblCellMar>
          <w:tblLook w:val="04A0"/>
        </w:tblPrEx>
        <w:trPr>
          <w:jc w:val="center"/>
        </w:trPr>
        <w:tc>
          <w:tcPr>
            <w:tcW w:w="0" w:type="auto"/>
            <w:tcBorders>
              <w:top w:val="nil"/>
              <w:left w:val="nil"/>
              <w:bottom w:val="nil"/>
              <w:right w:val="nil"/>
            </w:tcBorders>
            <w:textDirection w:val="lrTb"/>
            <w:vAlign w:val="top"/>
            <w:hideMark/>
          </w:tcPr>
          <w:p w:rsidR="004D4E20" w:rsidRPr="004D4E20" w:rsidP="004D4E20">
            <w:pPr>
              <w:widowControl/>
              <w:bidi w:val="0"/>
              <w:adjustRightInd/>
              <w:spacing w:after="0" w:line="240" w:lineRule="auto"/>
              <w:rPr>
                <w:rFonts w:ascii="Times New Roman" w:hAnsi="Times New Roman"/>
                <w:b/>
                <w:bCs/>
                <w:sz w:val="24"/>
                <w:szCs w:val="24"/>
                <w:lang w:eastAsia="sk-SK"/>
              </w:rPr>
            </w:pPr>
            <w:r w:rsidRPr="004D4E20">
              <w:rPr>
                <w:rFonts w:ascii="Times New Roman" w:hAnsi="Times New Roman"/>
                <w:b/>
                <w:bCs/>
                <w:sz w:val="24"/>
                <w:szCs w:val="24"/>
                <w:lang w:eastAsia="sk-SK"/>
              </w:rPr>
              <w:t>5.</w:t>
            </w:r>
          </w:p>
        </w:tc>
        <w:tc>
          <w:tcPr>
            <w:tcW w:w="0" w:type="auto"/>
            <w:gridSpan w:val="2"/>
            <w:tcBorders>
              <w:top w:val="nil"/>
              <w:left w:val="nil"/>
              <w:bottom w:val="nil"/>
              <w:right w:val="nil"/>
            </w:tcBorders>
            <w:textDirection w:val="lrTb"/>
            <w:vAlign w:val="top"/>
            <w:hideMark/>
          </w:tcPr>
          <w:p w:rsidR="004D4E20" w:rsidRPr="004D4E20" w:rsidP="004D4E20">
            <w:pPr>
              <w:widowControl/>
              <w:bidi w:val="0"/>
              <w:adjustRightInd/>
              <w:spacing w:after="0" w:line="240" w:lineRule="auto"/>
              <w:rPr>
                <w:rFonts w:ascii="Times New Roman" w:hAnsi="Times New Roman"/>
                <w:b/>
                <w:bCs/>
                <w:sz w:val="24"/>
                <w:szCs w:val="24"/>
                <w:lang w:eastAsia="sk-SK"/>
              </w:rPr>
            </w:pPr>
            <w:r w:rsidRPr="004D4E20">
              <w:rPr>
                <w:rFonts w:ascii="Times New Roman" w:hAnsi="Times New Roman"/>
                <w:b/>
                <w:bCs/>
                <w:sz w:val="24"/>
                <w:szCs w:val="24"/>
                <w:lang w:eastAsia="sk-SK"/>
              </w:rPr>
              <w:t>Stupeň zlučiteľnosti návrhu právneho predpisu s právom Európskej únie:</w:t>
            </w:r>
          </w:p>
        </w:tc>
      </w:tr>
      <w:tr>
        <w:tblPrEx>
          <w:tblW w:w="5000" w:type="pct"/>
          <w:jc w:val="center"/>
          <w:tblCellMar>
            <w:left w:w="0" w:type="dxa"/>
            <w:right w:w="0" w:type="dxa"/>
          </w:tblCellMar>
          <w:tblLook w:val="04A0"/>
        </w:tblPrEx>
        <w:trPr>
          <w:jc w:val="center"/>
        </w:trPr>
        <w:tc>
          <w:tcPr>
            <w:tcW w:w="0" w:type="auto"/>
            <w:tcBorders>
              <w:top w:val="nil"/>
              <w:left w:val="nil"/>
              <w:bottom w:val="nil"/>
              <w:right w:val="nil"/>
            </w:tcBorders>
            <w:textDirection w:val="lrTb"/>
            <w:vAlign w:val="top"/>
            <w:hideMark/>
          </w:tcPr>
          <w:p w:rsidR="004D4E20" w:rsidRPr="004D4E20" w:rsidP="004D4E20">
            <w:pPr>
              <w:widowControl/>
              <w:bidi w:val="0"/>
              <w:adjustRightInd/>
              <w:spacing w:after="0" w:line="240" w:lineRule="auto"/>
              <w:rPr>
                <w:rFonts w:ascii="Times New Roman" w:hAnsi="Times New Roman"/>
                <w:b/>
                <w:bCs/>
                <w:sz w:val="24"/>
                <w:szCs w:val="24"/>
                <w:lang w:eastAsia="sk-SK"/>
              </w:rPr>
            </w:pPr>
          </w:p>
        </w:tc>
        <w:tc>
          <w:tcPr>
            <w:tcW w:w="0" w:type="auto"/>
            <w:tcBorders>
              <w:top w:val="nil"/>
              <w:left w:val="nil"/>
              <w:bottom w:val="nil"/>
              <w:right w:val="nil"/>
            </w:tcBorders>
            <w:textDirection w:val="lrTb"/>
            <w:vAlign w:val="top"/>
            <w:hideMark/>
          </w:tcPr>
          <w:p w:rsidR="004D4E20" w:rsidRPr="004D4E20" w:rsidP="004D4E20">
            <w:pPr>
              <w:widowControl/>
              <w:bidi w:val="0"/>
              <w:adjustRightInd/>
              <w:spacing w:after="0" w:line="240" w:lineRule="auto"/>
              <w:rPr>
                <w:rFonts w:ascii="Times New Roman" w:hAnsi="Times New Roman"/>
                <w:sz w:val="24"/>
                <w:szCs w:val="24"/>
                <w:lang w:eastAsia="sk-SK"/>
              </w:rPr>
            </w:pPr>
          </w:p>
        </w:tc>
        <w:tc>
          <w:tcPr>
            <w:tcW w:w="0" w:type="auto"/>
            <w:tcBorders>
              <w:top w:val="nil"/>
              <w:left w:val="nil"/>
              <w:bottom w:val="nil"/>
              <w:right w:val="nil"/>
            </w:tcBorders>
            <w:textDirection w:val="lrTb"/>
            <w:vAlign w:val="center"/>
            <w:hideMark/>
          </w:tcPr>
          <w:p w:rsidR="004D4E20" w:rsidP="004D4E20">
            <w:pPr>
              <w:widowControl/>
              <w:bidi w:val="0"/>
              <w:adjustRightInd/>
              <w:spacing w:after="0" w:line="240" w:lineRule="auto"/>
              <w:rPr>
                <w:rFonts w:ascii="Times New Roman" w:hAnsi="Times New Roman"/>
                <w:sz w:val="24"/>
                <w:szCs w:val="24"/>
                <w:lang w:eastAsia="sk-SK"/>
              </w:rPr>
            </w:pPr>
            <w:r w:rsidRPr="004D4E20">
              <w:rPr>
                <w:rFonts w:ascii="Times New Roman" w:hAnsi="Times New Roman"/>
                <w:sz w:val="24"/>
                <w:szCs w:val="24"/>
                <w:lang w:eastAsia="sk-SK"/>
              </w:rPr>
              <w:t>Úplný</w:t>
            </w:r>
          </w:p>
          <w:p w:rsidR="004D4E20" w:rsidRPr="004D4E20" w:rsidP="004D4E20">
            <w:pPr>
              <w:widowControl/>
              <w:bidi w:val="0"/>
              <w:adjustRightInd/>
              <w:spacing w:after="0" w:line="240" w:lineRule="auto"/>
              <w:rPr>
                <w:rFonts w:ascii="Times New Roman" w:hAnsi="Times New Roman"/>
                <w:sz w:val="24"/>
                <w:szCs w:val="24"/>
                <w:lang w:eastAsia="sk-SK"/>
              </w:rPr>
            </w:pPr>
          </w:p>
        </w:tc>
      </w:tr>
      <w:tr>
        <w:tblPrEx>
          <w:tblW w:w="5000" w:type="pct"/>
          <w:jc w:val="center"/>
          <w:tblCellMar>
            <w:left w:w="0" w:type="dxa"/>
            <w:right w:w="0" w:type="dxa"/>
          </w:tblCellMar>
          <w:tblLook w:val="04A0"/>
        </w:tblPrEx>
        <w:trPr>
          <w:jc w:val="center"/>
        </w:trPr>
        <w:tc>
          <w:tcPr>
            <w:tcW w:w="0" w:type="auto"/>
            <w:tcBorders>
              <w:top w:val="nil"/>
              <w:left w:val="nil"/>
              <w:bottom w:val="nil"/>
              <w:right w:val="nil"/>
            </w:tcBorders>
            <w:textDirection w:val="lrTb"/>
            <w:vAlign w:val="top"/>
            <w:hideMark/>
          </w:tcPr>
          <w:p w:rsidR="004D4E20" w:rsidRPr="004D4E20" w:rsidP="004D4E20">
            <w:pPr>
              <w:widowControl/>
              <w:bidi w:val="0"/>
              <w:adjustRightInd/>
              <w:spacing w:after="0" w:line="240" w:lineRule="auto"/>
              <w:rPr>
                <w:rFonts w:ascii="Times New Roman" w:hAnsi="Times New Roman"/>
                <w:b/>
                <w:bCs/>
                <w:sz w:val="24"/>
                <w:szCs w:val="24"/>
                <w:lang w:eastAsia="sk-SK"/>
              </w:rPr>
            </w:pPr>
            <w:r w:rsidRPr="004D4E20">
              <w:rPr>
                <w:rFonts w:ascii="Times New Roman" w:hAnsi="Times New Roman"/>
                <w:b/>
                <w:bCs/>
                <w:sz w:val="24"/>
                <w:szCs w:val="24"/>
                <w:lang w:eastAsia="sk-SK"/>
              </w:rPr>
              <w:t>6.</w:t>
            </w:r>
          </w:p>
        </w:tc>
        <w:tc>
          <w:tcPr>
            <w:tcW w:w="0" w:type="auto"/>
            <w:gridSpan w:val="2"/>
            <w:tcBorders>
              <w:top w:val="nil"/>
              <w:left w:val="nil"/>
              <w:bottom w:val="nil"/>
              <w:right w:val="nil"/>
            </w:tcBorders>
            <w:textDirection w:val="lrTb"/>
            <w:vAlign w:val="top"/>
            <w:hideMark/>
          </w:tcPr>
          <w:p w:rsidR="004D4E20" w:rsidRPr="004D4E20" w:rsidP="004D4E20">
            <w:pPr>
              <w:widowControl/>
              <w:bidi w:val="0"/>
              <w:adjustRightInd/>
              <w:spacing w:after="0" w:line="240" w:lineRule="auto"/>
              <w:rPr>
                <w:rFonts w:ascii="Times New Roman" w:hAnsi="Times New Roman"/>
                <w:b/>
                <w:bCs/>
                <w:sz w:val="24"/>
                <w:szCs w:val="24"/>
                <w:lang w:eastAsia="sk-SK"/>
              </w:rPr>
            </w:pPr>
            <w:r w:rsidRPr="004D4E20">
              <w:rPr>
                <w:rFonts w:ascii="Times New Roman" w:hAnsi="Times New Roman"/>
                <w:b/>
                <w:bCs/>
                <w:sz w:val="24"/>
                <w:szCs w:val="24"/>
                <w:lang w:eastAsia="sk-SK"/>
              </w:rPr>
              <w:t>Gestor a spolupracujúce rezorty:</w:t>
            </w:r>
          </w:p>
        </w:tc>
      </w:tr>
      <w:tr>
        <w:tblPrEx>
          <w:tblW w:w="5000" w:type="pct"/>
          <w:jc w:val="center"/>
          <w:tblCellMar>
            <w:left w:w="0" w:type="dxa"/>
            <w:right w:w="0" w:type="dxa"/>
          </w:tblCellMar>
          <w:tblLook w:val="04A0"/>
        </w:tblPrEx>
        <w:trPr>
          <w:jc w:val="center"/>
        </w:trPr>
        <w:tc>
          <w:tcPr>
            <w:tcW w:w="0" w:type="auto"/>
            <w:tcBorders>
              <w:top w:val="nil"/>
              <w:left w:val="nil"/>
              <w:bottom w:val="nil"/>
              <w:right w:val="nil"/>
            </w:tcBorders>
            <w:textDirection w:val="lrTb"/>
            <w:vAlign w:val="top"/>
            <w:hideMark/>
          </w:tcPr>
          <w:p w:rsidR="004D4E20" w:rsidRPr="004D4E20" w:rsidP="004D4E20">
            <w:pPr>
              <w:widowControl/>
              <w:bidi w:val="0"/>
              <w:adjustRightInd/>
              <w:spacing w:after="0" w:line="240" w:lineRule="auto"/>
              <w:rPr>
                <w:rFonts w:ascii="Times New Roman" w:hAnsi="Times New Roman"/>
                <w:b/>
                <w:bCs/>
                <w:sz w:val="24"/>
                <w:szCs w:val="24"/>
                <w:lang w:eastAsia="sk-SK"/>
              </w:rPr>
            </w:pPr>
          </w:p>
        </w:tc>
        <w:tc>
          <w:tcPr>
            <w:tcW w:w="0" w:type="auto"/>
            <w:tcBorders>
              <w:top w:val="nil"/>
              <w:left w:val="nil"/>
              <w:bottom w:val="nil"/>
              <w:right w:val="nil"/>
            </w:tcBorders>
            <w:textDirection w:val="lrTb"/>
            <w:vAlign w:val="top"/>
            <w:hideMark/>
          </w:tcPr>
          <w:p w:rsidR="004D4E20" w:rsidRPr="004D4E20" w:rsidP="004D4E20">
            <w:pPr>
              <w:widowControl/>
              <w:bidi w:val="0"/>
              <w:adjustRightInd/>
              <w:spacing w:after="0" w:line="240" w:lineRule="auto"/>
              <w:rPr>
                <w:rFonts w:ascii="Times New Roman" w:hAnsi="Times New Roman"/>
                <w:sz w:val="24"/>
                <w:szCs w:val="24"/>
                <w:lang w:eastAsia="sk-SK"/>
              </w:rPr>
            </w:pPr>
          </w:p>
        </w:tc>
        <w:tc>
          <w:tcPr>
            <w:tcW w:w="0" w:type="auto"/>
            <w:tcBorders>
              <w:top w:val="nil"/>
              <w:left w:val="nil"/>
              <w:bottom w:val="nil"/>
              <w:right w:val="nil"/>
            </w:tcBorders>
            <w:textDirection w:val="lrTb"/>
            <w:vAlign w:val="center"/>
            <w:hideMark/>
          </w:tcPr>
          <w:p w:rsidR="004D4E20" w:rsidRPr="004D4E20" w:rsidP="004D4E20">
            <w:pPr>
              <w:widowControl/>
              <w:bidi w:val="0"/>
              <w:adjustRightInd/>
              <w:spacing w:after="0" w:line="240" w:lineRule="auto"/>
              <w:rPr>
                <w:rFonts w:ascii="Times New Roman" w:hAnsi="Times New Roman"/>
                <w:sz w:val="24"/>
                <w:szCs w:val="24"/>
                <w:lang w:eastAsia="sk-SK"/>
              </w:rPr>
            </w:pPr>
            <w:r w:rsidRPr="004D4E20">
              <w:rPr>
                <w:rFonts w:ascii="Times New Roman" w:hAnsi="Times New Roman"/>
                <w:sz w:val="24"/>
                <w:szCs w:val="24"/>
                <w:lang w:eastAsia="sk-SK"/>
              </w:rPr>
              <w:t>Úrad pre normalizáciu, metrológiu a skúšobníctvo Slovenskej republiky</w:t>
              <w:br/>
              <w:br/>
            </w:r>
          </w:p>
        </w:tc>
      </w:tr>
    </w:tbl>
    <w:p w:rsidR="004D4E20" w:rsidRPr="004D4E20" w:rsidP="004D4E20">
      <w:pPr>
        <w:widowControl/>
        <w:bidi w:val="0"/>
        <w:adjustRightInd/>
        <w:spacing w:after="0" w:line="240" w:lineRule="auto"/>
        <w:rPr>
          <w:rFonts w:ascii="Times New Roman" w:hAnsi="Times New Roman"/>
          <w:sz w:val="24"/>
          <w:szCs w:val="24"/>
          <w:lang w:eastAsia="sk-SK"/>
        </w:rPr>
      </w:pPr>
    </w:p>
    <w:p w:rsidR="004D4E20" w:rsidRPr="004D4E20" w:rsidP="004D4E20">
      <w:pPr>
        <w:widowControl/>
        <w:bidi w:val="0"/>
        <w:adjustRightInd/>
        <w:spacing w:after="0" w:line="240" w:lineRule="auto"/>
        <w:rPr>
          <w:rFonts w:ascii="Times New Roman" w:hAnsi="Times New Roman"/>
          <w:sz w:val="24"/>
          <w:szCs w:val="24"/>
          <w:lang w:eastAsia="sk-SK"/>
        </w:rPr>
      </w:pPr>
    </w:p>
    <w:p w:rsidR="004D4E20" w:rsidRPr="004D4E20" w:rsidP="004D4E20">
      <w:pPr>
        <w:widowControl/>
        <w:bidi w:val="0"/>
        <w:adjustRightInd/>
        <w:spacing w:after="0" w:line="240" w:lineRule="auto"/>
        <w:rPr>
          <w:rFonts w:ascii="Times New Roman" w:hAnsi="Times New Roman"/>
          <w:sz w:val="24"/>
          <w:szCs w:val="24"/>
          <w:lang w:eastAsia="sk-SK"/>
        </w:rPr>
      </w:pPr>
    </w:p>
    <w:p w:rsidR="004D4E20" w:rsidRPr="004D4E20" w:rsidP="004D4E20">
      <w:pPr>
        <w:widowControl/>
        <w:bidi w:val="0"/>
        <w:adjustRightInd/>
        <w:spacing w:after="0" w:line="240" w:lineRule="auto"/>
        <w:rPr>
          <w:rFonts w:ascii="Times New Roman" w:hAnsi="Times New Roman"/>
          <w:sz w:val="24"/>
          <w:szCs w:val="24"/>
          <w:lang w:eastAsia="sk-SK"/>
        </w:rPr>
      </w:pPr>
    </w:p>
    <w:p w:rsidR="004D4E20" w:rsidRPr="004D4E20" w:rsidP="004D4E20">
      <w:pPr>
        <w:widowControl/>
        <w:bidi w:val="0"/>
        <w:adjustRightInd/>
        <w:spacing w:after="0" w:line="240" w:lineRule="auto"/>
        <w:rPr>
          <w:rFonts w:ascii="Times New Roman" w:hAnsi="Times New Roman"/>
          <w:sz w:val="24"/>
          <w:szCs w:val="24"/>
          <w:lang w:eastAsia="sk-SK"/>
        </w:rPr>
      </w:pPr>
    </w:p>
    <w:p w:rsidR="004D4E20" w:rsidRPr="004D4E20" w:rsidP="004D4E20">
      <w:pPr>
        <w:widowControl/>
        <w:bidi w:val="0"/>
        <w:adjustRightInd/>
        <w:spacing w:after="0" w:line="240" w:lineRule="auto"/>
        <w:rPr>
          <w:rFonts w:ascii="Times New Roman" w:hAnsi="Times New Roman"/>
          <w:sz w:val="24"/>
          <w:szCs w:val="24"/>
          <w:lang w:eastAsia="sk-SK"/>
        </w:rPr>
      </w:pPr>
    </w:p>
    <w:p w:rsidR="004D4E20" w:rsidRPr="004D4E20" w:rsidP="004D4E20">
      <w:pPr>
        <w:widowControl/>
        <w:bidi w:val="0"/>
        <w:adjustRightInd/>
        <w:spacing w:after="0" w:line="240" w:lineRule="auto"/>
        <w:rPr>
          <w:rFonts w:ascii="Times New Roman" w:hAnsi="Times New Roman"/>
          <w:b/>
          <w:sz w:val="24"/>
          <w:szCs w:val="24"/>
          <w:lang w:eastAsia="sk-SK"/>
        </w:rPr>
      </w:pPr>
    </w:p>
    <w:p w:rsidR="004D4E20">
      <w:pPr>
        <w:bidi w:val="0"/>
        <w:jc w:val="both"/>
        <w:rPr>
          <w:rFonts w:ascii="Times New Roman" w:hAnsi="Times New Roman"/>
          <w:sz w:val="24"/>
          <w:szCs w:val="24"/>
        </w:rPr>
      </w:pPr>
    </w:p>
    <w:p w:rsidR="004D4E20">
      <w:pPr>
        <w:bidi w:val="0"/>
        <w:jc w:val="both"/>
        <w:rPr>
          <w:rFonts w:ascii="Times New Roman" w:hAnsi="Times New Roman"/>
          <w:sz w:val="24"/>
          <w:szCs w:val="24"/>
        </w:rPr>
      </w:pPr>
    </w:p>
    <w:p w:rsidR="004D4E20">
      <w:pPr>
        <w:bidi w:val="0"/>
        <w:jc w:val="both"/>
        <w:rPr>
          <w:rFonts w:ascii="Times New Roman" w:hAnsi="Times New Roman"/>
          <w:sz w:val="24"/>
          <w:szCs w:val="24"/>
        </w:rPr>
      </w:pPr>
    </w:p>
    <w:p w:rsidR="004D4E20">
      <w:pPr>
        <w:bidi w:val="0"/>
        <w:jc w:val="both"/>
        <w:rPr>
          <w:rFonts w:ascii="Times New Roman" w:hAnsi="Times New Roman"/>
          <w:sz w:val="24"/>
          <w:szCs w:val="24"/>
        </w:rPr>
      </w:pPr>
    </w:p>
    <w:p w:rsidR="004D4E20">
      <w:pPr>
        <w:bidi w:val="0"/>
        <w:jc w:val="both"/>
        <w:rPr>
          <w:rFonts w:ascii="Times New Roman" w:hAnsi="Times New Roman"/>
          <w:sz w:val="24"/>
          <w:szCs w:val="24"/>
        </w:rPr>
      </w:pPr>
    </w:p>
    <w:p w:rsidR="004D4E20">
      <w:pPr>
        <w:bidi w:val="0"/>
        <w:jc w:val="both"/>
        <w:rPr>
          <w:rFonts w:ascii="Times New Roman" w:hAnsi="Times New Roman"/>
          <w:sz w:val="24"/>
          <w:szCs w:val="24"/>
        </w:rPr>
      </w:pPr>
    </w:p>
    <w:p w:rsidR="004D4E20">
      <w:pPr>
        <w:bidi w:val="0"/>
        <w:jc w:val="both"/>
        <w:rPr>
          <w:rFonts w:ascii="Times New Roman" w:hAnsi="Times New Roman"/>
          <w:sz w:val="24"/>
          <w:szCs w:val="24"/>
        </w:rPr>
      </w:pPr>
    </w:p>
    <w:p w:rsidR="004D4E20">
      <w:pPr>
        <w:bidi w:val="0"/>
        <w:jc w:val="both"/>
        <w:rPr>
          <w:rFonts w:ascii="Times New Roman" w:hAnsi="Times New Roman"/>
          <w:sz w:val="24"/>
          <w:szCs w:val="24"/>
        </w:rPr>
      </w:pPr>
    </w:p>
    <w:p w:rsidR="004D4E20">
      <w:pPr>
        <w:bidi w:val="0"/>
        <w:jc w:val="both"/>
        <w:rPr>
          <w:rFonts w:ascii="Times New Roman" w:hAnsi="Times New Roman"/>
          <w:sz w:val="24"/>
          <w:szCs w:val="24"/>
        </w:rPr>
      </w:pPr>
    </w:p>
    <w:p w:rsidR="004D4E20">
      <w:pPr>
        <w:bidi w:val="0"/>
        <w:jc w:val="both"/>
        <w:rPr>
          <w:rFonts w:ascii="Times New Roman" w:hAnsi="Times New Roman"/>
          <w:sz w:val="24"/>
          <w:szCs w:val="24"/>
        </w:rPr>
      </w:pPr>
      <w:r>
        <w:rPr>
          <w:rFonts w:ascii="Times New Roman" w:hAnsi="Times New Roman"/>
          <w:sz w:val="24"/>
          <w:szCs w:val="24"/>
        </w:rPr>
        <w:br w:type="page"/>
      </w:r>
    </w:p>
    <w:p w:rsidR="009C5673" w:rsidRPr="00766409" w:rsidP="009C5673">
      <w:pPr>
        <w:widowControl/>
        <w:bidi w:val="0"/>
        <w:spacing w:after="0" w:line="240" w:lineRule="auto"/>
        <w:rPr>
          <w:rFonts w:ascii="Times New Roman" w:hAnsi="Times New Roman"/>
          <w:b/>
          <w:sz w:val="24"/>
          <w:szCs w:val="24"/>
        </w:rPr>
      </w:pPr>
      <w:r w:rsidRPr="00766409">
        <w:rPr>
          <w:rFonts w:ascii="Times New Roman" w:hAnsi="Times New Roman"/>
          <w:b/>
          <w:color w:val="000000"/>
          <w:sz w:val="24"/>
          <w:szCs w:val="24"/>
          <w:lang w:eastAsia="sk-SK"/>
        </w:rPr>
        <w:t>B. Osobitná časť</w:t>
      </w:r>
    </w:p>
    <w:p w:rsidR="009C5673" w:rsidRPr="00766409" w:rsidP="009C5673">
      <w:pPr>
        <w:widowControl/>
        <w:bidi w:val="0"/>
        <w:spacing w:after="0" w:line="240" w:lineRule="auto"/>
        <w:jc w:val="center"/>
        <w:rPr>
          <w:rFonts w:ascii="Times New Roman" w:hAnsi="Times New Roman"/>
          <w:b/>
          <w:caps/>
          <w:sz w:val="24"/>
          <w:szCs w:val="24"/>
        </w:rPr>
      </w:pPr>
    </w:p>
    <w:p w:rsidR="009C5673" w:rsidRPr="00766409" w:rsidP="009C5673">
      <w:pPr>
        <w:widowControl/>
        <w:bidi w:val="0"/>
        <w:spacing w:after="0" w:line="240" w:lineRule="auto"/>
        <w:jc w:val="center"/>
        <w:rPr>
          <w:rFonts w:ascii="Times New Roman" w:hAnsi="Times New Roman"/>
          <w:iCs/>
          <w:sz w:val="24"/>
          <w:szCs w:val="24"/>
        </w:rPr>
      </w:pPr>
    </w:p>
    <w:p w:rsidR="009C5673" w:rsidRPr="00766409" w:rsidP="009C5673">
      <w:pPr>
        <w:bidi w:val="0"/>
        <w:rPr>
          <w:rFonts w:ascii="Times New Roman" w:hAnsi="Times New Roman"/>
          <w:b/>
          <w:bCs/>
          <w:sz w:val="24"/>
          <w:szCs w:val="24"/>
        </w:rPr>
      </w:pPr>
      <w:r w:rsidRPr="00766409">
        <w:rPr>
          <w:rFonts w:ascii="Times New Roman" w:hAnsi="Times New Roman"/>
          <w:b/>
          <w:bCs/>
          <w:sz w:val="24"/>
          <w:szCs w:val="24"/>
        </w:rPr>
        <w:t>K Čl. I</w:t>
      </w:r>
    </w:p>
    <w:p w:rsidR="009C5673" w:rsidRPr="00766409" w:rsidP="009C5673">
      <w:pPr>
        <w:bidi w:val="0"/>
        <w:rPr>
          <w:rFonts w:ascii="Times New Roman" w:hAnsi="Times New Roman"/>
          <w:b/>
          <w:bCs/>
          <w:sz w:val="24"/>
          <w:szCs w:val="24"/>
        </w:rPr>
      </w:pPr>
      <w:r w:rsidRPr="00766409">
        <w:rPr>
          <w:rFonts w:ascii="Times New Roman" w:hAnsi="Times New Roman"/>
          <w:b/>
          <w:bCs/>
          <w:sz w:val="24"/>
          <w:szCs w:val="24"/>
        </w:rPr>
        <w:t>K § 1</w:t>
      </w:r>
    </w:p>
    <w:p w:rsidR="009C5673" w:rsidRPr="00766409" w:rsidP="009C5673">
      <w:pPr>
        <w:bidi w:val="0"/>
        <w:jc w:val="both"/>
        <w:rPr>
          <w:rFonts w:ascii="Times New Roman" w:hAnsi="Times New Roman"/>
          <w:sz w:val="24"/>
          <w:szCs w:val="24"/>
        </w:rPr>
      </w:pPr>
      <w:r w:rsidRPr="00766409">
        <w:rPr>
          <w:rFonts w:ascii="Times New Roman" w:hAnsi="Times New Roman"/>
          <w:sz w:val="24"/>
          <w:szCs w:val="24"/>
        </w:rPr>
        <w:t>Ustanovuje sa predmet návrhu zákona.</w:t>
      </w:r>
    </w:p>
    <w:p w:rsidR="009C5673" w:rsidRPr="00766409" w:rsidP="009C5673">
      <w:pPr>
        <w:bidi w:val="0"/>
        <w:rPr>
          <w:rFonts w:ascii="Times New Roman" w:hAnsi="Times New Roman"/>
          <w:b/>
          <w:bCs/>
          <w:sz w:val="24"/>
          <w:szCs w:val="24"/>
        </w:rPr>
      </w:pPr>
      <w:r w:rsidRPr="00766409">
        <w:rPr>
          <w:rFonts w:ascii="Times New Roman" w:hAnsi="Times New Roman"/>
          <w:b/>
          <w:bCs/>
          <w:sz w:val="24"/>
          <w:szCs w:val="24"/>
        </w:rPr>
        <w:t>K § 2</w:t>
      </w:r>
    </w:p>
    <w:p w:rsidR="009C5673" w:rsidRPr="00766409" w:rsidP="009C5673">
      <w:pPr>
        <w:bidi w:val="0"/>
        <w:jc w:val="both"/>
        <w:rPr>
          <w:rFonts w:ascii="Times New Roman" w:hAnsi="Times New Roman"/>
          <w:sz w:val="24"/>
          <w:szCs w:val="24"/>
        </w:rPr>
      </w:pPr>
      <w:r w:rsidRPr="00766409">
        <w:rPr>
          <w:rFonts w:ascii="Times New Roman" w:hAnsi="Times New Roman"/>
          <w:sz w:val="24"/>
          <w:szCs w:val="24"/>
        </w:rPr>
        <w:t>​Vymedzujú sa základné pojmy na účely návrhu zákona.</w:t>
      </w:r>
    </w:p>
    <w:p w:rsidR="009C5673" w:rsidRPr="00766409" w:rsidP="009C5673">
      <w:pPr>
        <w:bidi w:val="0"/>
        <w:jc w:val="both"/>
        <w:rPr>
          <w:rFonts w:ascii="Times New Roman" w:hAnsi="Times New Roman"/>
          <w:sz w:val="24"/>
          <w:szCs w:val="24"/>
        </w:rPr>
      </w:pPr>
      <w:r w:rsidRPr="00766409">
        <w:rPr>
          <w:rFonts w:ascii="Times New Roman" w:hAnsi="Times New Roman"/>
          <w:b/>
          <w:bCs/>
          <w:sz w:val="24"/>
          <w:szCs w:val="24"/>
        </w:rPr>
        <w:t>K § 3</w:t>
      </w:r>
    </w:p>
    <w:p w:rsidR="009C5673" w:rsidRPr="00766409" w:rsidP="009C5673">
      <w:pPr>
        <w:bidi w:val="0"/>
        <w:jc w:val="both"/>
        <w:rPr>
          <w:rFonts w:ascii="Times New Roman" w:hAnsi="Times New Roman"/>
          <w:sz w:val="24"/>
          <w:szCs w:val="24"/>
        </w:rPr>
      </w:pPr>
      <w:r w:rsidRPr="00766409">
        <w:rPr>
          <w:rFonts w:ascii="Times New Roman" w:hAnsi="Times New Roman"/>
          <w:sz w:val="24"/>
          <w:szCs w:val="24"/>
        </w:rPr>
        <w:t xml:space="preserve">Uvádzajú sa definície výsledkov normalizačnej činnosti, ako je technická norma, slovenská technická norma a technická normalizačná informácia, a zároveň aj pojmy úzko súvisiace s postupmi a činnosťami nevyhnutnými na tvorbu a spracovanie týchto dokumentov. Pri pojme </w:t>
      </w:r>
      <w:r w:rsidRPr="00766409">
        <w:rPr>
          <w:rFonts w:ascii="Times New Roman" w:hAnsi="Times New Roman"/>
          <w:i/>
          <w:sz w:val="24"/>
          <w:szCs w:val="24"/>
        </w:rPr>
        <w:t>„technická norma“</w:t>
      </w:r>
      <w:r w:rsidRPr="00766409">
        <w:rPr>
          <w:rFonts w:ascii="Times New Roman" w:hAnsi="Times New Roman"/>
          <w:sz w:val="24"/>
          <w:szCs w:val="24"/>
        </w:rPr>
        <w:t xml:space="preserve"> zákon v poznámke pod čiarou odkazuje na priamo účinné nariadenie (EÚ) </w:t>
      </w:r>
      <w:r>
        <w:rPr>
          <w:rFonts w:ascii="Times New Roman" w:hAnsi="Times New Roman"/>
          <w:sz w:val="24"/>
          <w:szCs w:val="24"/>
        </w:rPr>
        <w:t xml:space="preserve">             </w:t>
      </w:r>
      <w:r w:rsidRPr="00766409">
        <w:rPr>
          <w:rFonts w:ascii="Times New Roman" w:hAnsi="Times New Roman"/>
          <w:sz w:val="24"/>
          <w:szCs w:val="24"/>
        </w:rPr>
        <w:t xml:space="preserve">č. 1025/2012 z dôvodu, aby zákon necitoval definíciu technickej normy z nariadenia. </w:t>
      </w:r>
    </w:p>
    <w:p w:rsidR="009C5673" w:rsidRPr="00766409" w:rsidP="009C5673">
      <w:pPr>
        <w:bidi w:val="0"/>
        <w:jc w:val="both"/>
        <w:rPr>
          <w:rFonts w:ascii="Times New Roman" w:hAnsi="Times New Roman"/>
          <w:sz w:val="24"/>
          <w:szCs w:val="24"/>
        </w:rPr>
      </w:pPr>
      <w:r w:rsidRPr="00766409">
        <w:rPr>
          <w:rFonts w:ascii="Times New Roman" w:hAnsi="Times New Roman"/>
          <w:sz w:val="24"/>
          <w:szCs w:val="24"/>
        </w:rPr>
        <w:t>Deklaruje sa dobrovoľný charakter technickej normy podľa nariadenia (EÚ) č. 1025/2012. Zároveň sa striktne uvádza, že technická norma nie je technickým predpisom. Toto ustanovenie je dôležité pre pochopenie rozdielu medzi dobrovoľným používaním technických noriem a povinnosťou dodržiavať všeobecne záväzný právny predpis (technický predpis). Nerozlišovanie týchto pojmov často vedie technickú verejnosť, ale aj zástupcov orgánov verejnej moci k názoru, že technická norma je rovnocenná s technickým predpisom a na základe toho predpokladá, že je záväzná a prístupná bezodplatne. Návrh zákona má ambíciu riešiť tento pretrvávajúci problém jednoznačným stanovením, že technická norma nie je technickým predpisom.</w:t>
      </w:r>
    </w:p>
    <w:p w:rsidR="009C5673" w:rsidRPr="00766409" w:rsidP="009C5673">
      <w:pPr>
        <w:bidi w:val="0"/>
        <w:jc w:val="both"/>
        <w:rPr>
          <w:rFonts w:ascii="Times New Roman" w:hAnsi="Times New Roman"/>
          <w:sz w:val="24"/>
          <w:szCs w:val="24"/>
        </w:rPr>
      </w:pPr>
      <w:r w:rsidRPr="00766409">
        <w:rPr>
          <w:rFonts w:ascii="Times New Roman" w:hAnsi="Times New Roman"/>
          <w:sz w:val="24"/>
          <w:szCs w:val="24"/>
        </w:rPr>
        <w:t>Ustanovuje sa značka slovenskej technickej normy STN, predbežnej slovenskej technickej normy STN P a technickej normalizačnej informácie TNI.</w:t>
      </w:r>
    </w:p>
    <w:p w:rsidR="009C5673" w:rsidRPr="00766409" w:rsidP="009C5673">
      <w:pPr>
        <w:bidi w:val="0"/>
        <w:jc w:val="both"/>
        <w:rPr>
          <w:rFonts w:ascii="Times New Roman" w:hAnsi="Times New Roman"/>
          <w:sz w:val="24"/>
          <w:szCs w:val="24"/>
        </w:rPr>
      </w:pPr>
      <w:r w:rsidRPr="00766409">
        <w:rPr>
          <w:rFonts w:ascii="Times New Roman" w:hAnsi="Times New Roman"/>
          <w:sz w:val="24"/>
          <w:szCs w:val="24"/>
        </w:rPr>
        <w:t xml:space="preserve">Slovenská technická norma a technická normalizačná informácia sa nesprístupňuje podľa zákona č. 211/2000 Z. z. o slobodnom prístupe k informáciám a o zmene a doplnení niektorých zákonov (zákon o slobode informácií) v znení neskorších predpisov, keďže sa tieto dokumenty poskytujú za úhradu. </w:t>
      </w:r>
    </w:p>
    <w:p w:rsidR="009C5673" w:rsidRPr="00766409" w:rsidP="009C5673">
      <w:pPr>
        <w:bidi w:val="0"/>
        <w:jc w:val="both"/>
        <w:rPr>
          <w:rFonts w:ascii="Times New Roman" w:hAnsi="Times New Roman"/>
          <w:sz w:val="24"/>
          <w:szCs w:val="24"/>
        </w:rPr>
      </w:pPr>
      <w:r w:rsidRPr="00766409">
        <w:rPr>
          <w:rFonts w:ascii="Times New Roman" w:hAnsi="Times New Roman"/>
          <w:sz w:val="24"/>
          <w:szCs w:val="24"/>
        </w:rPr>
        <w:t xml:space="preserve">Zároveň sa ukladá povinnosť inému orgánu štátnej správy vopred písomne upozorniť slovenský národný normalizačný orgán, že v návrhu všeobecne záväzného právneho predpisu, ktorý pripravuje a predloží do legislatívneho procesu, bude vo vlastnom materiáli odkazovať v texte </w:t>
      </w:r>
      <w:r>
        <w:rPr>
          <w:rFonts w:ascii="Times New Roman" w:hAnsi="Times New Roman"/>
          <w:sz w:val="24"/>
          <w:szCs w:val="24"/>
        </w:rPr>
        <w:t xml:space="preserve">                 </w:t>
      </w:r>
      <w:r w:rsidRPr="00766409">
        <w:rPr>
          <w:rFonts w:ascii="Times New Roman" w:hAnsi="Times New Roman"/>
          <w:sz w:val="24"/>
          <w:szCs w:val="24"/>
        </w:rPr>
        <w:t>na slovenskú technickú normu.</w:t>
      </w:r>
    </w:p>
    <w:p w:rsidR="009C5673" w:rsidRPr="00766409" w:rsidP="009C5673">
      <w:pPr>
        <w:bidi w:val="0"/>
        <w:jc w:val="both"/>
        <w:rPr>
          <w:rFonts w:ascii="Times New Roman" w:hAnsi="Times New Roman"/>
          <w:b/>
          <w:bCs/>
          <w:sz w:val="24"/>
          <w:szCs w:val="24"/>
        </w:rPr>
      </w:pPr>
      <w:r w:rsidRPr="00766409">
        <w:rPr>
          <w:rFonts w:ascii="Times New Roman" w:hAnsi="Times New Roman"/>
          <w:b/>
          <w:bCs/>
          <w:sz w:val="24"/>
          <w:szCs w:val="24"/>
        </w:rPr>
        <w:t>K § 4</w:t>
      </w:r>
    </w:p>
    <w:p w:rsidR="009C5673" w:rsidP="009C5673">
      <w:pPr>
        <w:bidi w:val="0"/>
        <w:jc w:val="both"/>
        <w:rPr>
          <w:rFonts w:ascii="Times New Roman" w:hAnsi="Times New Roman"/>
          <w:sz w:val="24"/>
          <w:szCs w:val="24"/>
        </w:rPr>
      </w:pPr>
      <w:r w:rsidRPr="00766409">
        <w:rPr>
          <w:rFonts w:ascii="Times New Roman" w:hAnsi="Times New Roman"/>
          <w:bCs/>
          <w:sz w:val="24"/>
          <w:szCs w:val="24"/>
        </w:rPr>
        <w:t xml:space="preserve">Vymedzuje sa pôsobnosť Úradu pre normalizáciu, metrológiu a skúšobníctvo Slovenskej republiky (ďalej len „úrad“) ako ústredného orgánu štátnej správy v oblasti technickej normalizácie v zmysle zákona č. 575/2001 Z. z. o organizácii činnosti vlády a organizácii ústrednej štátnej správy v znení zákona č. 505/2009 Z. z. Oproti platnej právnej úprave                     sa nerozširuje rozsah pôsobnosti úradu. </w:t>
      </w:r>
      <w:r w:rsidRPr="00766409">
        <w:rPr>
          <w:rFonts w:ascii="Times New Roman" w:hAnsi="Times New Roman"/>
          <w:sz w:val="24"/>
          <w:szCs w:val="24"/>
        </w:rPr>
        <w:t>Ďalej sa určuje povinnosť úradu hradiť členské poplatky v európskych normalizačných organizáciách CEN a CENELEC a medzinárodných normalizačných orgánoch ISO a IEC. Členovia CEN, CENELEC, ISO, IEC o poplatkoch a rozpočte organizácií a orgánov každoročne hlasujú na štatutárnych zasadnutiach/valných zhromaždeniach. Členské poplatky majú každoročne rastúcu tendenciu. Úrad spolupracuje s ETSI na základe Memoranda o porozumení, ktoré je uzatvorené s každou národnou normalizačnou organizáciou, ktorá pôsobí v členskom štáte Európskej únie. Úrad nie je členom ETSI. Ďalej je zakotvená povinnosť úradu uhrádzať náklady súvisiace s povinnosťami a činnosťami, ktoré musí plniť a zabezpečovať slovenský národný normalizačný orgán. Deklaruje sa, že úrad je slovenským národným normalizačným orgánom, keďže na základe výsledkov auditu a požiadaviek európskych a medzinárodných normalizačných organizácií CEN, CENELEC, ETSI, ISO a IEC splnil požiadavky na jeho medzinárodné a európske uznanie ako slovenského národného normalizačného orgánu.</w:t>
      </w:r>
    </w:p>
    <w:p w:rsidR="009C5673" w:rsidRPr="00766409" w:rsidP="009C5673">
      <w:pPr>
        <w:bidi w:val="0"/>
        <w:jc w:val="both"/>
        <w:rPr>
          <w:rFonts w:ascii="Times New Roman" w:hAnsi="Times New Roman"/>
          <w:bCs/>
          <w:sz w:val="24"/>
          <w:szCs w:val="24"/>
        </w:rPr>
      </w:pPr>
      <w:r w:rsidRPr="00766409">
        <w:rPr>
          <w:rFonts w:ascii="Times New Roman" w:hAnsi="Times New Roman"/>
          <w:bCs/>
          <w:sz w:val="24"/>
          <w:szCs w:val="24"/>
        </w:rPr>
        <w:t xml:space="preserve">Odôvodneným prípadom </w:t>
      </w:r>
      <w:r>
        <w:rPr>
          <w:rFonts w:ascii="Times New Roman" w:hAnsi="Times New Roman"/>
          <w:bCs/>
          <w:sz w:val="24"/>
          <w:szCs w:val="24"/>
        </w:rPr>
        <w:t xml:space="preserve">podľa odseku 1 písm. b) </w:t>
      </w:r>
      <w:r w:rsidRPr="00766409">
        <w:rPr>
          <w:rFonts w:ascii="Times New Roman" w:hAnsi="Times New Roman"/>
          <w:bCs/>
          <w:sz w:val="24"/>
          <w:szCs w:val="24"/>
        </w:rPr>
        <w:t xml:space="preserve">je situácia, ak európske normalizačné organizácie stanovia skrátené lehoty povinného prijatia európskych noriem do sústavy slovenských technických noriem. Tento postup môže byť použitý, ak napríklad je potrebné urýchlene vydať </w:t>
      </w:r>
      <w:r>
        <w:rPr>
          <w:rFonts w:ascii="Times New Roman" w:hAnsi="Times New Roman"/>
          <w:bCs/>
          <w:sz w:val="24"/>
          <w:szCs w:val="24"/>
        </w:rPr>
        <w:t xml:space="preserve">technickú </w:t>
      </w:r>
      <w:r w:rsidRPr="00766409">
        <w:rPr>
          <w:rFonts w:ascii="Times New Roman" w:hAnsi="Times New Roman"/>
          <w:bCs/>
          <w:sz w:val="24"/>
          <w:szCs w:val="24"/>
        </w:rPr>
        <w:t xml:space="preserve">normu podporujúcu legislatívu, napríklad </w:t>
      </w:r>
      <w:r>
        <w:rPr>
          <w:rFonts w:ascii="Times New Roman" w:hAnsi="Times New Roman"/>
          <w:bCs/>
          <w:sz w:val="24"/>
          <w:szCs w:val="24"/>
        </w:rPr>
        <w:t xml:space="preserve">technické </w:t>
      </w:r>
      <w:r w:rsidRPr="00766409">
        <w:rPr>
          <w:rFonts w:ascii="Times New Roman" w:hAnsi="Times New Roman"/>
          <w:bCs/>
          <w:sz w:val="24"/>
          <w:szCs w:val="24"/>
        </w:rPr>
        <w:t>normy harmonizované so smernicami alebo inými legislatívnymi aktmi EÚ. Keďže periodicita vydávania vestníka je jedenkrát za mesiac, nebolo by možné tieto skrátené lehoty dodržať, preto úrad pristúpil</w:t>
      </w:r>
      <w:r>
        <w:rPr>
          <w:rFonts w:ascii="Times New Roman" w:hAnsi="Times New Roman"/>
          <w:bCs/>
          <w:sz w:val="24"/>
          <w:szCs w:val="24"/>
        </w:rPr>
        <w:t xml:space="preserve"> </w:t>
      </w:r>
      <w:r w:rsidRPr="00766409">
        <w:rPr>
          <w:rFonts w:ascii="Times New Roman" w:hAnsi="Times New Roman"/>
          <w:bCs/>
          <w:sz w:val="24"/>
          <w:szCs w:val="24"/>
        </w:rPr>
        <w:t>aj k možnosti oznamovania prostredníctvom webového sídla. Ide však len o výnimočné situácie. Následne bude informatívne oznámené prijatie slovenskej technickej normy a technickej normalizačnej informácii aj vo vestníku, pričom platnosť takto informatívne oznámenej slovenskej technickej normy a technickej normalizačnej informácii bude dňom jej oznámenia na webovom sídle úradu.</w:t>
      </w:r>
    </w:p>
    <w:p w:rsidR="009C5673" w:rsidRPr="00766409" w:rsidP="009C5673">
      <w:pPr>
        <w:bidi w:val="0"/>
        <w:jc w:val="both"/>
        <w:rPr>
          <w:rFonts w:ascii="Times New Roman" w:hAnsi="Times New Roman"/>
          <w:sz w:val="24"/>
          <w:szCs w:val="24"/>
        </w:rPr>
      </w:pPr>
      <w:r w:rsidRPr="00766409">
        <w:rPr>
          <w:rFonts w:ascii="Times New Roman" w:hAnsi="Times New Roman"/>
          <w:bCs/>
          <w:sz w:val="24"/>
          <w:szCs w:val="24"/>
        </w:rPr>
        <w:t xml:space="preserve">Zároveň sa vymedzujú práva a povinnosti úradu ako slovenského národného normalizačného orgánu. </w:t>
      </w:r>
      <w:r w:rsidRPr="00766409">
        <w:rPr>
          <w:rFonts w:ascii="Times New Roman" w:hAnsi="Times New Roman"/>
          <w:sz w:val="24"/>
          <w:szCs w:val="24"/>
        </w:rPr>
        <w:t xml:space="preserve">Návrh zákona bližšie špecifikuje povinnosti, ktoré je slovenský národný normalizačný orgán povinný plniť a zabezpečiť pri svojej činnosti, ktoré vyplývajú tak z nariadenia (EÚ) </w:t>
      </w:r>
      <w:r>
        <w:rPr>
          <w:rFonts w:ascii="Times New Roman" w:hAnsi="Times New Roman"/>
          <w:sz w:val="24"/>
          <w:szCs w:val="24"/>
        </w:rPr>
        <w:t xml:space="preserve">                  </w:t>
      </w:r>
      <w:r w:rsidRPr="00766409">
        <w:rPr>
          <w:rFonts w:ascii="Times New Roman" w:hAnsi="Times New Roman"/>
          <w:sz w:val="24"/>
          <w:szCs w:val="24"/>
        </w:rPr>
        <w:t xml:space="preserve">č. 1025/2012, ako aj z vnútorných pokynov medzinárodných a európskych normalizačných organizácií, ktorých je úrad riadnym členom. Slovenský národný normalizačný orgán zverejňuje na svojom webovom sídle kritériá na tvorbu slovenskej technickej normy v štátnom jazyku po ich schválení Radou pre technickú normalizáciu (ďalej len „rada“). Vzhľadom na vysoký počet každoročne prijímaných technických noriem na európskej úrovni (v roku 2016 vydali európske normalizačné organizácie CEN  a CENELEC spolu 1590 európskych noriem a dokumentov) </w:t>
      </w:r>
      <w:r>
        <w:rPr>
          <w:rFonts w:ascii="Times New Roman" w:hAnsi="Times New Roman"/>
          <w:sz w:val="24"/>
          <w:szCs w:val="24"/>
        </w:rPr>
        <w:t xml:space="preserve">                </w:t>
      </w:r>
      <w:r w:rsidRPr="00766409">
        <w:rPr>
          <w:rFonts w:ascii="Times New Roman" w:hAnsi="Times New Roman"/>
          <w:sz w:val="24"/>
          <w:szCs w:val="24"/>
        </w:rPr>
        <w:t>a vzhľadom na personálne kapacity úradu a angažovanosť a záujem externých spolupracovníkov úradu, ale aj dostupné finančné prostriedky, nie je možné prijímať všetky tieto technické normy prekladom do štátneho jazyka, preto sa stanovujú kritériá na ich preklad. Podľa návrhu zákona zostaví tieto kritériá slovenský národný normalizačný orgán a schváli rada. Podľa navrhovaných kritérií budú mať prioritu harmonizované európske normy a harmonizačné dokumenty (ďalej len „EN a HD“), EN a HD vypracované na základe mandátu Európskej komisie alebo žiadosti Európskej komisie o normalizačnú prácu, bezpečnostné technické normy slúžiace na podporu legislatívy, terminologické normy, normy navrhnuté príslušnou technickou komisiou, technické normy navrhnuté radou, pričom sa bude vyhodnocovať rozsah používateľov a efektívnosť využitia prostriedkov poskytnutých zo štátneho rozpočtu. Ďalej sa uvádzajú postupy stanovené slovenským národným normalizačným orgánom podľa pravidiel určených európskymi, medzinárodnými a národnými normalizačnými orgánmi. Tieto pravidlá vychádzajú zo zásad správnej praxe na prípravu, prijímanie a uplatňovanie technických noriem, ktoré prijala Svetová obchodná organizácia  (WTO) v oblasti technickej normalizácie a to: koherencii, transparentnosti, otvorenosti, konsenze, dobrovoľnom uplatňovaní, nezávislosti od osobitných záujmov a efektívnosti („zakladajúce zásady“).</w:t>
      </w:r>
    </w:p>
    <w:p w:rsidR="009C5673" w:rsidRPr="00766409" w:rsidP="009C5673">
      <w:pPr>
        <w:bidi w:val="0"/>
        <w:jc w:val="both"/>
        <w:rPr>
          <w:rFonts w:ascii="Times New Roman" w:hAnsi="Times New Roman"/>
          <w:sz w:val="24"/>
          <w:szCs w:val="24"/>
        </w:rPr>
      </w:pPr>
      <w:r w:rsidRPr="00766409">
        <w:rPr>
          <w:rFonts w:ascii="Times New Roman" w:hAnsi="Times New Roman"/>
          <w:sz w:val="24"/>
          <w:szCs w:val="24"/>
        </w:rPr>
        <w:t>Pravidlá európskych normalizačných organizácií sú Vnútorné predpisy CEN/CENELEC, Časť 2: Spoločné pravidlá na normalizačnú prácu</w:t>
      </w:r>
      <w:r w:rsidRPr="00766409">
        <w:rPr>
          <w:rFonts w:ascii="Times New Roman" w:hAnsi="Times New Roman"/>
          <w:sz w:val="24"/>
          <w:szCs w:val="24"/>
          <w:lang w:val="en-US"/>
        </w:rPr>
        <w:t>;</w:t>
      </w:r>
      <w:r w:rsidRPr="00766409">
        <w:rPr>
          <w:rFonts w:ascii="Times New Roman" w:hAnsi="Times New Roman"/>
          <w:sz w:val="24"/>
          <w:szCs w:val="24"/>
        </w:rPr>
        <w:t xml:space="preserve"> (Internal Regulation Part 2: Common Rules for Standardization Work), Vnútorné predpisy CEN/CENELEC, Časť 3: Pravidlá na stavbu a navrhovanie publikácií CEN/CENELEC</w:t>
      </w:r>
      <w:r w:rsidRPr="00766409">
        <w:rPr>
          <w:rFonts w:ascii="Times New Roman" w:hAnsi="Times New Roman"/>
          <w:sz w:val="24"/>
          <w:szCs w:val="24"/>
          <w:lang w:val="en-US"/>
        </w:rPr>
        <w:t>;</w:t>
      </w:r>
      <w:r w:rsidRPr="00766409">
        <w:rPr>
          <w:rFonts w:ascii="Times New Roman" w:hAnsi="Times New Roman"/>
          <w:sz w:val="24"/>
          <w:szCs w:val="24"/>
        </w:rPr>
        <w:t xml:space="preserve"> (Internal Regulation Part 3: Rules for the structure and drafting of CEN/CENELEC Publications). </w:t>
      </w:r>
    </w:p>
    <w:p w:rsidR="009C5673" w:rsidRPr="00766409" w:rsidP="009C5673">
      <w:pPr>
        <w:bidi w:val="0"/>
        <w:jc w:val="both"/>
        <w:rPr>
          <w:rFonts w:ascii="Times New Roman" w:hAnsi="Times New Roman"/>
          <w:sz w:val="24"/>
          <w:szCs w:val="24"/>
        </w:rPr>
      </w:pPr>
      <w:r w:rsidRPr="00766409">
        <w:rPr>
          <w:rFonts w:ascii="Times New Roman" w:hAnsi="Times New Roman"/>
          <w:sz w:val="24"/>
          <w:szCs w:val="24"/>
        </w:rPr>
        <w:t xml:space="preserve">Ďalej slovenský národný normalizačný orgán postupuje podľa pravidiel medzinárodných normalizačných organizácií, ktorými sú: Smernice ISO/IEC, Časť 1: Postupy na normalizačnú prácu (ISO/IEC Directives, Part 1: Procedures for the technical work), Smernice ISO/IEC, Časť 2: Princípy a pravidlá na stavbu a navrhovanie publikácií ISO a IEC. </w:t>
      </w:r>
    </w:p>
    <w:p w:rsidR="009C5673" w:rsidRPr="00766409" w:rsidP="009C5673">
      <w:pPr>
        <w:bidi w:val="0"/>
        <w:jc w:val="both"/>
        <w:rPr>
          <w:rFonts w:ascii="Times New Roman" w:hAnsi="Times New Roman"/>
          <w:sz w:val="24"/>
          <w:szCs w:val="24"/>
        </w:rPr>
      </w:pPr>
      <w:r w:rsidRPr="00766409">
        <w:rPr>
          <w:rFonts w:ascii="Times New Roman" w:hAnsi="Times New Roman"/>
          <w:sz w:val="24"/>
          <w:szCs w:val="24"/>
        </w:rPr>
        <w:t xml:space="preserve">Slovenský národný normalizačný orgán sa riadi aj metodickými postupmi, ktoré vydáva slovenský národný normalizačný orgán a sú zverejnené na webovom sídle úradu v časti technická normalizácia. </w:t>
      </w:r>
    </w:p>
    <w:p w:rsidR="009C5673" w:rsidRPr="00766409" w:rsidP="009C5673">
      <w:pPr>
        <w:bidi w:val="0"/>
        <w:jc w:val="both"/>
        <w:rPr>
          <w:rFonts w:ascii="Times New Roman" w:hAnsi="Times New Roman"/>
          <w:sz w:val="24"/>
          <w:szCs w:val="24"/>
        </w:rPr>
      </w:pPr>
      <w:r w:rsidRPr="00766409">
        <w:rPr>
          <w:rFonts w:ascii="Times New Roman" w:hAnsi="Times New Roman"/>
          <w:sz w:val="24"/>
          <w:szCs w:val="24"/>
        </w:rPr>
        <w:t xml:space="preserve">Dôležitou povinnosťou, ktorú musí slovenský národný normalizačný orgán zabezpečiť, </w:t>
      </w:r>
      <w:r>
        <w:rPr>
          <w:rFonts w:ascii="Times New Roman" w:hAnsi="Times New Roman"/>
          <w:sz w:val="24"/>
          <w:szCs w:val="24"/>
        </w:rPr>
        <w:t xml:space="preserve">                       </w:t>
      </w:r>
      <w:r w:rsidRPr="00766409">
        <w:rPr>
          <w:rFonts w:ascii="Times New Roman" w:hAnsi="Times New Roman"/>
          <w:sz w:val="24"/>
          <w:szCs w:val="24"/>
        </w:rPr>
        <w:t>je ochrana slovenskej technickej normy a technickej normalizačnej informácie a inej technickej normy a inej technickej normalizačnej informácie.</w:t>
      </w:r>
    </w:p>
    <w:p w:rsidR="009C5673" w:rsidRPr="00766409" w:rsidP="009C5673">
      <w:pPr>
        <w:bidi w:val="0"/>
        <w:jc w:val="both"/>
        <w:rPr>
          <w:rFonts w:ascii="Times New Roman" w:hAnsi="Times New Roman"/>
          <w:sz w:val="24"/>
          <w:szCs w:val="24"/>
        </w:rPr>
      </w:pPr>
      <w:r w:rsidRPr="00766409">
        <w:rPr>
          <w:rFonts w:ascii="Times New Roman" w:hAnsi="Times New Roman"/>
          <w:sz w:val="24"/>
          <w:szCs w:val="24"/>
        </w:rPr>
        <w:t xml:space="preserve">Slovenský národný normalizačný orgán prevádzkuje portál, ktorý slúži ako zoznam platných a zrušených slovenských technických noriem, technických normalizačných informácií a ich zmien a opráv (obsahujúci základné bibliografické údaje, spôsob prevzatia do sústavy slovenských technických noriem, referenčné dokumenty, úhradu za poskytnutie). Využíva </w:t>
      </w:r>
      <w:r>
        <w:rPr>
          <w:rFonts w:ascii="Times New Roman" w:hAnsi="Times New Roman"/>
          <w:sz w:val="24"/>
          <w:szCs w:val="24"/>
        </w:rPr>
        <w:t xml:space="preserve">                 </w:t>
      </w:r>
      <w:r w:rsidRPr="00766409">
        <w:rPr>
          <w:rFonts w:ascii="Times New Roman" w:hAnsi="Times New Roman"/>
          <w:sz w:val="24"/>
          <w:szCs w:val="24"/>
        </w:rPr>
        <w:t>sa na poskytovanie slovenských technických noriem a technických normalizačných informácií a ich zmien a opráv v elektronickej podobe za úhradu. Prostredníctvom portálu je poskytovaná aj služba STN-online. Bližšie informácie o službe STN-online sú uvedené na webovom sídle slovenského národného normalizačného orgánu. STN-online je služba, ktorá poskytuje znenie slovenských technických noriem, technických normalizačných informácií a ich zmien na základe úhrady a znenie opráv slovenských technických noriem, technických normalizačných informácií a ich zmien, ktoré sa poskytujú bezodplatne.</w:t>
      </w:r>
    </w:p>
    <w:p w:rsidR="009C5673" w:rsidRPr="00766409" w:rsidP="009C5673">
      <w:pPr>
        <w:bidi w:val="0"/>
        <w:rPr>
          <w:rFonts w:ascii="Times New Roman" w:hAnsi="Times New Roman"/>
          <w:b/>
          <w:bCs/>
          <w:sz w:val="24"/>
          <w:szCs w:val="24"/>
        </w:rPr>
      </w:pPr>
      <w:r w:rsidRPr="00766409">
        <w:rPr>
          <w:rFonts w:ascii="Times New Roman" w:hAnsi="Times New Roman"/>
          <w:b/>
          <w:bCs/>
          <w:sz w:val="24"/>
          <w:szCs w:val="24"/>
        </w:rPr>
        <w:t xml:space="preserve">K § 5  </w:t>
      </w:r>
    </w:p>
    <w:p w:rsidR="009C5673" w:rsidRPr="00766409" w:rsidP="009C5673">
      <w:pPr>
        <w:bidi w:val="0"/>
        <w:spacing w:after="240"/>
        <w:jc w:val="both"/>
        <w:rPr>
          <w:rFonts w:ascii="Times New Roman" w:hAnsi="Times New Roman"/>
          <w:sz w:val="24"/>
          <w:szCs w:val="24"/>
        </w:rPr>
      </w:pPr>
      <w:r w:rsidRPr="00766409">
        <w:rPr>
          <w:rFonts w:ascii="Times New Roman" w:hAnsi="Times New Roman"/>
          <w:sz w:val="24"/>
          <w:szCs w:val="24"/>
        </w:rPr>
        <w:t xml:space="preserve">Ustanovuje sa zriadenie rady ako odborného poradného orgánu predsedu úradu                              na zabezpečenie nezávislosti slovenského národného normalizačného orgánu. Členmi rady </w:t>
      </w:r>
      <w:r>
        <w:rPr>
          <w:rFonts w:ascii="Times New Roman" w:hAnsi="Times New Roman"/>
          <w:sz w:val="24"/>
          <w:szCs w:val="24"/>
        </w:rPr>
        <w:t xml:space="preserve">                    </w:t>
      </w:r>
      <w:r w:rsidRPr="00766409">
        <w:rPr>
          <w:rFonts w:ascii="Times New Roman" w:hAnsi="Times New Roman"/>
          <w:sz w:val="24"/>
          <w:szCs w:val="24"/>
        </w:rPr>
        <w:t xml:space="preserve">sú zástupcovia zainteresovaných strán, ktorými sa rozumejú zástupcovia podnikateľov, zástupcovia zamestnávateľov, organizácií zastupujúcich záujmy spotrebiteľov, profesijných zväzov, zástupcov vedy a výskumu a zástupcovia orgánov verejnej moci. Nezávislosť slovenského národného normalizačného orgánu sa zabezpečí tak, že počet zástupcov orgánov verejnej moci v rade je najviac jedna tretina z celkového počtu členov rady. Ustanovuje </w:t>
      </w:r>
      <w:r>
        <w:rPr>
          <w:rFonts w:ascii="Times New Roman" w:hAnsi="Times New Roman"/>
          <w:sz w:val="24"/>
          <w:szCs w:val="24"/>
        </w:rPr>
        <w:t xml:space="preserve">                        </w:t>
      </w:r>
      <w:r w:rsidRPr="00766409">
        <w:rPr>
          <w:rFonts w:ascii="Times New Roman" w:hAnsi="Times New Roman"/>
          <w:sz w:val="24"/>
          <w:szCs w:val="24"/>
        </w:rPr>
        <w:t xml:space="preserve">sa pôsobnosť rady. Ďalšie náležitosti upraví štatút rady a rokovací poriadok rady, ktorý vydá úrad. </w:t>
      </w:r>
    </w:p>
    <w:p w:rsidR="009C5673" w:rsidRPr="00766409" w:rsidP="009C5673">
      <w:pPr>
        <w:bidi w:val="0"/>
        <w:rPr>
          <w:rFonts w:ascii="Times New Roman" w:hAnsi="Times New Roman"/>
          <w:b/>
          <w:bCs/>
          <w:sz w:val="24"/>
          <w:szCs w:val="24"/>
        </w:rPr>
      </w:pPr>
      <w:r w:rsidRPr="00766409">
        <w:rPr>
          <w:rFonts w:ascii="Times New Roman" w:hAnsi="Times New Roman"/>
          <w:b/>
          <w:bCs/>
          <w:sz w:val="24"/>
          <w:szCs w:val="24"/>
        </w:rPr>
        <w:t>K § 6</w:t>
      </w:r>
    </w:p>
    <w:p w:rsidR="009C5673" w:rsidRPr="00766409" w:rsidP="009C5673">
      <w:pPr>
        <w:bidi w:val="0"/>
        <w:jc w:val="both"/>
        <w:rPr>
          <w:rFonts w:ascii="Times New Roman" w:hAnsi="Times New Roman"/>
          <w:sz w:val="24"/>
          <w:szCs w:val="24"/>
        </w:rPr>
      </w:pPr>
      <w:r w:rsidRPr="00766409">
        <w:rPr>
          <w:rFonts w:ascii="Times New Roman" w:hAnsi="Times New Roman"/>
          <w:sz w:val="24"/>
          <w:szCs w:val="24"/>
        </w:rPr>
        <w:t>Dôležitú úlohu v činnosti technickej normalizácie má technická komisia, ktorá sa zúčastňuje pripomienkovania na európskej a medzinárodnej úrovni a na národnej úrovni. Technické komisie sú priamo zainteresované na tvorbe pôvodných slovenských technických noriem a pôvodných technických normalizačných informácií. Vyjadrujú sa k spôsobu zavedenia európskych noriem do sústavy STN a zaradenia do plánu medzinárodných noriem. Ďalšie náležitosti a spôsob rokovania je upravený v štatúte technických komisií, ktorý vydá úrad ako slovenský národný normalizačný orgán.</w:t>
      </w:r>
    </w:p>
    <w:p w:rsidR="009C5673" w:rsidRPr="00766409" w:rsidP="009C5673">
      <w:pPr>
        <w:bidi w:val="0"/>
        <w:rPr>
          <w:rFonts w:ascii="Times New Roman" w:hAnsi="Times New Roman"/>
          <w:b/>
          <w:bCs/>
          <w:sz w:val="24"/>
          <w:szCs w:val="24"/>
        </w:rPr>
      </w:pPr>
      <w:r w:rsidRPr="00766409">
        <w:rPr>
          <w:rFonts w:ascii="Times New Roman" w:hAnsi="Times New Roman"/>
          <w:b/>
          <w:bCs/>
          <w:sz w:val="24"/>
          <w:szCs w:val="24"/>
        </w:rPr>
        <w:t>K § 7</w:t>
      </w:r>
    </w:p>
    <w:p w:rsidR="009C5673" w:rsidRPr="00766409" w:rsidP="009C5673">
      <w:pPr>
        <w:bidi w:val="0"/>
        <w:jc w:val="both"/>
        <w:rPr>
          <w:rFonts w:ascii="Times New Roman" w:hAnsi="Times New Roman"/>
          <w:sz w:val="24"/>
          <w:szCs w:val="24"/>
        </w:rPr>
      </w:pPr>
      <w:r w:rsidRPr="00766409">
        <w:rPr>
          <w:rFonts w:ascii="Times New Roman" w:hAnsi="Times New Roman"/>
          <w:sz w:val="24"/>
          <w:szCs w:val="24"/>
        </w:rPr>
        <w:t xml:space="preserve">Zákon predpokladá pri tvorbe slovenskej technickej normy a technickej normalizačnej informácie v zmysle čl. 3 nariadenia (EÚ) č. 1025/2012 zapojenie zainteresovaných subjektov, ktoré </w:t>
      </w:r>
      <w:r>
        <w:rPr>
          <w:rFonts w:ascii="Times New Roman" w:hAnsi="Times New Roman"/>
          <w:sz w:val="24"/>
          <w:szCs w:val="24"/>
        </w:rPr>
        <w:t xml:space="preserve">                     </w:t>
      </w:r>
      <w:r w:rsidRPr="00766409">
        <w:rPr>
          <w:rFonts w:ascii="Times New Roman" w:hAnsi="Times New Roman"/>
          <w:sz w:val="24"/>
          <w:szCs w:val="24"/>
        </w:rPr>
        <w:t>sa zúčastňujú na tvorbe slovenskej technickej normy a technickej normalizačnej informácie vrátane technickej komisie, orgánu verejnej moci a spracovateľa. Je ustanovená povinnosť postupovať podľa pravidiel európskych normalizačných organizácií, medzinárodných normalizačných orgánov a národného normalizačného orgánu. Ďalej sa uvádza, čo sa rozumie pod tvorbou slovenskej technickej normy a technickej normalizačnej informácie, ktorá je bližšie špecifikovaná v nasledujúcich paragrafoch.</w:t>
      </w:r>
    </w:p>
    <w:p w:rsidR="009C5673" w:rsidRPr="00766409" w:rsidP="009C5673">
      <w:pPr>
        <w:bidi w:val="0"/>
        <w:rPr>
          <w:rFonts w:ascii="Times New Roman" w:hAnsi="Times New Roman"/>
          <w:b/>
          <w:bCs/>
          <w:sz w:val="24"/>
          <w:szCs w:val="24"/>
        </w:rPr>
      </w:pPr>
      <w:r w:rsidRPr="00766409">
        <w:rPr>
          <w:rFonts w:ascii="Times New Roman" w:hAnsi="Times New Roman"/>
          <w:b/>
          <w:bCs/>
          <w:sz w:val="24"/>
          <w:szCs w:val="24"/>
        </w:rPr>
        <w:t>K § 8</w:t>
      </w:r>
    </w:p>
    <w:p w:rsidR="009C5673" w:rsidRPr="00766409" w:rsidP="009C5673">
      <w:pPr>
        <w:bidi w:val="0"/>
        <w:jc w:val="both"/>
        <w:rPr>
          <w:rFonts w:ascii="Times New Roman" w:hAnsi="Times New Roman"/>
          <w:sz w:val="24"/>
          <w:szCs w:val="24"/>
        </w:rPr>
      </w:pPr>
      <w:r w:rsidRPr="00766409">
        <w:rPr>
          <w:rFonts w:ascii="Times New Roman" w:hAnsi="Times New Roman"/>
          <w:bCs/>
          <w:sz w:val="24"/>
          <w:szCs w:val="24"/>
        </w:rPr>
        <w:t>Ukladá sa povinnosť zverejnenia plánu technickej normalizácie na webovom sídle slovenského národného normalizačného orgánu. Ďalej sú explicitne uvedené formy prijatia európskych a medzinárodných noriem, európskych normalizačných produktov</w:t>
      </w:r>
      <w:r>
        <w:rPr>
          <w:rFonts w:ascii="Times New Roman" w:hAnsi="Times New Roman"/>
          <w:bCs/>
          <w:sz w:val="24"/>
          <w:szCs w:val="24"/>
        </w:rPr>
        <w:t xml:space="preserve"> </w:t>
      </w:r>
      <w:r w:rsidRPr="00766409">
        <w:rPr>
          <w:rFonts w:ascii="Times New Roman" w:hAnsi="Times New Roman"/>
          <w:bCs/>
          <w:sz w:val="24"/>
          <w:szCs w:val="24"/>
        </w:rPr>
        <w:t>a iných technických normalizačných informácií do sústavy slovenských technických noriem. Uvedené spôsoby prijatia do sústavy slovenských technických noriem sú určené vo vnútorných predpisoch európskych normalizačných organizácií a medzinárodných normalizačných orgánov a metodických postupov slovenského národného normalizačného orgánu. Zároveň slovenský národný normalizačný orgán  určí, či prijme do plánu zámer na spracovanie pôvodnej slovenskej technickej normy a v prípade viacerých predložených zámerov na spracovanie pôvodnej slovenskej technickej normy určí, ktorú spracuje, resp. či je potrebné takúto normu spracovať.</w:t>
      </w:r>
      <w:r w:rsidRPr="00766409">
        <w:rPr>
          <w:rFonts w:ascii="Times New Roman" w:hAnsi="Times New Roman"/>
          <w:sz w:val="24"/>
          <w:szCs w:val="24"/>
        </w:rPr>
        <w:t xml:space="preserve">  </w:t>
      </w:r>
    </w:p>
    <w:p w:rsidR="009C5673" w:rsidP="009C5673">
      <w:pPr>
        <w:bidi w:val="0"/>
        <w:rPr>
          <w:rFonts w:ascii="Times New Roman" w:hAnsi="Times New Roman"/>
          <w:b/>
          <w:bCs/>
          <w:sz w:val="24"/>
          <w:szCs w:val="24"/>
        </w:rPr>
      </w:pPr>
    </w:p>
    <w:p w:rsidR="009C5673" w:rsidRPr="00766409" w:rsidP="009C5673">
      <w:pPr>
        <w:bidi w:val="0"/>
        <w:rPr>
          <w:rFonts w:ascii="Times New Roman" w:hAnsi="Times New Roman"/>
          <w:b/>
          <w:bCs/>
          <w:sz w:val="24"/>
          <w:szCs w:val="24"/>
        </w:rPr>
      </w:pPr>
      <w:r w:rsidRPr="00766409">
        <w:rPr>
          <w:rFonts w:ascii="Times New Roman" w:hAnsi="Times New Roman"/>
          <w:b/>
          <w:bCs/>
          <w:sz w:val="24"/>
          <w:szCs w:val="24"/>
        </w:rPr>
        <w:t>K § 9</w:t>
      </w:r>
    </w:p>
    <w:p w:rsidR="009C5673" w:rsidRPr="00766409" w:rsidP="009C5673">
      <w:pPr>
        <w:bidi w:val="0"/>
        <w:jc w:val="both"/>
        <w:rPr>
          <w:rFonts w:ascii="Times New Roman" w:hAnsi="Times New Roman"/>
          <w:bCs/>
          <w:sz w:val="24"/>
          <w:szCs w:val="24"/>
        </w:rPr>
      </w:pPr>
      <w:r w:rsidRPr="00766409">
        <w:rPr>
          <w:rFonts w:ascii="Times New Roman" w:hAnsi="Times New Roman"/>
          <w:bCs/>
          <w:sz w:val="24"/>
          <w:szCs w:val="24"/>
        </w:rPr>
        <w:t>Ustanovuje sa postup spracovania slovenských technických noriem a technických normalizačných informácií.</w:t>
      </w:r>
    </w:p>
    <w:p w:rsidR="009C5673" w:rsidRPr="00766409" w:rsidP="009C5673">
      <w:pPr>
        <w:bidi w:val="0"/>
        <w:jc w:val="both"/>
        <w:rPr>
          <w:rFonts w:ascii="Times New Roman" w:hAnsi="Times New Roman"/>
          <w:bCs/>
          <w:sz w:val="24"/>
          <w:szCs w:val="24"/>
        </w:rPr>
      </w:pPr>
      <w:r w:rsidRPr="00766409">
        <w:rPr>
          <w:rFonts w:ascii="Times New Roman" w:hAnsi="Times New Roman"/>
          <w:bCs/>
          <w:sz w:val="24"/>
          <w:szCs w:val="24"/>
        </w:rPr>
        <w:t>Je ustanovená povinnosť úradu vybrať spracovateľa podľa zákona č. 343/2015 Z. z. o verejnom obstarávaní</w:t>
      </w:r>
      <w:r w:rsidRPr="00766409">
        <w:rPr>
          <w:rFonts w:ascii="Times New Roman" w:hAnsi="Times New Roman"/>
          <w:color w:val="000000"/>
          <w:sz w:val="24"/>
          <w:szCs w:val="24"/>
        </w:rPr>
        <w:t xml:space="preserve"> </w:t>
      </w:r>
      <w:r w:rsidRPr="00766409">
        <w:rPr>
          <w:rFonts w:ascii="Times New Roman" w:hAnsi="Times New Roman"/>
          <w:bCs/>
          <w:sz w:val="24"/>
          <w:szCs w:val="24"/>
        </w:rPr>
        <w:t>a o zmene a doplnení niektorých zákonov v znení neskorších predpisov (ďalej len „zákon č. 343/2015 Z. z.“).</w:t>
      </w:r>
      <w:r w:rsidRPr="00766409">
        <w:rPr>
          <w:rFonts w:ascii="Times New Roman" w:hAnsi="Times New Roman"/>
          <w:color w:val="000000"/>
          <w:sz w:val="24"/>
          <w:szCs w:val="24"/>
        </w:rPr>
        <w:t xml:space="preserve"> </w:t>
      </w:r>
      <w:r w:rsidRPr="00766409">
        <w:rPr>
          <w:rFonts w:ascii="Times New Roman" w:hAnsi="Times New Roman"/>
          <w:bCs/>
          <w:sz w:val="24"/>
          <w:szCs w:val="24"/>
        </w:rPr>
        <w:t xml:space="preserve">Úrad financuje spracovanie slovenských technických noriem a technických normalizačných informácií z prostriedkov štátneho rozpočtu, preto má povinnosť postupovať podľa zákona č. 343/2015 Z. z. Postup pri určení spracovateľa normy v súlade </w:t>
      </w:r>
      <w:r>
        <w:rPr>
          <w:rFonts w:ascii="Times New Roman" w:hAnsi="Times New Roman"/>
          <w:bCs/>
          <w:sz w:val="24"/>
          <w:szCs w:val="24"/>
        </w:rPr>
        <w:t xml:space="preserve">                  </w:t>
      </w:r>
      <w:r w:rsidRPr="00766409">
        <w:rPr>
          <w:rFonts w:ascii="Times New Roman" w:hAnsi="Times New Roman"/>
          <w:bCs/>
          <w:sz w:val="24"/>
          <w:szCs w:val="24"/>
        </w:rPr>
        <w:t xml:space="preserve">so zákonom č. 343/2015 Z. z. je závislý od výšky predpokladanej hodnoty zákazky. Znamená </w:t>
      </w:r>
      <w:r>
        <w:rPr>
          <w:rFonts w:ascii="Times New Roman" w:hAnsi="Times New Roman"/>
          <w:bCs/>
          <w:sz w:val="24"/>
          <w:szCs w:val="24"/>
        </w:rPr>
        <w:t xml:space="preserve">            </w:t>
      </w:r>
      <w:r w:rsidRPr="00766409">
        <w:rPr>
          <w:rFonts w:ascii="Times New Roman" w:hAnsi="Times New Roman"/>
          <w:bCs/>
          <w:sz w:val="24"/>
          <w:szCs w:val="24"/>
        </w:rPr>
        <w:t xml:space="preserve">to, že v prípadoch, keď predpokladaná hodnota zákazky neprevýši sumu 50 000,- eur, je v zmysle § 117 zákona č. 343/2015 spôsob výberu spracovateľa určený, a to tak, že verejný obstarávateľ je povinný osloviť minimálne troch potenciálnych uchádzačov o spracovanie normy (napr. pôvodnej slovenskej technickej normy), z ktorých slovenský národný normalizačný orgán vyberie víťazného uchádzača v závislosti od nastavených podmienok a kritérií výberu (tzn. napr. kritériom môže byť cena za preklad a podmienkou účasti skúsenosti s prekladmi, prípadne iné). </w:t>
      </w:r>
    </w:p>
    <w:p w:rsidR="009C5673" w:rsidRPr="00766409" w:rsidP="009C5673">
      <w:pPr>
        <w:bidi w:val="0"/>
        <w:jc w:val="both"/>
        <w:rPr>
          <w:rFonts w:ascii="Times New Roman" w:hAnsi="Times New Roman"/>
          <w:bCs/>
          <w:sz w:val="24"/>
          <w:szCs w:val="24"/>
        </w:rPr>
      </w:pPr>
      <w:r w:rsidRPr="00766409">
        <w:rPr>
          <w:rFonts w:ascii="Times New Roman" w:hAnsi="Times New Roman"/>
          <w:bCs/>
          <w:sz w:val="24"/>
          <w:szCs w:val="24"/>
        </w:rPr>
        <w:t>V prípadoch, keď spracovanie slovenskej technickej normy alebo technickej normalizačnej informácie uhrádza externý subjekt (tzn., keď spracovanie slovenskej technickej normy, resp. technickej normalizačnej informácie nie je financované z rozpočtu kapitoly úradu),                           sa nepostupuje pri výbere spracovateľa podľa zákona č. 343/2015 Z. z., ale uplatňuje postup podľa programu rozvoja technickej normalizácie. Úrad v takýchto prípadoch vyberá spracovateľa normy zo žiadateľov, ktorí sa prihlásia na základe výzvy úradu na príslušnú úlohu. Aj týchto prípadoch je uplatňovaný princíp transparentnosti.</w:t>
      </w:r>
    </w:p>
    <w:p w:rsidR="009C5673" w:rsidRPr="00766409" w:rsidP="009C5673">
      <w:pPr>
        <w:bidi w:val="0"/>
        <w:jc w:val="both"/>
        <w:rPr>
          <w:rFonts w:ascii="Times New Roman" w:hAnsi="Times New Roman"/>
          <w:bCs/>
          <w:sz w:val="24"/>
          <w:szCs w:val="24"/>
        </w:rPr>
      </w:pPr>
      <w:r w:rsidRPr="00766409">
        <w:rPr>
          <w:rFonts w:ascii="Times New Roman" w:hAnsi="Times New Roman"/>
          <w:bCs/>
          <w:sz w:val="24"/>
          <w:szCs w:val="24"/>
        </w:rPr>
        <w:t>Ďalej sú osobitne uvedené postupy spracovania návrhu pôvodnej slovenskej technickej normy, pôvodnej technickej normalizačnej informácie a návrhu slovenskej technickej normy, technickej normalizačnej informácie prijímanej do sústavy prekladom alebo prevzatím originálu (t. j. v anglickom jazyku).</w:t>
      </w:r>
    </w:p>
    <w:p w:rsidR="009C5673" w:rsidRPr="00766409" w:rsidP="009C5673">
      <w:pPr>
        <w:bidi w:val="0"/>
        <w:jc w:val="both"/>
        <w:rPr>
          <w:rFonts w:ascii="Times New Roman" w:hAnsi="Times New Roman"/>
          <w:bCs/>
          <w:sz w:val="24"/>
          <w:szCs w:val="24"/>
        </w:rPr>
      </w:pPr>
      <w:r w:rsidRPr="00766409">
        <w:rPr>
          <w:rFonts w:ascii="Times New Roman" w:hAnsi="Times New Roman"/>
          <w:bCs/>
          <w:sz w:val="24"/>
          <w:szCs w:val="24"/>
        </w:rPr>
        <w:t>Slovenský národný normalizačný orgán zabezpečuje jazykovú a terminologickú korektúru prostredníctvom zmluvy so spracovateľom.</w:t>
      </w:r>
    </w:p>
    <w:p w:rsidR="009C5673" w:rsidRPr="00766409" w:rsidP="009C5673">
      <w:pPr>
        <w:bidi w:val="0"/>
        <w:rPr>
          <w:rFonts w:ascii="Times New Roman" w:hAnsi="Times New Roman"/>
          <w:b/>
          <w:bCs/>
          <w:sz w:val="24"/>
          <w:szCs w:val="24"/>
        </w:rPr>
      </w:pPr>
      <w:r w:rsidRPr="00766409">
        <w:rPr>
          <w:rFonts w:ascii="Times New Roman" w:hAnsi="Times New Roman"/>
          <w:b/>
          <w:bCs/>
          <w:sz w:val="24"/>
          <w:szCs w:val="24"/>
        </w:rPr>
        <w:t>K § 10</w:t>
      </w:r>
    </w:p>
    <w:p w:rsidR="009C5673" w:rsidRPr="00766409" w:rsidP="009C5673">
      <w:pPr>
        <w:bidi w:val="0"/>
        <w:jc w:val="both"/>
        <w:rPr>
          <w:rFonts w:ascii="Times New Roman" w:hAnsi="Times New Roman"/>
          <w:bCs/>
          <w:sz w:val="24"/>
          <w:szCs w:val="24"/>
        </w:rPr>
      </w:pPr>
      <w:r w:rsidRPr="00766409">
        <w:rPr>
          <w:rFonts w:ascii="Times New Roman" w:hAnsi="Times New Roman"/>
          <w:bCs/>
          <w:sz w:val="24"/>
          <w:szCs w:val="24"/>
        </w:rPr>
        <w:t xml:space="preserve">Uvádza sa postup pri prijatí a oznámení slovenskej technickej normy a technickej normalizačnej informácie vo vestníku úradu (ďalej len „vestník“). Ďalej je stanovený postup oznamovania prijatia slovenskej technickej normy, technickej normalizačnej informácie na webovom sídle v odôvodnených prípadoch. Odôvodneným prípadom je situácia, ak európske normalizačné organizácie stanovia skrátené lehoty povinného prijatia európskych noriem do sústavy slovenských technických noriem. Tento postup môže byť použitý, ak napríklad je potrebné urýchlene vydať normu podporujúcu legislatívu, napríklad normy harmonizované so smernicami alebo inými legislatívnymi aktmi EÚ. Keďže periodicita vydávania vestníka je jedenkrát </w:t>
      </w:r>
      <w:r>
        <w:rPr>
          <w:rFonts w:ascii="Times New Roman" w:hAnsi="Times New Roman"/>
          <w:bCs/>
          <w:sz w:val="24"/>
          <w:szCs w:val="24"/>
        </w:rPr>
        <w:t xml:space="preserve">                     </w:t>
      </w:r>
      <w:r w:rsidRPr="00766409">
        <w:rPr>
          <w:rFonts w:ascii="Times New Roman" w:hAnsi="Times New Roman"/>
          <w:bCs/>
          <w:sz w:val="24"/>
          <w:szCs w:val="24"/>
        </w:rPr>
        <w:t>za mesiac, nebolo by možné tieto skrátené lehoty dodržať, preto úrad pristúpil</w:t>
      </w:r>
      <w:r>
        <w:rPr>
          <w:rFonts w:ascii="Times New Roman" w:hAnsi="Times New Roman"/>
          <w:bCs/>
          <w:sz w:val="24"/>
          <w:szCs w:val="24"/>
        </w:rPr>
        <w:t xml:space="preserve">                                        </w:t>
      </w:r>
      <w:r w:rsidRPr="00766409">
        <w:rPr>
          <w:rFonts w:ascii="Times New Roman" w:hAnsi="Times New Roman"/>
          <w:bCs/>
          <w:sz w:val="24"/>
          <w:szCs w:val="24"/>
        </w:rPr>
        <w:t xml:space="preserve">aj k možnosti oznamovania prostredníctvom webového sídla. Ide však len o výnimočné situácie. Následne bude informatívne oznámené prijatie slovenskej technickej normy a technickej normalizačnej informácii aj vo vestníku, pričom platnosť takto informatívne oznámenej slovenskej technickej normy a technickej normalizačnej informácii bude dňom jej oznámenia </w:t>
      </w:r>
      <w:r>
        <w:rPr>
          <w:rFonts w:ascii="Times New Roman" w:hAnsi="Times New Roman"/>
          <w:bCs/>
          <w:sz w:val="24"/>
          <w:szCs w:val="24"/>
        </w:rPr>
        <w:t xml:space="preserve">               </w:t>
      </w:r>
      <w:r w:rsidRPr="00766409">
        <w:rPr>
          <w:rFonts w:ascii="Times New Roman" w:hAnsi="Times New Roman"/>
          <w:bCs/>
          <w:sz w:val="24"/>
          <w:szCs w:val="24"/>
        </w:rPr>
        <w:t>na webovom sídle úradu.</w:t>
      </w:r>
    </w:p>
    <w:p w:rsidR="009C5673" w:rsidRPr="00766409" w:rsidP="009C5673">
      <w:pPr>
        <w:bidi w:val="0"/>
        <w:rPr>
          <w:rFonts w:ascii="Times New Roman" w:hAnsi="Times New Roman"/>
          <w:b/>
          <w:bCs/>
          <w:sz w:val="24"/>
          <w:szCs w:val="24"/>
        </w:rPr>
      </w:pPr>
      <w:r w:rsidRPr="00766409">
        <w:rPr>
          <w:rFonts w:ascii="Times New Roman" w:hAnsi="Times New Roman"/>
          <w:b/>
          <w:bCs/>
          <w:sz w:val="24"/>
          <w:szCs w:val="24"/>
        </w:rPr>
        <w:t>K § 11</w:t>
      </w:r>
    </w:p>
    <w:p w:rsidR="009C5673" w:rsidRPr="00766409" w:rsidP="009C5673">
      <w:pPr>
        <w:bidi w:val="0"/>
        <w:jc w:val="both"/>
        <w:rPr>
          <w:rFonts w:ascii="Times New Roman" w:hAnsi="Times New Roman"/>
          <w:bCs/>
          <w:sz w:val="24"/>
          <w:szCs w:val="24"/>
        </w:rPr>
      </w:pPr>
      <w:r w:rsidRPr="00766409">
        <w:rPr>
          <w:rFonts w:ascii="Times New Roman" w:hAnsi="Times New Roman"/>
          <w:bCs/>
          <w:sz w:val="24"/>
          <w:szCs w:val="24"/>
        </w:rPr>
        <w:t xml:space="preserve">Ustanovuje sa primeraný postup pri tvorbe zmeny slovenskej technickej normy, opravy alebo zrušovaní slovenskej technickej normy a technickej normalizačnej informácie. </w:t>
      </w:r>
    </w:p>
    <w:p w:rsidR="009C5673" w:rsidRPr="00766409" w:rsidP="009C5673">
      <w:pPr>
        <w:bidi w:val="0"/>
        <w:jc w:val="both"/>
        <w:rPr>
          <w:rFonts w:ascii="Times New Roman" w:hAnsi="Times New Roman"/>
          <w:b/>
          <w:bCs/>
          <w:sz w:val="24"/>
          <w:szCs w:val="24"/>
        </w:rPr>
      </w:pPr>
      <w:r w:rsidRPr="00766409">
        <w:rPr>
          <w:rFonts w:ascii="Times New Roman" w:hAnsi="Times New Roman"/>
          <w:b/>
          <w:bCs/>
          <w:sz w:val="24"/>
          <w:szCs w:val="24"/>
        </w:rPr>
        <w:t>K § 12</w:t>
      </w:r>
    </w:p>
    <w:p w:rsidR="009C5673" w:rsidRPr="00766409" w:rsidP="009C5673">
      <w:pPr>
        <w:bidi w:val="0"/>
        <w:jc w:val="both"/>
        <w:rPr>
          <w:rFonts w:ascii="Times New Roman" w:hAnsi="Times New Roman"/>
          <w:sz w:val="24"/>
          <w:szCs w:val="24"/>
        </w:rPr>
      </w:pPr>
      <w:r w:rsidRPr="00766409">
        <w:rPr>
          <w:rFonts w:ascii="Times New Roman" w:hAnsi="Times New Roman"/>
          <w:sz w:val="24"/>
          <w:szCs w:val="24"/>
        </w:rPr>
        <w:t xml:space="preserve">Ustanovuje sa, že úrad uhrádza náklady na tvorbu slovenskej technickej normy alebo technickej normalizačnej informácie v štátnom jazyku za predpokladu, že technická norma alebo technická normalizačná informácia vyhovuje kritériám vysvetleným v osobitnej časti dôvodovej správy </w:t>
      </w:r>
      <w:r>
        <w:rPr>
          <w:rFonts w:ascii="Times New Roman" w:hAnsi="Times New Roman"/>
          <w:sz w:val="24"/>
          <w:szCs w:val="24"/>
        </w:rPr>
        <w:t xml:space="preserve">               </w:t>
      </w:r>
      <w:r w:rsidRPr="00766409">
        <w:rPr>
          <w:rFonts w:ascii="Times New Roman" w:hAnsi="Times New Roman"/>
          <w:sz w:val="24"/>
          <w:szCs w:val="24"/>
        </w:rPr>
        <w:t xml:space="preserve">k § 4. Ak prijatie technickej normy alebo technickej normalizačnej informácie prekladom </w:t>
      </w:r>
      <w:r>
        <w:rPr>
          <w:rFonts w:ascii="Times New Roman" w:hAnsi="Times New Roman"/>
          <w:sz w:val="24"/>
          <w:szCs w:val="24"/>
        </w:rPr>
        <w:t xml:space="preserve">                     </w:t>
      </w:r>
      <w:r w:rsidRPr="00766409">
        <w:rPr>
          <w:rFonts w:ascii="Times New Roman" w:hAnsi="Times New Roman"/>
          <w:sz w:val="24"/>
          <w:szCs w:val="24"/>
        </w:rPr>
        <w:t xml:space="preserve">do štátneho jazyka nebude vyhovovať navrhovaným kritériám, úrad prijme technickú normu alebo technickú normalizačnú informáciu prekladom do štátneho jazyka, ak subjekt, ktorý takúto normu požaduje preložiť, uhradí náklady na spracovanie návrhu vrátane verejného prerokovania. Je bežnou praxou, že podnikateľské subjekty finančne prispievajú na spracovanie technických noriem alebo technických normalizačných informácií, ak ich spracovanie, resp. prijatie </w:t>
      </w:r>
      <w:r>
        <w:rPr>
          <w:rFonts w:ascii="Times New Roman" w:hAnsi="Times New Roman"/>
          <w:sz w:val="24"/>
          <w:szCs w:val="24"/>
        </w:rPr>
        <w:t xml:space="preserve">                       </w:t>
      </w:r>
      <w:r w:rsidRPr="00766409">
        <w:rPr>
          <w:rFonts w:ascii="Times New Roman" w:hAnsi="Times New Roman"/>
          <w:sz w:val="24"/>
          <w:szCs w:val="24"/>
        </w:rPr>
        <w:t>do sústavy slovenských technických noriem prispieva k ich konkurencieschopnosti. Avšak náklady na vydanie, ktoré uhrádza úrad</w:t>
      </w:r>
      <w:r>
        <w:rPr>
          <w:rFonts w:ascii="Times New Roman" w:hAnsi="Times New Roman"/>
          <w:sz w:val="24"/>
          <w:szCs w:val="24"/>
        </w:rPr>
        <w:t>,</w:t>
      </w:r>
      <w:r w:rsidRPr="00766409">
        <w:rPr>
          <w:rFonts w:ascii="Times New Roman" w:hAnsi="Times New Roman"/>
          <w:sz w:val="24"/>
          <w:szCs w:val="24"/>
        </w:rPr>
        <w:t xml:space="preserve"> sú</w:t>
      </w:r>
      <w:r>
        <w:rPr>
          <w:rFonts w:ascii="Times New Roman" w:hAnsi="Times New Roman"/>
          <w:sz w:val="24"/>
          <w:szCs w:val="24"/>
        </w:rPr>
        <w:t xml:space="preserve"> </w:t>
      </w:r>
      <w:r w:rsidRPr="00766409">
        <w:rPr>
          <w:rFonts w:ascii="Times New Roman" w:hAnsi="Times New Roman"/>
          <w:sz w:val="24"/>
          <w:szCs w:val="24"/>
        </w:rPr>
        <w:t xml:space="preserve">napr. grafické úpravy, náklady na tlač a súvisiaci materiál. </w:t>
      </w:r>
    </w:p>
    <w:p w:rsidR="009C5673" w:rsidRPr="00766409" w:rsidP="009C5673">
      <w:pPr>
        <w:bidi w:val="0"/>
        <w:jc w:val="both"/>
        <w:rPr>
          <w:rFonts w:ascii="Times New Roman" w:hAnsi="Times New Roman"/>
          <w:sz w:val="24"/>
          <w:szCs w:val="24"/>
        </w:rPr>
      </w:pPr>
      <w:r w:rsidRPr="00766409">
        <w:rPr>
          <w:rFonts w:ascii="Times New Roman" w:hAnsi="Times New Roman"/>
          <w:sz w:val="24"/>
          <w:szCs w:val="24"/>
        </w:rPr>
        <w:t>Ďalej je uvedené hradenie nákladov na spracovanie a poskytovanie slovenských technických noriem v štátnom jazyku priamo citovaných v právnom predpise, tým orgánom štátnej správy, ktorý je zodpovedným predkladateľom tohto právneho predpisu. Uvádzanie slovenskej technickej normy priamo v texte právneho predpisu mení jej dobrovoľný, nezáväzný charakter a technická norma sa stane záväznou</w:t>
      </w:r>
      <w:r>
        <w:rPr>
          <w:rFonts w:ascii="Times New Roman" w:hAnsi="Times New Roman"/>
          <w:sz w:val="24"/>
          <w:szCs w:val="24"/>
        </w:rPr>
        <w:t>, čo</w:t>
      </w:r>
      <w:r w:rsidRPr="00766409">
        <w:rPr>
          <w:rFonts w:ascii="Times New Roman" w:hAnsi="Times New Roman"/>
          <w:sz w:val="24"/>
          <w:szCs w:val="24"/>
        </w:rPr>
        <w:t xml:space="preserve"> je v rozpore so zakladajúcimi zásadami podľa nariadenia (EÚ) </w:t>
      </w:r>
      <w:r>
        <w:rPr>
          <w:rFonts w:ascii="Times New Roman" w:hAnsi="Times New Roman"/>
          <w:sz w:val="24"/>
          <w:szCs w:val="24"/>
        </w:rPr>
        <w:t xml:space="preserve">                </w:t>
      </w:r>
      <w:r w:rsidRPr="00766409">
        <w:rPr>
          <w:rFonts w:ascii="Times New Roman" w:hAnsi="Times New Roman"/>
          <w:sz w:val="24"/>
          <w:szCs w:val="24"/>
        </w:rPr>
        <w:t>č. 1025/2012</w:t>
      </w:r>
      <w:r>
        <w:rPr>
          <w:rFonts w:ascii="Times New Roman" w:hAnsi="Times New Roman"/>
          <w:sz w:val="24"/>
          <w:szCs w:val="24"/>
        </w:rPr>
        <w:t xml:space="preserve">, preto je potrebné vždy znenie právneho predpisu pripravovať tak, aby </w:t>
      </w:r>
      <w:r>
        <w:rPr>
          <w:rFonts w:ascii="Times" w:hAnsi="Times" w:cs="Times"/>
          <w:sz w:val="25"/>
          <w:szCs w:val="25"/>
        </w:rPr>
        <w:t>nebola ustanovená výslovná povinnosť postupovať podľa technickej normy alebo povinnosť spĺňať požiadavky technickej normy, napríklad s použitím slov „alebo iným obdobným spôsobom“.</w:t>
      </w:r>
      <w:r w:rsidRPr="00766409">
        <w:rPr>
          <w:rFonts w:ascii="Times New Roman" w:hAnsi="Times New Roman"/>
          <w:sz w:val="24"/>
          <w:szCs w:val="24"/>
        </w:rPr>
        <w:t xml:space="preserve"> Návrh zákona ustanovuje, že príslušné ministerstvá a ostatné ústredné orgány štátnej správy, </w:t>
      </w:r>
      <w:r>
        <w:rPr>
          <w:rFonts w:ascii="Times New Roman" w:hAnsi="Times New Roman"/>
          <w:sz w:val="24"/>
          <w:szCs w:val="24"/>
        </w:rPr>
        <w:t xml:space="preserve">               </w:t>
      </w:r>
      <w:r w:rsidRPr="00766409">
        <w:rPr>
          <w:rFonts w:ascii="Times New Roman" w:hAnsi="Times New Roman"/>
          <w:sz w:val="24"/>
          <w:szCs w:val="24"/>
        </w:rPr>
        <w:t xml:space="preserve">do ktorých kompetencie navrhovaný alebo schválený právny predpis patrí, uhradia slovenskému národnému normalizačnému orgánu náklady, ktoré mu vznikli alebo vniknú v súvislosti </w:t>
      </w:r>
      <w:r>
        <w:rPr>
          <w:rFonts w:ascii="Times New Roman" w:hAnsi="Times New Roman"/>
          <w:sz w:val="24"/>
          <w:szCs w:val="24"/>
        </w:rPr>
        <w:t xml:space="preserve">                      </w:t>
      </w:r>
      <w:r w:rsidRPr="00766409">
        <w:rPr>
          <w:rFonts w:ascii="Times New Roman" w:hAnsi="Times New Roman"/>
          <w:sz w:val="24"/>
          <w:szCs w:val="24"/>
        </w:rPr>
        <w:t xml:space="preserve">so spracovaním technickej normy, a uhradia každé poskytnutie takto </w:t>
      </w:r>
      <w:r>
        <w:rPr>
          <w:rFonts w:ascii="Times New Roman" w:hAnsi="Times New Roman"/>
          <w:sz w:val="24"/>
          <w:szCs w:val="24"/>
        </w:rPr>
        <w:t>uvedených</w:t>
      </w:r>
      <w:r w:rsidRPr="00766409">
        <w:rPr>
          <w:rFonts w:ascii="Times New Roman" w:hAnsi="Times New Roman"/>
          <w:sz w:val="24"/>
          <w:szCs w:val="24"/>
        </w:rPr>
        <w:t xml:space="preserve"> slovenských technických noriem všetkým fyzickým a právnickým osobám, ktoré normu na vykonanie právneho predpisu potrebujú. Uhrádzanie poskytovania takýchto technických noriem </w:t>
      </w:r>
      <w:r>
        <w:rPr>
          <w:rFonts w:ascii="Times New Roman" w:hAnsi="Times New Roman"/>
          <w:sz w:val="24"/>
          <w:szCs w:val="24"/>
        </w:rPr>
        <w:t xml:space="preserve">                           </w:t>
      </w:r>
      <w:r w:rsidRPr="00766409">
        <w:rPr>
          <w:rFonts w:ascii="Times New Roman" w:hAnsi="Times New Roman"/>
          <w:sz w:val="24"/>
          <w:szCs w:val="24"/>
        </w:rPr>
        <w:t>je podmienené dodržiavaním povinností vyplývajúcich z členstva slovenského národného normalizačného orgánu v európskych normalizačných organizáciách a medzinárodných normalizačných orgánoch. Úrad aj v takomto prípade uhrádza náklady, ktoré vznikli v súvislosti s vydaním slovenskej technickej normy: napr. odborné práce na norme, grafické úpravy, náklady na tlač a súvisiaci materiál.</w:t>
      </w:r>
    </w:p>
    <w:p w:rsidR="009C5673" w:rsidRPr="00766409" w:rsidP="009C5673">
      <w:pPr>
        <w:bidi w:val="0"/>
        <w:jc w:val="both"/>
        <w:rPr>
          <w:rFonts w:ascii="Times New Roman" w:hAnsi="Times New Roman"/>
          <w:b/>
          <w:bCs/>
          <w:sz w:val="24"/>
          <w:szCs w:val="24"/>
        </w:rPr>
      </w:pPr>
      <w:r w:rsidRPr="00766409">
        <w:rPr>
          <w:rFonts w:ascii="Times New Roman" w:hAnsi="Times New Roman"/>
          <w:b/>
          <w:bCs/>
          <w:sz w:val="24"/>
          <w:szCs w:val="24"/>
        </w:rPr>
        <w:t>K § 13</w:t>
      </w:r>
    </w:p>
    <w:p w:rsidR="009C5673" w:rsidRPr="00766409" w:rsidP="009C5673">
      <w:pPr>
        <w:bidi w:val="0"/>
        <w:jc w:val="both"/>
        <w:rPr>
          <w:rFonts w:ascii="Times New Roman" w:hAnsi="Times New Roman"/>
          <w:sz w:val="24"/>
          <w:szCs w:val="24"/>
        </w:rPr>
      </w:pPr>
      <w:r w:rsidRPr="00766409">
        <w:rPr>
          <w:rFonts w:ascii="Times New Roman" w:hAnsi="Times New Roman"/>
          <w:sz w:val="24"/>
          <w:szCs w:val="24"/>
        </w:rPr>
        <w:t xml:space="preserve">Uvádza sa odkaz na definíciu harmonizovanej technickej normy podľa nariadenia (EÚ)                  č. 1025/2012, ktorá sa v rámci tzv. Nového prístupu používa na podporu právnych aktov Európskej únie, ktoré sú právnymi predpismi s technickým obsahom. Použitie takejto technickej normy je predpokladom splnenia základných požiadaviek technického predpisu, norma si však zachováva dobrovoľný charakter a je len jedným z možných technických riešení. Ak neexistuje harmonizovaná technická norma, zákon ustanovuje určenie technickej normy vhodnej na posudzovanie zhody. V  nasledujúcich odsekoch sa upravuje postup uplatnenia námietky proti harmonizovanej technickej norme a návrhu na zrušenie určenia slovenskej technickej normy vhodnej na posudzovanie zhody. </w:t>
      </w:r>
    </w:p>
    <w:p w:rsidR="009C5673" w:rsidRPr="00766409" w:rsidP="009C5673">
      <w:pPr>
        <w:bidi w:val="0"/>
        <w:rPr>
          <w:rFonts w:ascii="Times New Roman" w:hAnsi="Times New Roman"/>
          <w:b/>
          <w:bCs/>
          <w:sz w:val="24"/>
          <w:szCs w:val="24"/>
        </w:rPr>
      </w:pPr>
      <w:r w:rsidRPr="00766409">
        <w:rPr>
          <w:rFonts w:ascii="Times New Roman" w:hAnsi="Times New Roman"/>
          <w:b/>
          <w:bCs/>
          <w:sz w:val="24"/>
          <w:szCs w:val="24"/>
        </w:rPr>
        <w:t>K § 14</w:t>
      </w:r>
    </w:p>
    <w:p w:rsidR="009C5673" w:rsidRPr="00766409" w:rsidP="009C5673">
      <w:pPr>
        <w:bidi w:val="0"/>
        <w:jc w:val="both"/>
        <w:rPr>
          <w:rFonts w:ascii="Times New Roman" w:hAnsi="Times New Roman"/>
          <w:sz w:val="24"/>
          <w:szCs w:val="24"/>
        </w:rPr>
      </w:pPr>
      <w:r w:rsidRPr="00766409">
        <w:rPr>
          <w:rFonts w:ascii="Times New Roman" w:hAnsi="Times New Roman"/>
          <w:sz w:val="24"/>
          <w:szCs w:val="24"/>
        </w:rPr>
        <w:t>​Ochrana slovenských technických noriem podľa § 5 Autorského zákona (č. 185/2015 Z. z.) nie je zabezpečená, pretože technická norma je vyňatá z jeho pôsobnosti. Technické normy sú preto chránené týmto zákonom. Pravidlá šírenia a rozmnožovania slovenských technických noriem, technických normalizačných informácií uvedené v  návrhu zákona sú v súlade s európskymi princípmi a s povinnosťami, ktoré Slovenskej republike vyplývajú z členstva v európskych normalizačných organizáciách (CEN, CENELEC, ETSI) hlavne z dôvodu zabezpečenia ochrany používateľov technických noriem, a tým aj ochrany spotrebiteľa s cieľom zabrániť šíreniu technických noriem, ktoré sú pozmenené alebo neaktuálne, ako aj ochrany práv tvorcov noriem, ktorými sú medzinárodné, európske a národné normalizačné orgány, keďže šírenie technických noriem nemôže byť „voľné“, ale je ho potrebné koordinovať, pričom musí byť dodržaný princíp poskytovania noriem za úhradu.</w:t>
      </w:r>
    </w:p>
    <w:p w:rsidR="009C5673" w:rsidRPr="00766409" w:rsidP="009C5673">
      <w:pPr>
        <w:bidi w:val="0"/>
        <w:jc w:val="both"/>
        <w:rPr>
          <w:rFonts w:ascii="Times New Roman" w:hAnsi="Times New Roman"/>
          <w:sz w:val="24"/>
          <w:szCs w:val="24"/>
        </w:rPr>
      </w:pPr>
      <w:r w:rsidRPr="00766409">
        <w:rPr>
          <w:rFonts w:ascii="Times New Roman" w:hAnsi="Times New Roman"/>
          <w:sz w:val="24"/>
          <w:szCs w:val="24"/>
        </w:rPr>
        <w:t xml:space="preserve">Ďalej sú presne vymedzené označenia jednotlivých dokumentov a povinnosť nepoužívať ich grafické vyobrazenie na iné dokumenty. </w:t>
      </w:r>
    </w:p>
    <w:p w:rsidR="009C5673" w:rsidRPr="00766409" w:rsidP="009C5673">
      <w:pPr>
        <w:bidi w:val="0"/>
        <w:jc w:val="both"/>
        <w:rPr>
          <w:rFonts w:ascii="Times New Roman" w:hAnsi="Times New Roman"/>
          <w:sz w:val="24"/>
          <w:szCs w:val="24"/>
        </w:rPr>
      </w:pPr>
      <w:r w:rsidRPr="00766409">
        <w:rPr>
          <w:rFonts w:ascii="Times New Roman" w:hAnsi="Times New Roman"/>
          <w:sz w:val="24"/>
          <w:szCs w:val="24"/>
        </w:rPr>
        <w:t>Ustanovuje sa povinnosť zabezpečenia slovenskej technickej normy, normalizačného dokumentu a inej technickej normy poskytovaných v listinnej alebo v elektronickej podobe ochrannými prvkami.</w:t>
      </w:r>
    </w:p>
    <w:p w:rsidR="009C5673" w:rsidRPr="00766409" w:rsidP="009C5673">
      <w:pPr>
        <w:bidi w:val="0"/>
        <w:jc w:val="both"/>
        <w:rPr>
          <w:rFonts w:ascii="Times New Roman" w:hAnsi="Times New Roman"/>
          <w:sz w:val="24"/>
          <w:szCs w:val="24"/>
        </w:rPr>
      </w:pPr>
      <w:r w:rsidRPr="00766409">
        <w:rPr>
          <w:rFonts w:ascii="Times New Roman" w:hAnsi="Times New Roman"/>
          <w:sz w:val="24"/>
          <w:szCs w:val="24"/>
        </w:rPr>
        <w:t>V  </w:t>
      </w:r>
      <w:r>
        <w:rPr>
          <w:rFonts w:ascii="Times New Roman" w:hAnsi="Times New Roman"/>
          <w:sz w:val="24"/>
          <w:szCs w:val="24"/>
        </w:rPr>
        <w:t>ď</w:t>
      </w:r>
      <w:r w:rsidRPr="00766409">
        <w:rPr>
          <w:rFonts w:ascii="Times New Roman" w:hAnsi="Times New Roman"/>
          <w:sz w:val="24"/>
          <w:szCs w:val="24"/>
        </w:rPr>
        <w:t xml:space="preserve">alších odsekoch je uvedené, čo sa rozumie pod pojmom neoprávnené rozmnoženie a neoprávnené rozšírenie slovenskej technickej normy alebo technickej normalizačnej informácie alebo ich časti. Ďalej je podrobne definované, čo sa nepovažuje za neoprávnené rozmnoženie alebo rozšírenie slovenskej technickej normy alebo technickej normalizačnej informácie.                 Za neoprávnené rozmnoženie alebo rozšírenie slovenskej technickej normy alebo technickej normalizačnej informácie sa nepovažuje informácia o označení,  názve, triediacom znaku, dátume platnosti  slovenskej technickej norme, technickej normalizačnej informácie. </w:t>
      </w:r>
    </w:p>
    <w:p w:rsidR="009C5673" w:rsidRPr="00766409" w:rsidP="009C5673">
      <w:pPr>
        <w:bidi w:val="0"/>
        <w:jc w:val="both"/>
        <w:rPr>
          <w:rFonts w:ascii="Times New Roman" w:hAnsi="Times New Roman"/>
          <w:sz w:val="24"/>
          <w:szCs w:val="24"/>
        </w:rPr>
      </w:pPr>
      <w:r w:rsidRPr="00766409">
        <w:rPr>
          <w:rFonts w:ascii="Times New Roman" w:hAnsi="Times New Roman"/>
          <w:bCs/>
          <w:sz w:val="24"/>
          <w:szCs w:val="24"/>
        </w:rPr>
        <w:t>Upravuje sa postup pri udelení súhlasu na odplatné a bezodplatné citovanie časti slovenskej technickej normy alebo technickej normalizačnej informácie. Pod pojmom „rozsah“ sa má na mysli aj počet výtlačkov alebo použití citácie.</w:t>
      </w:r>
    </w:p>
    <w:p w:rsidR="009C5673" w:rsidRPr="00766409" w:rsidP="009C5673">
      <w:pPr>
        <w:bidi w:val="0"/>
        <w:rPr>
          <w:rFonts w:ascii="Times New Roman" w:hAnsi="Times New Roman"/>
          <w:b/>
          <w:bCs/>
          <w:sz w:val="24"/>
          <w:szCs w:val="24"/>
        </w:rPr>
      </w:pPr>
      <w:r w:rsidRPr="00766409">
        <w:rPr>
          <w:rFonts w:ascii="Times New Roman" w:hAnsi="Times New Roman"/>
          <w:b/>
          <w:bCs/>
          <w:sz w:val="24"/>
          <w:szCs w:val="24"/>
        </w:rPr>
        <w:t>K § 15</w:t>
      </w:r>
    </w:p>
    <w:p w:rsidR="009C5673" w:rsidRPr="00766409" w:rsidP="009C5673">
      <w:pPr>
        <w:bidi w:val="0"/>
        <w:jc w:val="both"/>
        <w:rPr>
          <w:rFonts w:ascii="Times New Roman" w:hAnsi="Times New Roman"/>
          <w:sz w:val="24"/>
          <w:szCs w:val="24"/>
        </w:rPr>
      </w:pPr>
      <w:r w:rsidRPr="00766409">
        <w:rPr>
          <w:rFonts w:ascii="Times New Roman" w:hAnsi="Times New Roman"/>
          <w:sz w:val="24"/>
          <w:szCs w:val="24"/>
        </w:rPr>
        <w:t>Slovenská technická norma, technická normalizačná informácia, iná technická norma a jej zmena a vestník</w:t>
      </w:r>
      <w:r w:rsidRPr="00766409">
        <w:rPr>
          <w:rFonts w:ascii="Times New Roman" w:hAnsi="Times New Roman"/>
          <w:sz w:val="24"/>
          <w:szCs w:val="24"/>
        </w:rPr>
        <w:t xml:space="preserve"> </w:t>
      </w:r>
      <w:r w:rsidRPr="00766409">
        <w:rPr>
          <w:rFonts w:ascii="Times New Roman" w:hAnsi="Times New Roman"/>
          <w:sz w:val="24"/>
          <w:szCs w:val="24"/>
        </w:rPr>
        <w:t>sa poskytujú za úhradu. Vzhľadom na to, že vestník sa poskytuje za úhradu, majú používatelia k dispozícii aj bezodplatný zoznam noriem vydaných v danom mesiaci na webovom sídle úradu</w:t>
      </w:r>
      <w:r>
        <w:rPr>
          <w:rFonts w:ascii="Times New Roman" w:hAnsi="Times New Roman"/>
          <w:sz w:val="24"/>
          <w:szCs w:val="24"/>
        </w:rPr>
        <w:t>, čo ustanovuje § 4 ods. 2 písm. j)</w:t>
      </w:r>
      <w:r w:rsidRPr="00766409">
        <w:rPr>
          <w:rFonts w:ascii="Times New Roman" w:hAnsi="Times New Roman"/>
          <w:sz w:val="24"/>
          <w:szCs w:val="24"/>
        </w:rPr>
        <w:t>.</w:t>
      </w:r>
    </w:p>
    <w:p w:rsidR="009C5673" w:rsidRPr="00766409" w:rsidP="009C5673">
      <w:pPr>
        <w:bidi w:val="0"/>
        <w:jc w:val="both"/>
        <w:rPr>
          <w:rFonts w:ascii="Times New Roman" w:hAnsi="Times New Roman"/>
          <w:sz w:val="24"/>
          <w:szCs w:val="24"/>
        </w:rPr>
      </w:pPr>
      <w:r w:rsidRPr="00766409">
        <w:rPr>
          <w:rFonts w:ascii="Times New Roman" w:hAnsi="Times New Roman"/>
          <w:sz w:val="24"/>
          <w:szCs w:val="24"/>
        </w:rPr>
        <w:t>Ustanovujú sa rôzne formy poskytovania slovenských technických noriem a technických normalizačných informácií. Pod sprístupnením slovenskej technickej normy a technickej normalizačnej informácie v elektronickej podobe sa rozumie sprístupnenie buď prostredníctvom portálu (stiahnutie .pdf súboru) alebo doručenie .pdf súboru na CD (záleží na type objednávky používateľa).</w:t>
      </w:r>
    </w:p>
    <w:p w:rsidR="009C5673" w:rsidRPr="00766409" w:rsidP="009C5673">
      <w:pPr>
        <w:widowControl/>
        <w:bidi w:val="0"/>
        <w:adjustRightInd/>
        <w:spacing w:after="0" w:line="240" w:lineRule="auto"/>
        <w:jc w:val="both"/>
        <w:rPr>
          <w:rFonts w:ascii="Times New Roman" w:hAnsi="Times New Roman"/>
          <w:sz w:val="24"/>
          <w:szCs w:val="24"/>
        </w:rPr>
      </w:pPr>
      <w:r w:rsidRPr="00766409">
        <w:rPr>
          <w:rFonts w:ascii="Times New Roman" w:hAnsi="Times New Roman"/>
          <w:sz w:val="24"/>
          <w:szCs w:val="24"/>
        </w:rPr>
        <w:t>Normy v elektronickej podobe je možné objednať iba cez portál a sú k dispozícií v troch verziách:</w:t>
      </w:r>
    </w:p>
    <w:p w:rsidR="009C5673" w:rsidRPr="00766409" w:rsidP="009C5673">
      <w:pPr>
        <w:bidi w:val="0"/>
        <w:jc w:val="both"/>
        <w:rPr>
          <w:rFonts w:ascii="Times New Roman" w:hAnsi="Times New Roman"/>
          <w:sz w:val="24"/>
          <w:szCs w:val="24"/>
        </w:rPr>
      </w:pPr>
      <w:r w:rsidRPr="00766409">
        <w:rPr>
          <w:rFonts w:ascii="Times New Roman" w:hAnsi="Times New Roman"/>
          <w:sz w:val="24"/>
          <w:szCs w:val="24"/>
        </w:rPr>
        <w:t>– iba na čítanie bez možnosti tlače - umožňuje prezeranie obsahu,</w:t>
      </w:r>
    </w:p>
    <w:p w:rsidR="009C5673" w:rsidRPr="00766409" w:rsidP="009C5673">
      <w:pPr>
        <w:bidi w:val="0"/>
        <w:jc w:val="both"/>
        <w:rPr>
          <w:rFonts w:ascii="Times New Roman" w:hAnsi="Times New Roman"/>
          <w:sz w:val="24"/>
          <w:szCs w:val="24"/>
        </w:rPr>
      </w:pPr>
      <w:r w:rsidRPr="00766409">
        <w:rPr>
          <w:rFonts w:ascii="Times New Roman" w:hAnsi="Times New Roman"/>
          <w:sz w:val="24"/>
          <w:szCs w:val="24"/>
        </w:rPr>
        <w:t>– na čítanie s možnosťou elektronického kopírovania obsahu,</w:t>
      </w:r>
    </w:p>
    <w:p w:rsidR="009C5673" w:rsidRPr="00766409" w:rsidP="009C5673">
      <w:pPr>
        <w:bidi w:val="0"/>
        <w:jc w:val="both"/>
        <w:rPr>
          <w:rFonts w:ascii="Times New Roman" w:hAnsi="Times New Roman"/>
          <w:sz w:val="24"/>
          <w:szCs w:val="24"/>
        </w:rPr>
      </w:pPr>
      <w:r w:rsidRPr="00766409">
        <w:rPr>
          <w:rFonts w:ascii="Times New Roman" w:hAnsi="Times New Roman"/>
          <w:sz w:val="24"/>
          <w:szCs w:val="24"/>
        </w:rPr>
        <w:t>– na čítanie s možnosťou elektronického kopírovania obsahu a s možnosťou tlače (1 kus).</w:t>
      </w:r>
    </w:p>
    <w:p w:rsidR="009C5673" w:rsidRPr="00766409" w:rsidP="009C5673">
      <w:pPr>
        <w:widowControl/>
        <w:bidi w:val="0"/>
        <w:adjustRightInd/>
        <w:spacing w:after="0" w:line="240" w:lineRule="auto"/>
        <w:jc w:val="both"/>
        <w:rPr>
          <w:rFonts w:ascii="Times New Roman" w:hAnsi="Times New Roman"/>
          <w:sz w:val="24"/>
          <w:szCs w:val="24"/>
        </w:rPr>
      </w:pPr>
      <w:r w:rsidRPr="00766409">
        <w:rPr>
          <w:rFonts w:ascii="Times New Roman" w:hAnsi="Times New Roman"/>
          <w:sz w:val="24"/>
          <w:szCs w:val="24"/>
        </w:rPr>
        <w:t>Každá z verzií je k dispozícií pre rôzny počet licencií (počítačov, resp. používateľov v danom čase). Podrobnosti o spôsobe objednania a doručenia sú zverejnené na webovom sídle slovenského národného normalizačného orgánu. </w:t>
      </w:r>
    </w:p>
    <w:p w:rsidR="009C5673" w:rsidRPr="00766409" w:rsidP="009C5673">
      <w:pPr>
        <w:widowControl/>
        <w:bidi w:val="0"/>
        <w:adjustRightInd/>
        <w:spacing w:after="0" w:line="240" w:lineRule="auto"/>
        <w:rPr>
          <w:rFonts w:ascii="Times New Roman" w:hAnsi="Times New Roman"/>
          <w:sz w:val="24"/>
          <w:szCs w:val="24"/>
        </w:rPr>
      </w:pPr>
      <w:r w:rsidRPr="00766409">
        <w:rPr>
          <w:rFonts w:ascii="Times New Roman" w:hAnsi="Times New Roman"/>
          <w:sz w:val="24"/>
          <w:szCs w:val="24"/>
        </w:rPr>
        <w:t> </w:t>
      </w:r>
    </w:p>
    <w:p w:rsidR="009C5673" w:rsidP="009C5673">
      <w:pPr>
        <w:bidi w:val="0"/>
        <w:jc w:val="both"/>
        <w:rPr>
          <w:rFonts w:ascii="Times New Roman" w:hAnsi="Times New Roman"/>
          <w:sz w:val="24"/>
          <w:szCs w:val="24"/>
        </w:rPr>
      </w:pPr>
      <w:r w:rsidRPr="00766409">
        <w:rPr>
          <w:rFonts w:ascii="Times New Roman" w:hAnsi="Times New Roman"/>
          <w:sz w:val="24"/>
          <w:szCs w:val="24"/>
        </w:rPr>
        <w:t>Výška úhrady a zľavy z úhrady sú ustanovené všeobecne záväzným právnym predpisom, ktorý vydá úrad. Úhrada za poskytnutie slovenskej technickej normy je tvorená z nákladov súvisiacich s ich tvorbou, vydávaním a poskytovaním. Tieto náklady však nie sú ani len reálnymi nákladmi, ktoré v súvislosti s uvedenými činnosťami vzniknú a sú spätne využívané na prípravu a tvorbu technických noriem. Používateľom slovenských technických noriem je umožnené pred spoplatneným poskytnutím technickej normy v listinnej podobe alebo na nosiči dát alebo formou on-line prístupu do nej nahliadnuť na týchto miestach:</w:t>
      </w:r>
    </w:p>
    <w:p w:rsidR="009C5673" w:rsidRPr="00766409" w:rsidP="009C5673">
      <w:pPr>
        <w:bidi w:val="0"/>
        <w:jc w:val="both"/>
        <w:rPr>
          <w:rFonts w:ascii="Times New Roman" w:hAnsi="Times New Roman"/>
          <w:sz w:val="24"/>
          <w:szCs w:val="24"/>
        </w:rPr>
      </w:pPr>
      <w:r w:rsidRPr="00766409">
        <w:rPr>
          <w:rFonts w:ascii="Times New Roman" w:hAnsi="Times New Roman"/>
          <w:sz w:val="24"/>
          <w:szCs w:val="24"/>
        </w:rPr>
        <w:t>Infocentrum Úradu pre normalizáciu, metrológiu a skúšobníctvo Slovenskej republiky, Karloveská 63, Bratislava, Slovenská národná knižnica v Martine, Štátna vedecká knižnica              v Banskej Bystrici, Štátna vedecká knižnica v Košiciach.</w:t>
      </w:r>
    </w:p>
    <w:p w:rsidR="009C5673" w:rsidRPr="00766409" w:rsidP="009C5673">
      <w:pPr>
        <w:bidi w:val="0"/>
        <w:jc w:val="both"/>
        <w:rPr>
          <w:rFonts w:ascii="Times New Roman" w:hAnsi="Times New Roman"/>
          <w:sz w:val="24"/>
          <w:szCs w:val="24"/>
        </w:rPr>
      </w:pPr>
      <w:r w:rsidRPr="00766409">
        <w:rPr>
          <w:rFonts w:ascii="Times New Roman" w:hAnsi="Times New Roman"/>
          <w:sz w:val="24"/>
          <w:szCs w:val="24"/>
        </w:rPr>
        <w:t xml:space="preserve">Ustanovuje sa bezodplatné poskytnutie slovenskej technickej normy prostredníctvom portálu každému. Ide tu o bezodplatné poskytnutie, ktoré je hradené z prostriedkov orgánu verejnej moci, ktorý uviedol odkaz na normu priamo v texte právneho predpisu.   </w:t>
      </w:r>
    </w:p>
    <w:p w:rsidR="009C5673" w:rsidRPr="00766409" w:rsidP="009C5673">
      <w:pPr>
        <w:bidi w:val="0"/>
        <w:jc w:val="both"/>
        <w:rPr>
          <w:rFonts w:ascii="Times New Roman" w:hAnsi="Times New Roman"/>
          <w:sz w:val="24"/>
          <w:szCs w:val="24"/>
        </w:rPr>
      </w:pPr>
      <w:r w:rsidRPr="00766409">
        <w:rPr>
          <w:rFonts w:ascii="Times New Roman" w:hAnsi="Times New Roman"/>
          <w:sz w:val="24"/>
          <w:szCs w:val="24"/>
        </w:rPr>
        <w:t xml:space="preserve">Ďalej je navrhovaná možnosť pre právnickú osobu alebo fyzickú osobu, ktorá vypracuje návrh pôvodnej slovenskej technickej normy alebo pôvodnej technickej normalizačnej informácie a ktorý slovenský národný normalizačný orgán prijme do sústavy technických noriem, na bezodplatné poskytnutie jedného kusu pôvodnej slovenskej technickej normy alebo pôvodnej technickej normalizačnej informácie v listinnej podobe, na ktorých spracovaní  sa podieľal. </w:t>
      </w:r>
    </w:p>
    <w:p w:rsidR="009C5673" w:rsidRPr="00766409" w:rsidP="009C5673">
      <w:pPr>
        <w:bidi w:val="0"/>
        <w:jc w:val="both"/>
        <w:rPr>
          <w:rFonts w:ascii="Times New Roman" w:hAnsi="Times New Roman"/>
          <w:sz w:val="24"/>
          <w:szCs w:val="24"/>
        </w:rPr>
      </w:pPr>
      <w:r w:rsidRPr="00766409">
        <w:rPr>
          <w:rFonts w:ascii="Times New Roman" w:hAnsi="Times New Roman"/>
          <w:sz w:val="24"/>
          <w:szCs w:val="24"/>
        </w:rPr>
        <w:t xml:space="preserve">Ustanovuje sa bezodplatné poskytovanie opravy slovenskej technickej normy a technickej normalizačnej informácie. </w:t>
      </w:r>
    </w:p>
    <w:p w:rsidR="009C5673" w:rsidRPr="00766409" w:rsidP="009C5673">
      <w:pPr>
        <w:bidi w:val="0"/>
        <w:jc w:val="both"/>
        <w:rPr>
          <w:rFonts w:ascii="Times New Roman" w:hAnsi="Times New Roman"/>
          <w:sz w:val="24"/>
          <w:szCs w:val="24"/>
        </w:rPr>
      </w:pPr>
      <w:r w:rsidRPr="00766409">
        <w:rPr>
          <w:rFonts w:ascii="Times New Roman" w:hAnsi="Times New Roman"/>
          <w:sz w:val="24"/>
          <w:szCs w:val="24"/>
        </w:rPr>
        <w:t>Ustanovujú sa podmienky nároku na vrátenie úhrady, ak chýba text alebo strana, ide o zlú čitateľnosť textu, výpadok časti textu, zdeformované obrázky v poskytovanom dokumente, ktorý je spôsobený počas tlače predmetného dokumentu a pod pojmom „poškodená väzba“ sa rozumie mechanické poškodenie väzby, ktoré spôsobuje, že jednotlivé listy dokumentu nedržia pokope (chýbajúca spinka, nedostatočne ohnutá spinka, nedostatočne zalepená termoväzba). Tieto mechanické poškodenia vznikajú v ukončovacom zariadení po vytlačení dokumentu.</w:t>
      </w:r>
    </w:p>
    <w:p w:rsidR="009C5673" w:rsidRPr="00766409" w:rsidP="009C5673">
      <w:pPr>
        <w:bidi w:val="0"/>
        <w:jc w:val="both"/>
        <w:rPr>
          <w:rFonts w:ascii="Times New Roman" w:hAnsi="Times New Roman"/>
          <w:sz w:val="24"/>
          <w:szCs w:val="24"/>
        </w:rPr>
      </w:pPr>
      <w:r w:rsidRPr="00766409">
        <w:rPr>
          <w:rFonts w:ascii="Times New Roman" w:hAnsi="Times New Roman"/>
          <w:sz w:val="24"/>
          <w:szCs w:val="24"/>
        </w:rPr>
        <w:t xml:space="preserve">Pod pojmom „poškodené záznamové médium“ sa rozumie také mechanické poškodenie média (CD, DVD), ktoré znemožní používateľovi prístup k poskytnutému dokumentu. Tieto mechanické poškodenia média môžu vzniknúť pri výrobnom procese média, pri napaľovaní pdf. súboru na médium alebo pri manipulácii s médiom po napálení (napr. poškriabanie média). </w:t>
      </w:r>
    </w:p>
    <w:p w:rsidR="009C5673" w:rsidRPr="00766409" w:rsidP="009C5673">
      <w:pPr>
        <w:bidi w:val="0"/>
        <w:jc w:val="both"/>
        <w:rPr>
          <w:rFonts w:ascii="Times New Roman" w:hAnsi="Times New Roman"/>
          <w:sz w:val="24"/>
          <w:szCs w:val="24"/>
        </w:rPr>
      </w:pPr>
      <w:r w:rsidRPr="00766409">
        <w:rPr>
          <w:rFonts w:ascii="Times New Roman" w:hAnsi="Times New Roman"/>
          <w:sz w:val="24"/>
          <w:szCs w:val="24"/>
        </w:rPr>
        <w:t>Ustanovuje sa, že nárok na vrátenie úhrady je možné uplatniť pri prevzatí dokumentu, pričom slovenský národný normalizačný orgán môže namiesto vrátenia úhrady za poskytnutie slovenskej technickej normy, technickej normalizačnej informácie alebo inej technickej normy a jej zmeny vykonať výmenu za novú slovenskú technickú normu, technickú normalizačnú informáciu alebo inú technickú normu a jej zmenu v listinnej podobe alebo za novú slovenskú technickú normu alebo technickú normalizačnú informáciu v elektronickej podobe.</w:t>
      </w:r>
    </w:p>
    <w:p w:rsidR="009C5673" w:rsidRPr="00766409" w:rsidP="009C5673">
      <w:pPr>
        <w:bidi w:val="0"/>
        <w:rPr>
          <w:rFonts w:ascii="Times New Roman" w:hAnsi="Times New Roman"/>
          <w:b/>
          <w:bCs/>
          <w:sz w:val="24"/>
          <w:szCs w:val="24"/>
        </w:rPr>
      </w:pPr>
      <w:r w:rsidRPr="00766409">
        <w:rPr>
          <w:rFonts w:ascii="Times New Roman" w:hAnsi="Times New Roman"/>
          <w:b/>
          <w:bCs/>
          <w:sz w:val="24"/>
          <w:szCs w:val="24"/>
        </w:rPr>
        <w:t>K § 16, 17 a 18</w:t>
      </w:r>
    </w:p>
    <w:p w:rsidR="009C5673" w:rsidRPr="00766409" w:rsidP="009C5673">
      <w:pPr>
        <w:bidi w:val="0"/>
        <w:jc w:val="both"/>
        <w:rPr>
          <w:rFonts w:ascii="Times New Roman" w:hAnsi="Times New Roman"/>
          <w:sz w:val="24"/>
          <w:szCs w:val="24"/>
        </w:rPr>
      </w:pPr>
      <w:r w:rsidRPr="00766409">
        <w:rPr>
          <w:rFonts w:ascii="Times New Roman" w:hAnsi="Times New Roman"/>
          <w:sz w:val="24"/>
          <w:szCs w:val="24"/>
        </w:rPr>
        <w:t>​Ustanovujú sa skutkové podstaty priestupkov a správnych deliktov a sankcie za porušenie zákona. Pre každý delikt je vymedzené tzv. pokutové pásmo, t. j. pokuta je určená hornou                aj dolnou hranicou.</w:t>
      </w:r>
    </w:p>
    <w:p w:rsidR="009C5673" w:rsidRPr="00766409" w:rsidP="009C5673">
      <w:pPr>
        <w:bidi w:val="0"/>
        <w:rPr>
          <w:rFonts w:ascii="Times New Roman" w:hAnsi="Times New Roman"/>
          <w:b/>
          <w:bCs/>
          <w:sz w:val="24"/>
          <w:szCs w:val="24"/>
        </w:rPr>
      </w:pPr>
      <w:r w:rsidRPr="00766409">
        <w:rPr>
          <w:rFonts w:ascii="Times New Roman" w:hAnsi="Times New Roman"/>
          <w:b/>
          <w:bCs/>
          <w:sz w:val="24"/>
          <w:szCs w:val="24"/>
        </w:rPr>
        <w:t>K § 19</w:t>
      </w:r>
    </w:p>
    <w:p w:rsidR="009C5673" w:rsidRPr="00766409" w:rsidP="009C5673">
      <w:pPr>
        <w:bidi w:val="0"/>
        <w:jc w:val="both"/>
        <w:rPr>
          <w:rFonts w:ascii="Times New Roman" w:hAnsi="Times New Roman"/>
          <w:sz w:val="24"/>
          <w:szCs w:val="24"/>
        </w:rPr>
      </w:pPr>
      <w:r w:rsidRPr="00766409">
        <w:rPr>
          <w:rFonts w:ascii="Times New Roman" w:hAnsi="Times New Roman"/>
          <w:sz w:val="24"/>
          <w:szCs w:val="24"/>
        </w:rPr>
        <w:t>Ustanovuje sa splnomocňovacie ustanovenie na vydanie všeobecne záväzného právneho predpisu – vyhlášky o výške úhrady za poskytovanie technickej normy, technickej normalizačnej informácie. Súčasťou vyhlášky je vzor žiadosti o udelenie súhlasu na citovanie časti slovenskej technickej normy alebo technickej normalizačnej informácie.</w:t>
      </w:r>
    </w:p>
    <w:p w:rsidR="009C5673" w:rsidP="009C5673">
      <w:pPr>
        <w:bidi w:val="0"/>
        <w:jc w:val="both"/>
        <w:rPr>
          <w:rFonts w:ascii="Times New Roman" w:hAnsi="Times New Roman"/>
          <w:sz w:val="24"/>
          <w:szCs w:val="24"/>
        </w:rPr>
      </w:pPr>
      <w:r w:rsidRPr="00766409">
        <w:rPr>
          <w:rFonts w:ascii="Times New Roman" w:hAnsi="Times New Roman"/>
          <w:sz w:val="24"/>
          <w:szCs w:val="24"/>
        </w:rPr>
        <w:t>Výška úhrady a zľavy z úhrady sú ustanovené všeobecne záväzným právnym predpisom, ktorý vydá úrad. Úhrada za poskytnutie slovenskej technickej normy je tvorená z nákladov súvisiacich s ich tvorbou, vydávaním a poskytovaním. Tieto náklady však nie sú ani len reálnymi nákladmi, ktoré v súvislosti s uvedenými činnosťami vzniknú a sú spätne využívané na prípravu a tvorbu technických noriem. Používateľom slovenských technických noriem je umožnené pred spoplatneným poskytnutím technickej normy v listinnej podobe alebo</w:t>
      </w:r>
      <w:r>
        <w:rPr>
          <w:rFonts w:ascii="Times New Roman" w:hAnsi="Times New Roman"/>
          <w:sz w:val="24"/>
          <w:szCs w:val="24"/>
        </w:rPr>
        <w:t xml:space="preserve"> </w:t>
      </w:r>
      <w:r w:rsidRPr="00766409">
        <w:rPr>
          <w:rFonts w:ascii="Times New Roman" w:hAnsi="Times New Roman"/>
          <w:sz w:val="24"/>
          <w:szCs w:val="24"/>
        </w:rPr>
        <w:t>na nosiči dát alebo formou on-line prístupu do nej nahliadnuť na týchto miestach:</w:t>
      </w:r>
    </w:p>
    <w:p w:rsidR="009C5673" w:rsidRPr="00766409" w:rsidP="009C5673">
      <w:pPr>
        <w:bidi w:val="0"/>
        <w:jc w:val="both"/>
        <w:rPr>
          <w:rFonts w:ascii="Times New Roman" w:hAnsi="Times New Roman"/>
          <w:sz w:val="24"/>
          <w:szCs w:val="24"/>
        </w:rPr>
      </w:pPr>
      <w:r w:rsidRPr="00766409">
        <w:rPr>
          <w:rFonts w:ascii="Times New Roman" w:hAnsi="Times New Roman"/>
          <w:sz w:val="24"/>
          <w:szCs w:val="24"/>
        </w:rPr>
        <w:t>Infocentrum Úradu pre normalizáciu, metrológiu a skúšobníctvo Slovenskej republiky, Karloveská 63, Bratislava, Sloven</w:t>
      </w:r>
      <w:r>
        <w:rPr>
          <w:rFonts w:ascii="Times New Roman" w:hAnsi="Times New Roman"/>
          <w:sz w:val="24"/>
          <w:szCs w:val="24"/>
        </w:rPr>
        <w:t xml:space="preserve">ská národná knižnica v Martine, </w:t>
      </w:r>
      <w:r w:rsidRPr="00766409">
        <w:rPr>
          <w:rFonts w:ascii="Times New Roman" w:hAnsi="Times New Roman"/>
          <w:sz w:val="24"/>
          <w:szCs w:val="24"/>
        </w:rPr>
        <w:t>Štátna vedecká knižnica v Banskej Bystrici, Štátna vedecká knižnica v Košiciach.</w:t>
      </w:r>
    </w:p>
    <w:p w:rsidR="009C5673" w:rsidRPr="00766409" w:rsidP="009C5673">
      <w:pPr>
        <w:bidi w:val="0"/>
        <w:rPr>
          <w:rFonts w:ascii="Times New Roman" w:hAnsi="Times New Roman"/>
          <w:b/>
          <w:bCs/>
          <w:sz w:val="24"/>
          <w:szCs w:val="24"/>
        </w:rPr>
      </w:pPr>
      <w:r w:rsidRPr="00766409">
        <w:rPr>
          <w:rFonts w:ascii="Times New Roman" w:hAnsi="Times New Roman"/>
          <w:b/>
          <w:bCs/>
          <w:sz w:val="24"/>
          <w:szCs w:val="24"/>
        </w:rPr>
        <w:t>K § 20</w:t>
      </w:r>
    </w:p>
    <w:p w:rsidR="009C5673" w:rsidRPr="00766409" w:rsidP="009C5673">
      <w:pPr>
        <w:bidi w:val="0"/>
        <w:jc w:val="both"/>
        <w:rPr>
          <w:rFonts w:ascii="Times New Roman" w:hAnsi="Times New Roman"/>
          <w:sz w:val="24"/>
          <w:szCs w:val="24"/>
        </w:rPr>
      </w:pPr>
      <w:r w:rsidRPr="00766409">
        <w:rPr>
          <w:rFonts w:ascii="Times New Roman" w:hAnsi="Times New Roman"/>
          <w:sz w:val="24"/>
          <w:szCs w:val="24"/>
        </w:rPr>
        <w:t>​Ustanovujú sa prechodné ustanovenia vyplývajúce z potreby zosúladenia právnych vzťahov s navrhovanou právnou úpravou, napr. zosúladenie niektorých zmlúv, ktoré počas prechodného obdobia budú v súlade s právnymi predpismi účinnými pred nadobudnutím účinnosti tohto zákona.</w:t>
      </w:r>
    </w:p>
    <w:p w:rsidR="009C5673" w:rsidRPr="00766409" w:rsidP="009C5673">
      <w:pPr>
        <w:bidi w:val="0"/>
        <w:rPr>
          <w:rFonts w:ascii="Times New Roman" w:hAnsi="Times New Roman"/>
          <w:b/>
          <w:bCs/>
          <w:sz w:val="24"/>
          <w:szCs w:val="24"/>
        </w:rPr>
      </w:pPr>
      <w:r w:rsidRPr="00766409">
        <w:rPr>
          <w:rFonts w:ascii="Times New Roman" w:hAnsi="Times New Roman"/>
          <w:b/>
          <w:bCs/>
          <w:sz w:val="24"/>
          <w:szCs w:val="24"/>
        </w:rPr>
        <w:t>K Čl. II</w:t>
      </w:r>
    </w:p>
    <w:p w:rsidR="009C5673" w:rsidRPr="00766409" w:rsidP="009C5673">
      <w:pPr>
        <w:bidi w:val="0"/>
        <w:jc w:val="both"/>
        <w:rPr>
          <w:rFonts w:ascii="Times New Roman" w:hAnsi="Times New Roman"/>
          <w:sz w:val="24"/>
          <w:szCs w:val="24"/>
        </w:rPr>
      </w:pPr>
      <w:r w:rsidRPr="00766409">
        <w:rPr>
          <w:rFonts w:ascii="Times New Roman" w:hAnsi="Times New Roman"/>
          <w:sz w:val="24"/>
          <w:szCs w:val="24"/>
        </w:rPr>
        <w:t>​Ide o novelizáciu zákona č. 264/1999 Z. z. o technických požiadavkách na výrobky                          a o posudzovaní zhody a o zmene a doplnení niektorých zákonov v znení neskorších predpisov, vzhľadom na vyčlenenie časti „technickej normalizácie“ do samostatného návrhu zákona.</w:t>
      </w:r>
    </w:p>
    <w:p w:rsidR="009C5673" w:rsidRPr="00766409" w:rsidP="009C5673">
      <w:pPr>
        <w:bidi w:val="0"/>
        <w:rPr>
          <w:rFonts w:ascii="Times New Roman" w:hAnsi="Times New Roman"/>
          <w:b/>
          <w:bCs/>
          <w:sz w:val="24"/>
          <w:szCs w:val="24"/>
        </w:rPr>
      </w:pPr>
      <w:r w:rsidRPr="00766409">
        <w:rPr>
          <w:rFonts w:ascii="Times New Roman" w:hAnsi="Times New Roman"/>
          <w:b/>
          <w:bCs/>
          <w:sz w:val="24"/>
          <w:szCs w:val="24"/>
        </w:rPr>
        <w:t>K Čl. III</w:t>
      </w:r>
    </w:p>
    <w:p w:rsidR="009C5673" w:rsidRPr="00766409" w:rsidP="009C5673">
      <w:pPr>
        <w:bidi w:val="0"/>
        <w:jc w:val="both"/>
        <w:rPr>
          <w:rFonts w:ascii="Times New Roman" w:hAnsi="Times New Roman"/>
          <w:sz w:val="24"/>
          <w:szCs w:val="24"/>
        </w:rPr>
      </w:pPr>
      <w:r w:rsidRPr="00766409">
        <w:rPr>
          <w:rFonts w:ascii="Times New Roman" w:hAnsi="Times New Roman"/>
          <w:sz w:val="24"/>
          <w:szCs w:val="24"/>
        </w:rPr>
        <w:t>Ustanovuje sa účinnosť návrhu zákona, ktorá sa navrhuje od 1. apríla 2018, čím sa zabezpečí dostatočne dlhá legisvakačná doba, okrem čl. I § 14 ods. 6 písm. a) vety za bodkočiarkou, ktorá nadobúda účinnosť 1. apríla 2020, z dôvodu, aby bol dostatočne dlhý časový priestor na vytvorenie a sprevádzkovanie automatizovaného systému, prostredníctvom ktorého budú subjekty žiadať slovenský národný normalizačný orgán o udelenie súhlasu na citáciu časti slovenskej technickej normy alebo technickej normalizačnej informácie.</w:t>
      </w:r>
    </w:p>
    <w:p w:rsidR="009C5673" w:rsidRPr="00766409" w:rsidP="009C5673">
      <w:pPr>
        <w:bidi w:val="0"/>
        <w:rPr>
          <w:rFonts w:ascii="Times New Roman" w:hAnsi="Times New Roman"/>
          <w:b/>
          <w:bCs/>
          <w:sz w:val="24"/>
          <w:szCs w:val="24"/>
        </w:rPr>
      </w:pPr>
      <w:r w:rsidRPr="00766409">
        <w:rPr>
          <w:rFonts w:ascii="Times New Roman" w:hAnsi="Times New Roman"/>
          <w:b/>
          <w:bCs/>
          <w:sz w:val="24"/>
          <w:szCs w:val="24"/>
        </w:rPr>
        <w:t>K prílohe zákon</w:t>
      </w:r>
      <w:r>
        <w:rPr>
          <w:rFonts w:ascii="Times New Roman" w:hAnsi="Times New Roman"/>
          <w:b/>
          <w:bCs/>
          <w:sz w:val="24"/>
          <w:szCs w:val="24"/>
        </w:rPr>
        <w:t>a</w:t>
      </w:r>
      <w:r w:rsidRPr="00766409">
        <w:rPr>
          <w:rFonts w:ascii="Times New Roman" w:hAnsi="Times New Roman"/>
          <w:b/>
          <w:bCs/>
          <w:sz w:val="24"/>
          <w:szCs w:val="24"/>
        </w:rPr>
        <w:t xml:space="preserve"> č. </w:t>
      </w:r>
      <w:r>
        <w:rPr>
          <w:rFonts w:ascii="Times New Roman" w:hAnsi="Times New Roman"/>
          <w:b/>
          <w:bCs/>
          <w:sz w:val="24"/>
          <w:szCs w:val="24"/>
        </w:rPr>
        <w:t>...</w:t>
      </w:r>
      <w:r w:rsidRPr="00766409">
        <w:rPr>
          <w:rFonts w:ascii="Times New Roman" w:hAnsi="Times New Roman"/>
          <w:b/>
          <w:bCs/>
          <w:sz w:val="24"/>
          <w:szCs w:val="24"/>
        </w:rPr>
        <w:t>/201</w:t>
      </w:r>
      <w:r>
        <w:rPr>
          <w:rFonts w:ascii="Times New Roman" w:hAnsi="Times New Roman"/>
          <w:b/>
          <w:bCs/>
          <w:sz w:val="24"/>
          <w:szCs w:val="24"/>
        </w:rPr>
        <w:t>8</w:t>
      </w:r>
      <w:r w:rsidRPr="00766409">
        <w:rPr>
          <w:rFonts w:ascii="Times New Roman" w:hAnsi="Times New Roman"/>
          <w:b/>
          <w:bCs/>
          <w:sz w:val="24"/>
          <w:szCs w:val="24"/>
        </w:rPr>
        <w:t xml:space="preserve"> </w:t>
      </w:r>
      <w:r>
        <w:rPr>
          <w:rFonts w:ascii="Times New Roman" w:hAnsi="Times New Roman"/>
          <w:b/>
          <w:bCs/>
          <w:sz w:val="24"/>
          <w:szCs w:val="24"/>
        </w:rPr>
        <w:t>Z</w:t>
      </w:r>
      <w:r w:rsidRPr="00766409">
        <w:rPr>
          <w:rFonts w:ascii="Times New Roman" w:hAnsi="Times New Roman"/>
          <w:b/>
          <w:bCs/>
          <w:sz w:val="24"/>
          <w:szCs w:val="24"/>
        </w:rPr>
        <w:t>. z.</w:t>
      </w:r>
    </w:p>
    <w:p w:rsidR="009C5673" w:rsidRPr="00766409" w:rsidP="009C5673">
      <w:pPr>
        <w:bidi w:val="0"/>
        <w:jc w:val="both"/>
        <w:rPr>
          <w:rFonts w:ascii="Times New Roman" w:hAnsi="Times New Roman"/>
          <w:sz w:val="24"/>
          <w:szCs w:val="24"/>
        </w:rPr>
      </w:pPr>
      <w:r w:rsidRPr="00766409">
        <w:rPr>
          <w:rFonts w:ascii="Times New Roman" w:hAnsi="Times New Roman"/>
          <w:sz w:val="24"/>
          <w:szCs w:val="24"/>
        </w:rPr>
        <w:t>Ustanovuje sa vyobrazenie značky slovenskej technickej normy, predbežnej slovenskej technickej normy a technickej normalizačnej informácie.</w:t>
      </w:r>
    </w:p>
    <w:p w:rsidR="00BC21E7" w:rsidRPr="00BC21E7" w:rsidP="00BC21E7">
      <w:pPr>
        <w:widowControl/>
        <w:bidi w:val="0"/>
        <w:spacing w:before="480" w:after="100" w:afterAutospacing="1"/>
        <w:jc w:val="both"/>
        <w:rPr>
          <w:rStyle w:val="PlaceholderText"/>
          <w:color w:val="000000"/>
          <w:sz w:val="24"/>
          <w:szCs w:val="24"/>
        </w:rPr>
      </w:pPr>
      <w:r w:rsidRPr="00BC21E7">
        <w:rPr>
          <w:rStyle w:val="PlaceholderText"/>
          <w:color w:val="000000"/>
          <w:sz w:val="24"/>
          <w:szCs w:val="24"/>
        </w:rPr>
        <w:t>Bratislava 8. novembra 2017</w:t>
      </w:r>
    </w:p>
    <w:p w:rsidR="00BC21E7" w:rsidP="00BC21E7">
      <w:pPr>
        <w:widowControl/>
        <w:bidi w:val="0"/>
        <w:spacing w:after="0"/>
        <w:jc w:val="center"/>
        <w:rPr>
          <w:rStyle w:val="PlaceholderText"/>
          <w:b/>
          <w:color w:val="000000"/>
          <w:sz w:val="24"/>
          <w:szCs w:val="24"/>
        </w:rPr>
      </w:pPr>
    </w:p>
    <w:p w:rsidR="00BC21E7" w:rsidRPr="00BC21E7" w:rsidP="00BC21E7">
      <w:pPr>
        <w:widowControl/>
        <w:bidi w:val="0"/>
        <w:spacing w:after="0"/>
        <w:jc w:val="center"/>
        <w:rPr>
          <w:rStyle w:val="PlaceholderText"/>
          <w:color w:val="000000"/>
          <w:sz w:val="24"/>
          <w:szCs w:val="24"/>
        </w:rPr>
      </w:pPr>
      <w:r w:rsidRPr="00BC21E7">
        <w:rPr>
          <w:rStyle w:val="PlaceholderText"/>
          <w:b/>
          <w:color w:val="000000"/>
          <w:sz w:val="24"/>
          <w:szCs w:val="24"/>
        </w:rPr>
        <w:t>Robert Fico v. r.</w:t>
      </w:r>
    </w:p>
    <w:p w:rsidR="00BC21E7" w:rsidRPr="00BC21E7" w:rsidP="00BC21E7">
      <w:pPr>
        <w:widowControl/>
        <w:bidi w:val="0"/>
        <w:jc w:val="center"/>
        <w:rPr>
          <w:rStyle w:val="PlaceholderText"/>
          <w:color w:val="000000"/>
          <w:sz w:val="24"/>
          <w:szCs w:val="24"/>
        </w:rPr>
      </w:pPr>
      <w:r w:rsidRPr="00BC21E7">
        <w:rPr>
          <w:rStyle w:val="PlaceholderText"/>
          <w:color w:val="000000"/>
          <w:sz w:val="24"/>
          <w:szCs w:val="24"/>
        </w:rPr>
        <w:t>predseda vlády Slovenskej republiky</w:t>
      </w:r>
    </w:p>
    <w:p w:rsidR="00BC21E7" w:rsidRPr="00BC21E7" w:rsidP="00BC21E7">
      <w:pPr>
        <w:widowControl/>
        <w:bidi w:val="0"/>
        <w:spacing w:after="100" w:afterAutospacing="1"/>
        <w:rPr>
          <w:rStyle w:val="PlaceholderText"/>
          <w:color w:val="000000"/>
          <w:sz w:val="24"/>
          <w:szCs w:val="24"/>
        </w:rPr>
      </w:pPr>
    </w:p>
    <w:p w:rsidR="00BC21E7" w:rsidRPr="00BC21E7" w:rsidP="00BC21E7">
      <w:pPr>
        <w:widowControl/>
        <w:bidi w:val="0"/>
        <w:spacing w:after="0"/>
        <w:jc w:val="center"/>
        <w:rPr>
          <w:rStyle w:val="PlaceholderText"/>
          <w:b/>
          <w:color w:val="000000"/>
          <w:sz w:val="24"/>
          <w:szCs w:val="24"/>
        </w:rPr>
      </w:pPr>
      <w:r w:rsidRPr="00BC21E7">
        <w:rPr>
          <w:rStyle w:val="PlaceholderText"/>
          <w:b/>
          <w:color w:val="000000"/>
          <w:sz w:val="24"/>
          <w:szCs w:val="24"/>
        </w:rPr>
        <w:t xml:space="preserve">Pavol Pavlis v. r.  </w:t>
      </w:r>
    </w:p>
    <w:p w:rsidR="00BC21E7" w:rsidRPr="00BC21E7" w:rsidP="00BC21E7">
      <w:pPr>
        <w:widowControl/>
        <w:bidi w:val="0"/>
        <w:spacing w:after="0"/>
        <w:jc w:val="center"/>
        <w:rPr>
          <w:rStyle w:val="PlaceholderText"/>
          <w:color w:val="000000"/>
          <w:sz w:val="24"/>
          <w:szCs w:val="24"/>
        </w:rPr>
      </w:pPr>
      <w:r w:rsidRPr="00BC21E7">
        <w:rPr>
          <w:rStyle w:val="PlaceholderText"/>
          <w:color w:val="000000"/>
          <w:sz w:val="24"/>
          <w:szCs w:val="24"/>
        </w:rPr>
        <w:t>predseda Úradu pre normalizáciu, metrológiu</w:t>
      </w:r>
    </w:p>
    <w:p w:rsidR="004D4E20" w:rsidRPr="00BC21E7" w:rsidP="00BC21E7">
      <w:pPr>
        <w:widowControl/>
        <w:bidi w:val="0"/>
        <w:jc w:val="center"/>
        <w:rPr>
          <w:rFonts w:ascii="Times New Roman" w:hAnsi="Times New Roman"/>
          <w:color w:val="000000"/>
          <w:sz w:val="24"/>
          <w:szCs w:val="24"/>
        </w:rPr>
      </w:pPr>
      <w:r w:rsidRPr="00BC21E7" w:rsidR="00BC21E7">
        <w:rPr>
          <w:rStyle w:val="PlaceholderText"/>
          <w:color w:val="000000"/>
          <w:sz w:val="24"/>
          <w:szCs w:val="24"/>
        </w:rPr>
        <w:t xml:space="preserve"> a skúšobníctvo Slovenskej republiky</w:t>
      </w:r>
    </w:p>
    <w:sectPr w:rsidSect="00CB0772">
      <w:pgSz w:w="12240" w:h="15840"/>
      <w:pgMar w:top="1560" w:right="1418" w:bottom="851" w:left="1418"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MS Mincho">
    <w:altName w:val="‚l‚r –ľ’©"/>
    <w:panose1 w:val="02020609040205080304"/>
    <w:charset w:val="80"/>
    <w:family w:val="modern"/>
    <w:pitch w:val="fixed"/>
    <w:sig w:usb0="00000000" w:usb1="00000000" w:usb2="00000000" w:usb3="00000000" w:csb0="0002009F"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00"/>
    <w:family w:val="swiss"/>
    <w:pitch w:val="variable"/>
    <w:sig w:usb0="00000000" w:usb1="00000000" w:usb2="00000000" w:usb3="00000000" w:csb0="00000001" w:csb1="00000000"/>
  </w:font>
  <w:font w:name="Times">
    <w:panose1 w:val="00000000000000000000"/>
    <w:charset w:val="EE"/>
    <w:family w:val="roman"/>
    <w:pitch w:val="variable"/>
    <w:sig w:usb0="00000000" w:usb1="00000000" w:usb2="00000000" w:usb3="00000000" w:csb0="000001FF" w:csb1="00000000"/>
  </w:font>
  <w:font w:name="@MS Mincho">
    <w:panose1 w:val="02020609040205080304"/>
    <w:charset w:val="80"/>
    <w:family w:val="modern"/>
    <w:pitch w:val="fixed"/>
    <w:sig w:usb0="00000000" w:usb1="00000000" w:usb2="00000000" w:usb3="00000000" w:csb0="0002009F" w:csb1="00000000"/>
  </w:font>
  <w:font w:name="Cambria">
    <w:panose1 w:val="02040503050406030204"/>
    <w:charset w:val="EE"/>
    <w:family w:val="roman"/>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84168"/>
    <w:multiLevelType w:val="hybridMultilevel"/>
    <w:tmpl w:val="05B4434E"/>
    <w:lvl w:ilvl="0">
      <w:start w:val="1"/>
      <w:numFmt w:val="decimal"/>
      <w:lvlText w:val="%1."/>
      <w:lvlJc w:val="left"/>
      <w:pPr>
        <w:ind w:left="720" w:hanging="360"/>
      </w:pPr>
      <w:rPr>
        <w:rFonts w:cs="Times New Roman" w:hint="default"/>
        <w:b/>
        <w:sz w:val="20"/>
        <w:szCs w:val="2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7BDE54EF"/>
    <w:multiLevelType w:val="hybridMultilevel"/>
    <w:tmpl w:val="419C7968"/>
    <w:lvl w:ilvl="0">
      <w:start w:val="1"/>
      <w:numFmt w:val="decimal"/>
      <w:lvlText w:val="%1."/>
      <w:lvlJc w:val="left"/>
      <w:pPr>
        <w:ind w:left="862" w:hanging="360"/>
      </w:pPr>
      <w:rPr>
        <w:rFonts w:cs="Times New Roman"/>
        <w:rtl w:val="0"/>
        <w:cs w:val="0"/>
      </w:rPr>
    </w:lvl>
    <w:lvl w:ilvl="1">
      <w:start w:val="1"/>
      <w:numFmt w:val="lowerLetter"/>
      <w:lvlText w:val="%2."/>
      <w:lvlJc w:val="left"/>
      <w:pPr>
        <w:ind w:left="1582" w:hanging="360"/>
      </w:pPr>
      <w:rPr>
        <w:rFonts w:cs="Times New Roman"/>
        <w:rtl w:val="0"/>
        <w:cs w:val="0"/>
      </w:rPr>
    </w:lvl>
    <w:lvl w:ilvl="2">
      <w:start w:val="1"/>
      <w:numFmt w:val="lowerRoman"/>
      <w:lvlText w:val="%3."/>
      <w:lvlJc w:val="right"/>
      <w:pPr>
        <w:ind w:left="2302" w:hanging="180"/>
      </w:pPr>
      <w:rPr>
        <w:rFonts w:cs="Times New Roman"/>
        <w:rtl w:val="0"/>
        <w:cs w:val="0"/>
      </w:rPr>
    </w:lvl>
    <w:lvl w:ilvl="3">
      <w:start w:val="1"/>
      <w:numFmt w:val="decimal"/>
      <w:lvlText w:val="%4."/>
      <w:lvlJc w:val="left"/>
      <w:pPr>
        <w:ind w:left="3022" w:hanging="360"/>
      </w:pPr>
      <w:rPr>
        <w:rFonts w:cs="Times New Roman"/>
        <w:rtl w:val="0"/>
        <w:cs w:val="0"/>
      </w:rPr>
    </w:lvl>
    <w:lvl w:ilvl="4">
      <w:start w:val="1"/>
      <w:numFmt w:val="lowerLetter"/>
      <w:lvlText w:val="%5."/>
      <w:lvlJc w:val="left"/>
      <w:pPr>
        <w:ind w:left="3742" w:hanging="360"/>
      </w:pPr>
      <w:rPr>
        <w:rFonts w:cs="Times New Roman"/>
        <w:rtl w:val="0"/>
        <w:cs w:val="0"/>
      </w:rPr>
    </w:lvl>
    <w:lvl w:ilvl="5">
      <w:start w:val="1"/>
      <w:numFmt w:val="lowerRoman"/>
      <w:lvlText w:val="%6."/>
      <w:lvlJc w:val="right"/>
      <w:pPr>
        <w:ind w:left="4462" w:hanging="180"/>
      </w:pPr>
      <w:rPr>
        <w:rFonts w:cs="Times New Roman"/>
        <w:rtl w:val="0"/>
        <w:cs w:val="0"/>
      </w:rPr>
    </w:lvl>
    <w:lvl w:ilvl="6">
      <w:start w:val="1"/>
      <w:numFmt w:val="decimal"/>
      <w:lvlText w:val="%7."/>
      <w:lvlJc w:val="left"/>
      <w:pPr>
        <w:ind w:left="5182" w:hanging="360"/>
      </w:pPr>
      <w:rPr>
        <w:rFonts w:cs="Times New Roman"/>
        <w:rtl w:val="0"/>
        <w:cs w:val="0"/>
      </w:rPr>
    </w:lvl>
    <w:lvl w:ilvl="7">
      <w:start w:val="1"/>
      <w:numFmt w:val="lowerLetter"/>
      <w:lvlText w:val="%8."/>
      <w:lvlJc w:val="left"/>
      <w:pPr>
        <w:ind w:left="5902" w:hanging="360"/>
      </w:pPr>
      <w:rPr>
        <w:rFonts w:cs="Times New Roman"/>
        <w:rtl w:val="0"/>
        <w:cs w:val="0"/>
      </w:rPr>
    </w:lvl>
    <w:lvl w:ilvl="8">
      <w:start w:val="1"/>
      <w:numFmt w:val="lowerRoman"/>
      <w:lvlText w:val="%9."/>
      <w:lvlJc w:val="right"/>
      <w:pPr>
        <w:ind w:left="6622" w:hanging="180"/>
      </w:pPr>
      <w:rPr>
        <w:rFonts w:cs="Times New Roman"/>
        <w:rtl w:val="0"/>
        <w:cs w:val="0"/>
      </w:rPr>
    </w:lvl>
  </w:abstractNum>
  <w:abstractNum w:abstractNumId="2">
    <w:nsid w:val="7E6A6D74"/>
    <w:multiLevelType w:val="hybridMultilevel"/>
    <w:tmpl w:val="EB42C244"/>
    <w:lvl w:ilvl="0">
      <w:start w:val="1"/>
      <w:numFmt w:val="lowerLetter"/>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hyphenationZone w:val="425"/>
  <w:characterSpacingControl w:val="doNotCompress"/>
  <w:compat/>
  <w:rsids>
    <w:rsidRoot w:val="00D463B0"/>
    <w:rsid w:val="00001C7F"/>
    <w:rsid w:val="000144C3"/>
    <w:rsid w:val="0002188B"/>
    <w:rsid w:val="00026E6B"/>
    <w:rsid w:val="000B3F57"/>
    <w:rsid w:val="000C0BA0"/>
    <w:rsid w:val="001A43A3"/>
    <w:rsid w:val="002C2B40"/>
    <w:rsid w:val="002F00DB"/>
    <w:rsid w:val="00327A2D"/>
    <w:rsid w:val="003A35EB"/>
    <w:rsid w:val="003C009A"/>
    <w:rsid w:val="004C083B"/>
    <w:rsid w:val="004C0E71"/>
    <w:rsid w:val="004D4E20"/>
    <w:rsid w:val="005A1161"/>
    <w:rsid w:val="00661635"/>
    <w:rsid w:val="006A0E56"/>
    <w:rsid w:val="00700DBA"/>
    <w:rsid w:val="00730901"/>
    <w:rsid w:val="007509F2"/>
    <w:rsid w:val="00761851"/>
    <w:rsid w:val="00766409"/>
    <w:rsid w:val="00773CE7"/>
    <w:rsid w:val="008009C5"/>
    <w:rsid w:val="00801B9C"/>
    <w:rsid w:val="00812D3F"/>
    <w:rsid w:val="008461A5"/>
    <w:rsid w:val="00873337"/>
    <w:rsid w:val="008D5EDB"/>
    <w:rsid w:val="008D60A8"/>
    <w:rsid w:val="008F1A80"/>
    <w:rsid w:val="009A131E"/>
    <w:rsid w:val="009C5673"/>
    <w:rsid w:val="00A17C3D"/>
    <w:rsid w:val="00A50DF6"/>
    <w:rsid w:val="00A56287"/>
    <w:rsid w:val="00AA4FD0"/>
    <w:rsid w:val="00AB1F57"/>
    <w:rsid w:val="00AB2B8F"/>
    <w:rsid w:val="00B0198F"/>
    <w:rsid w:val="00B3505E"/>
    <w:rsid w:val="00B50E2A"/>
    <w:rsid w:val="00B51490"/>
    <w:rsid w:val="00BA14D6"/>
    <w:rsid w:val="00BC21E7"/>
    <w:rsid w:val="00CB0772"/>
    <w:rsid w:val="00CD025D"/>
    <w:rsid w:val="00D02827"/>
    <w:rsid w:val="00D17ED7"/>
    <w:rsid w:val="00D463B0"/>
    <w:rsid w:val="00D637AD"/>
    <w:rsid w:val="00D710A5"/>
    <w:rsid w:val="00DD1B41"/>
    <w:rsid w:val="00DE092B"/>
    <w:rsid w:val="00DF7EB5"/>
    <w:rsid w:val="00E00D13"/>
    <w:rsid w:val="00EE5B13"/>
    <w:rsid w:val="00F10D72"/>
    <w:rsid w:val="00F44C37"/>
    <w:rsid w:val="00FE24FC"/>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0A5"/>
    <w:pPr>
      <w:framePr w:wrap="auto"/>
      <w:widowControl w:val="0"/>
      <w:autoSpaceDE/>
      <w:autoSpaceDN/>
      <w:adjustRightInd w:val="0"/>
      <w:spacing w:after="200" w:line="276" w:lineRule="auto"/>
      <w:ind w:left="0" w:right="0"/>
      <w:jc w:val="left"/>
      <w:textAlignment w:val="auto"/>
    </w:pPr>
    <w:rPr>
      <w:rFonts w:ascii="Calibri" w:hAnsi="Calibri" w:cs="Times New Roman"/>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styleId="PlaceholderText">
    <w:name w:val="Placeholder Text"/>
    <w:basedOn w:val="DefaultParagraphFont"/>
    <w:uiPriority w:val="99"/>
    <w:semiHidden/>
    <w:rsid w:val="00D710A5"/>
    <w:rPr>
      <w:rFonts w:ascii="Times New Roman" w:hAnsi="Times New Roman" w:cs="Times New Roman"/>
      <w:color w:val="808080"/>
      <w:rtl w:val="0"/>
      <w:cs w:val="0"/>
    </w:rPr>
  </w:style>
  <w:style w:type="paragraph" w:styleId="BalloonText">
    <w:name w:val="Balloon Text"/>
    <w:basedOn w:val="Normal"/>
    <w:link w:val="TextbublinyChar"/>
    <w:uiPriority w:val="99"/>
    <w:semiHidden/>
    <w:unhideWhenUsed/>
    <w:rsid w:val="00D710A5"/>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D710A5"/>
    <w:rPr>
      <w:rFonts w:ascii="Tahoma" w:hAnsi="Tahoma" w:cs="Tahoma"/>
      <w:sz w:val="16"/>
      <w:szCs w:val="16"/>
      <w:rtl w:val="0"/>
      <w:cs w:val="0"/>
      <w:lang w:val="en-US" w:eastAsia="x-none"/>
    </w:rPr>
  </w:style>
  <w:style w:type="table" w:styleId="TableGrid">
    <w:name w:val="Table Grid"/>
    <w:basedOn w:val="TableNormal"/>
    <w:uiPriority w:val="59"/>
    <w:rsid w:val="00D710A5"/>
    <w:pPr>
      <w:widowControl w:val="0"/>
      <w:autoSpaceDE w:val="0"/>
      <w:autoSpaceDN w:val="0"/>
      <w:adjustRightInd w:val="0"/>
      <w:spacing w:after="0" w:line="240" w:lineRule="auto"/>
    </w:pPr>
    <w:rPr>
      <w:rFonts w:ascii="Calibri" w:hAnsi="Calibri" w:cs="Times New Roman"/>
      <w:sz w:val="24"/>
      <w:szCs w:val="24"/>
      <w:lang w:eastAsia="sk-SK"/>
    </w:rPr>
    <w:tblPr>
      <w:tblCellMar>
        <w:left w:w="0" w:type="dxa"/>
        <w:right w:w="0" w:type="dxa"/>
      </w:tblCellMar>
    </w:tblPr>
  </w:style>
  <w:style w:type="character" w:styleId="Strong">
    <w:name w:val="Strong"/>
    <w:basedOn w:val="DefaultParagraphFont"/>
    <w:uiPriority w:val="22"/>
    <w:qFormat/>
    <w:rsid w:val="00D710A5"/>
    <w:rPr>
      <w:rFonts w:ascii="Times New Roman" w:hAnsi="Times New Roman" w:cs="Times New Roman"/>
      <w:b/>
      <w:bCs/>
      <w:rtl w:val="0"/>
      <w:cs w:val="0"/>
    </w:rPr>
  </w:style>
  <w:style w:type="paragraph" w:styleId="BodyText">
    <w:name w:val="Body Text"/>
    <w:basedOn w:val="Normal"/>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DefaultParagraphFont"/>
    <w:link w:val="BodyText"/>
    <w:uiPriority w:val="99"/>
    <w:semiHidden/>
    <w:locked/>
    <w:rsid w:val="00D710A5"/>
    <w:rPr>
      <w:rFonts w:ascii="Times New Roman" w:hAnsi="Times New Roman" w:cs="Times New Roman"/>
      <w:b/>
      <w:bCs/>
      <w:sz w:val="28"/>
      <w:szCs w:val="28"/>
      <w:rtl w:val="0"/>
      <w:cs w:val="0"/>
      <w:lang w:val="x-none" w:eastAsia="sk-SK"/>
    </w:rPr>
  </w:style>
  <w:style w:type="paragraph" w:styleId="BodyTextIndent2">
    <w:name w:val="Body Text Indent 2"/>
    <w:basedOn w:val="Normal"/>
    <w:link w:val="Zarkazkladnhotextu2Char"/>
    <w:uiPriority w:val="99"/>
    <w:semiHidden/>
    <w:unhideWhenUsed/>
    <w:rsid w:val="00D710A5"/>
    <w:pPr>
      <w:spacing w:after="120" w:line="480" w:lineRule="auto"/>
      <w:ind w:left="283"/>
      <w:jc w:val="left"/>
    </w:pPr>
  </w:style>
  <w:style w:type="character" w:customStyle="1" w:styleId="Zarkazkladnhotextu2Char">
    <w:name w:val="Zarážka základného textu 2 Char"/>
    <w:basedOn w:val="DefaultParagraphFont"/>
    <w:link w:val="BodyTextIndent2"/>
    <w:uiPriority w:val="99"/>
    <w:semiHidden/>
    <w:locked/>
    <w:rsid w:val="00D710A5"/>
    <w:rPr>
      <w:rFonts w:ascii="Calibri" w:hAnsi="Calibri" w:cs="Times New Roman"/>
      <w:rtl w:val="0"/>
      <w:cs w:val="0"/>
      <w:lang w:val="en-US" w:eastAsia="x-none"/>
    </w:rPr>
  </w:style>
  <w:style w:type="character" w:styleId="CommentReference">
    <w:name w:val="annotation reference"/>
    <w:basedOn w:val="DefaultParagraphFont"/>
    <w:uiPriority w:val="99"/>
    <w:semiHidden/>
    <w:unhideWhenUsed/>
    <w:rsid w:val="006A0E56"/>
    <w:rPr>
      <w:rFonts w:cs="Times New Roman"/>
      <w:sz w:val="16"/>
      <w:szCs w:val="16"/>
      <w:rtl w:val="0"/>
      <w:cs w:val="0"/>
    </w:rPr>
  </w:style>
  <w:style w:type="paragraph" w:styleId="CommentText">
    <w:name w:val="annotation text"/>
    <w:basedOn w:val="Normal"/>
    <w:link w:val="TextkomentraChar"/>
    <w:uiPriority w:val="99"/>
    <w:semiHidden/>
    <w:unhideWhenUsed/>
    <w:rsid w:val="006A0E56"/>
    <w:pPr>
      <w:spacing w:line="240" w:lineRule="auto"/>
      <w:jc w:val="left"/>
    </w:pPr>
    <w:rPr>
      <w:sz w:val="20"/>
      <w:szCs w:val="20"/>
    </w:rPr>
  </w:style>
  <w:style w:type="character" w:customStyle="1" w:styleId="TextkomentraChar">
    <w:name w:val="Text komentára Char"/>
    <w:basedOn w:val="DefaultParagraphFont"/>
    <w:link w:val="CommentText"/>
    <w:uiPriority w:val="99"/>
    <w:semiHidden/>
    <w:locked/>
    <w:rsid w:val="006A0E56"/>
    <w:rPr>
      <w:rFonts w:ascii="Calibri" w:hAnsi="Calibri" w:cs="Times New Roman"/>
      <w:sz w:val="20"/>
      <w:szCs w:val="20"/>
      <w:rtl w:val="0"/>
      <w:cs w:val="0"/>
      <w:lang w:val="en-US" w:eastAsia="x-none"/>
    </w:rPr>
  </w:style>
  <w:style w:type="paragraph" w:styleId="CommentSubject">
    <w:name w:val="annotation subject"/>
    <w:basedOn w:val="CommentText"/>
    <w:next w:val="CommentText"/>
    <w:link w:val="PredmetkomentraChar"/>
    <w:uiPriority w:val="99"/>
    <w:semiHidden/>
    <w:unhideWhenUsed/>
    <w:rsid w:val="006A0E56"/>
    <w:pPr>
      <w:spacing w:line="240" w:lineRule="auto"/>
      <w:jc w:val="left"/>
    </w:pPr>
    <w:rPr>
      <w:b/>
      <w:bCs/>
    </w:rPr>
  </w:style>
  <w:style w:type="character" w:customStyle="1" w:styleId="PredmetkomentraChar">
    <w:name w:val="Predmet komentára Char"/>
    <w:basedOn w:val="TextkomentraChar"/>
    <w:link w:val="CommentSubject"/>
    <w:uiPriority w:val="99"/>
    <w:semiHidden/>
    <w:locked/>
    <w:rsid w:val="006A0E56"/>
    <w:rPr>
      <w:b/>
      <w:bCs/>
    </w:rPr>
  </w:style>
  <w:style w:type="paragraph" w:styleId="ListParagraph">
    <w:name w:val="List Paragraph"/>
    <w:basedOn w:val="Normal"/>
    <w:uiPriority w:val="34"/>
    <w:qFormat/>
    <w:rsid w:val="004D4E20"/>
    <w:pPr>
      <w:widowControl/>
      <w:adjustRightInd/>
      <w:ind w:left="720"/>
      <w:contextualSpacing/>
      <w:jc w:val="left"/>
    </w:pPr>
    <w:rPr>
      <w:rFonts w:asciiTheme="minorHAnsi" w:hAnsiTheme="minorHAnsi" w:cstheme="minorBidi"/>
    </w:rPr>
  </w:style>
  <w:style w:type="character" w:styleId="Hyperlink">
    <w:name w:val="Hyperlink"/>
    <w:basedOn w:val="DefaultParagraphFont"/>
    <w:uiPriority w:val="99"/>
    <w:unhideWhenUsed/>
    <w:rsid w:val="004D4E20"/>
    <w:rPr>
      <w:rFonts w:cs="Times New Roman"/>
      <w:color w:val="0000FF" w:themeColor="hlink" w:themeShade="FF"/>
      <w:u w:val="single"/>
      <w:rtl w:val="0"/>
      <w:cs w:val="0"/>
    </w:rPr>
  </w:style>
  <w:style w:type="table" w:customStyle="1" w:styleId="Mriekatabuky1">
    <w:name w:val="Mriežka tabuľky1"/>
    <w:basedOn w:val="TableNormal"/>
    <w:next w:val="TableGrid"/>
    <w:uiPriority w:val="59"/>
    <w:rsid w:val="004D4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relyOnVML/>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unms.sk/?TS&amp;" TargetMode="Externa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mailto:maria.semanova@normoff.gov.sk" TargetMode="Externa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f:fields xmlns:f="http://schemas.fabasoft.com/folio/2007/fields">
  <f:record ref="">
    <f:field ref="objname" par="" edit="true" text="4_dôvodová-správa_všeobecná-časť"/>
    <f:field ref="objsubject" par="" edit="true" text=""/>
    <f:field ref="objcreatedby" par="" text="Pankievičová, Anežka, Mgr."/>
    <f:field ref="objcreatedat" par="" text="30.5.2017 14:01:39"/>
    <f:field ref="objchangedby" par="" text="Administrator, System"/>
    <f:field ref="objmodifiedat" par="" text="30.5.2017 14:01:39"/>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599921D-ACCF-47BE-B546-B573B663967C}">
  <ds:schemaRefs>
    <ds:schemaRef ds:uri="http://schemas.microsoft.com/sharepoint/v3/contenttype/forms"/>
  </ds:schemaRefs>
</ds:datastoreItem>
</file>

<file path=customXml/itemProps2.xml><?xml version="1.0" encoding="utf-8"?>
<ds:datastoreItem xmlns:ds="http://schemas.openxmlformats.org/officeDocument/2006/customXml" ds:itemID="{CADAB745-99E2-4A23-AB64-9BC1CEEEE815}">
  <ds:schemaRefs>
    <ds:schemaRef ds:uri="http://schemas.openxmlformats.org/officeDocument/2006/bibliography"/>
  </ds:schemaRefs>
</ds:datastoreItem>
</file>

<file path=customXml/itemProps3.xml><?xml version="1.0" encoding="utf-8"?>
<ds:datastoreItem xmlns:ds="http://schemas.openxmlformats.org/officeDocument/2006/customXml" ds:itemID="{4E8A9591-F074-446B-902F-511FF79C122F}">
  <ds:schemaRefs>
    <ds:schemaRef ds:uri="http://schemas.fabasoft.com/folio/2007/fields"/>
  </ds:schemaRefs>
</ds:datastoreItem>
</file>

<file path=customXml/itemProps4.xml><?xml version="1.0" encoding="utf-8"?>
<ds:datastoreItem xmlns:ds="http://schemas.openxmlformats.org/officeDocument/2006/customXml" ds:itemID="{07D69EA3-3E34-42FD-A453-A0556867E2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20AD37CB-401A-4078-8039-3E1D2443E016}">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otalTime>0</TotalTime>
  <Pages>21</Pages>
  <Words>8046</Words>
  <Characters>45868</Characters>
  <Application>Microsoft Office Word</Application>
  <DocSecurity>0</DocSecurity>
  <Lines>0</Lines>
  <Paragraphs>0</Paragraphs>
  <ScaleCrop>false</ScaleCrop>
  <Company>UNMS</Company>
  <LinksUpToDate>false</LinksUpToDate>
  <CharactersWithSpaces>53807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Lubos Kubus</dc:creator>
  <cp:lastModifiedBy>Pankievičová Anežka</cp:lastModifiedBy>
  <cp:revision>2</cp:revision>
  <cp:lastPrinted>2017-06-19T10:02:00Z</cp:lastPrinted>
  <dcterms:created xsi:type="dcterms:W3CDTF">2017-11-10T09:41:00Z</dcterms:created>
  <dcterms:modified xsi:type="dcterms:W3CDTF">2017-11-10T09:41:00Z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COO.2145.1000.3.1987769</vt:lpwstr>
  </property>
  <property fmtid="{D5CDD505-2E9C-101B-9397-08002B2CF9AE}" pid="3" name="FSC#FSCFOLIO@1.1001:docpropproject">
    <vt:lpwstr/>
  </property>
  <property fmtid="{D5CDD505-2E9C-101B-9397-08002B2CF9AE}" pid="4" name="FSC#SKEDITIONSLOVLEX@103.510:aktualnyrok">
    <vt:lpwstr>2017</vt:lpwstr>
  </property>
  <property fmtid="{D5CDD505-2E9C-101B-9397-08002B2CF9AE}" pid="5" name="FSC#SKEDITIONSLOVLEX@103.510:AttrDateDocPropUkonceniePKK">
    <vt:lpwstr>29. 3. 2017</vt:lpwstr>
  </property>
  <property fmtid="{D5CDD505-2E9C-101B-9397-08002B2CF9AE}" pid="6" name="FSC#SKEDITIONSLOVLEX@103.510:AttrDateDocPropZaciatokPKK">
    <vt:lpwstr>7. 3. 2017</vt:lpwstr>
  </property>
  <property fmtid="{D5CDD505-2E9C-101B-9397-08002B2CF9AE}" pid="7" name="FSC#SKEDITIONSLOVLEX@103.510:AttrStrDocPropVplyvNaInformatizaciu">
    <vt:lpwstr>Žiadne</vt:lpwstr>
  </property>
  <property fmtid="{D5CDD505-2E9C-101B-9397-08002B2CF9AE}" pid="8" name="FSC#SKEDITIONSLOVLEX@103.510:AttrStrDocPropVplyvNaZivotProstr">
    <vt:lpwstr>Žiadne</vt:lpwstr>
  </property>
  <property fmtid="{D5CDD505-2E9C-101B-9397-08002B2CF9AE}" pid="9" name="FSC#SKEDITIONSLOVLEX@103.510:AttrStrDocPropVplyvPodnikatelskeProstr">
    <vt:lpwstr>Pozitívne</vt:lpwstr>
  </property>
  <property fmtid="{D5CDD505-2E9C-101B-9397-08002B2CF9AE}" pid="10" name="FSC#SKEDITIONSLOVLEX@103.510:AttrStrDocPropVplyvRozpocetVS">
    <vt:lpwstr>Žiadne</vt:lpwstr>
  </property>
  <property fmtid="{D5CDD505-2E9C-101B-9397-08002B2CF9AE}" pid="11" name="FSC#SKEDITIONSLOVLEX@103.510:AttrStrDocPropVplyvSocialny">
    <vt:lpwstr>Žiadne</vt:lpwstr>
  </property>
  <property fmtid="{D5CDD505-2E9C-101B-9397-08002B2CF9AE}" pid="12" name="FSC#SKEDITIONSLOVLEX@103.510:AttrStrListDocPropAltRiesenia">
    <vt:lpwstr>Alternatívne riešenia neboli zvažované.</vt:lpwstr>
  </property>
  <property fmtid="{D5CDD505-2E9C-101B-9397-08002B2CF9AE}" pid="13" name="FSC#SKEDITIONSLOVLEX@103.510:AttrStrListDocPropDopadyPrijatiaZmluvy">
    <vt:lpwstr/>
  </property>
  <property fmtid="{D5CDD505-2E9C-101B-9397-08002B2CF9AE}" pid="14" name="FSC#SKEDITIONSLOVLEX@103.510:AttrStrListDocPropGestorSpolupRezorty">
    <vt:lpwstr>Úrad pre normalizáciu, metrológiu a skúšobníctvo Slovenskej republiky
Ministerstvo hospodárstva Slovenskej republiky
Ministerstvo práce, sociálnych vecí a rodiny Slovenskej republiky</vt:lpwstr>
  </property>
  <property fmtid="{D5CDD505-2E9C-101B-9397-08002B2CF9AE}" pid="15" name="FSC#SKEDITIONSLOVLEX@103.510:AttrStrListDocPropInfoUzPreberanePP">
    <vt:lpwstr>zákon č. 51/2017 Z. z. ktorým sa mení a dopĺňa zákon č. 264/1999 Z. z. o technických požiadavkách na výrobky a o posudzovaní zhody a o zmene a doplnení niektorých zákonov v znení neskorších predpisov a ktorým sa menia a dopĺňajú niektoré zákony</vt:lpwstr>
  </property>
  <property fmtid="{D5CDD505-2E9C-101B-9397-08002B2CF9AE}" pid="16" name="FSC#SKEDITIONSLOVLEX@103.510:AttrStrListDocPropInfoZaciatokKonania">
    <vt:lpwstr>konanie nebolo začaté</vt:lpwstr>
  </property>
  <property fmtid="{D5CDD505-2E9C-101B-9397-08002B2CF9AE}" pid="17" name="FSC#SKEDITIONSLOVLEX@103.510:AttrStrListDocPropKategoriaZmluvy74">
    <vt:lpwstr/>
  </property>
  <property fmtid="{D5CDD505-2E9C-101B-9397-08002B2CF9AE}" pid="18" name="FSC#SKEDITIONSLOVLEX@103.510:AttrStrListDocPropKategoriaZmluvy75">
    <vt:lpwstr/>
  </property>
  <property fmtid="{D5CDD505-2E9C-101B-9397-08002B2CF9AE}" pid="19" name="FSC#SKEDITIONSLOVLEX@103.510:AttrStrListDocPropLehotaNaPredlozenie">
    <vt:lpwstr>nebola určená</vt:lpwstr>
  </property>
  <property fmtid="{D5CDD505-2E9C-101B-9397-08002B2CF9AE}" pid="20" name="FSC#SKEDITIONSLOVLEX@103.510:AttrStrListDocPropLehotaPrebratieSmernice">
    <vt:lpwstr>do 1. januára 2013 pri nariadení (EÚ) č.1025 /2012</vt:lpwstr>
  </property>
  <property fmtid="{D5CDD505-2E9C-101B-9397-08002B2CF9AE}" pid="21" name="FSC#SKEDITIONSLOVLEX@103.510:AttrStrListDocPropNazovPredpisuEU">
    <vt:lpwstr/>
  </property>
  <property fmtid="{D5CDD505-2E9C-101B-9397-08002B2CF9AE}" pid="22" name="FSC#SKEDITIONSLOVLEX@103.510:AttrStrListDocPropPoznamkaVplyv">
    <vt:lpwstr>Prijatím návrhu zákona nedôjde k úbytku príjmov rozpočtu verejnej správy a všetky výdavky vyplývajúce z predloženého návrhu zákona sú zabezpečené v rámci schváleného limitu výdavkov kapitoly Úradu pre normalizáciu, metrológiu a skúšobníctva Slovenskej rep</vt:lpwstr>
  </property>
  <property fmtid="{D5CDD505-2E9C-101B-9397-08002B2CF9AE}" pid="23" name="FSC#SKEDITIONSLOVLEX@103.510:AttrStrListDocPropPrimarnePravoEU">
    <vt:lpwstr>článok 114 Zmluvy o fungovaní Európskej únie</vt:lpwstr>
  </property>
  <property fmtid="{D5CDD505-2E9C-101B-9397-08002B2CF9AE}" pid="24" name="FSC#SKEDITIONSLOVLEX@103.510:AttrStrListDocPropProblematikaPPa">
    <vt:lpwstr>je upravená v práve Európskej únie</vt:lpwstr>
  </property>
  <property fmtid="{D5CDD505-2E9C-101B-9397-08002B2CF9AE}" pid="25" name="FSC#SKEDITIONSLOVLEX@103.510:AttrStrListDocPropProblematikaPPb">
    <vt:lpwstr>nie je obsiahnutá v judikatúre Súdneho dvora Európskej únie</vt:lpwstr>
  </property>
  <property fmtid="{D5CDD505-2E9C-101B-9397-08002B2CF9AE}" pid="26" name="FSC#SKEDITIONSLOVLEX@103.510:AttrStrListDocPropSekundarneLegPravoDO">
    <vt:lpwstr/>
  </property>
  <property fmtid="{D5CDD505-2E9C-101B-9397-08002B2CF9AE}" pid="27" name="FSC#SKEDITIONSLOVLEX@103.510:AttrStrListDocPropSekundarneLegPravoPO">
    <vt:lpwstr>nariadenie Európskeho parlamentu a Rady (EÚ) č. 1025/2012 z 25. októbra 2012 o európskej normalizácii, ktorým sa menia a dopĺňajú smernice Rady 89/686/EHS a 93/15/EHS a smernice Európskeho parlamentu a Rady 94/9/ES, 94/25/ES, 95/16/ES, 97/23/ES, 98/34/ES,</vt:lpwstr>
  </property>
  <property fmtid="{D5CDD505-2E9C-101B-9397-08002B2CF9AE}" pid="28" name="FSC#SKEDITIONSLOVLEX@103.510:AttrStrListDocPropSekundarneNelegPravoPO">
    <vt:lpwstr/>
  </property>
  <property fmtid="{D5CDD505-2E9C-101B-9397-08002B2CF9AE}" pid="29" name="FSC#SKEDITIONSLOVLEX@103.510:AttrStrListDocPropStanoviskoGest">
    <vt:lpwstr>Stála pracovná komisia na posudzovanie vybraných vplyvov vyjadrila k materiálu súhlasné stanovisko.</vt:lpwstr>
  </property>
  <property fmtid="{D5CDD505-2E9C-101B-9397-08002B2CF9AE}" pid="30" name="FSC#SKEDITIONSLOVLEX@103.510:AttrStrListDocPropStupenZlucitelnostiPP">
    <vt:lpwstr>úplný</vt:lpwstr>
  </property>
  <property fmtid="{D5CDD505-2E9C-101B-9397-08002B2CF9AE}" pid="31" name="FSC#SKEDITIONSLOVLEX@103.510:AttrStrListDocPropTextKomunike">
    <vt:lpwstr>Vláda Slovenskej republiky na svojom rokovaní dňa ....................... prerokovala a schválila návrh zákona o technickej normalizácii a o zmene zákona č. 264/1999 Z. z. o technických požiadavkách na výrobky a o posudzovaní zhody a o zmene a doplnení ni</vt:lpwstr>
  </property>
  <property fmtid="{D5CDD505-2E9C-101B-9397-08002B2CF9AE}" pid="32" name="FSC#SKEDITIONSLOVLEX@103.510:AttrStrListDocPropTextPredklSpravy">
    <vt:lpwstr>&lt;p style="text-align: justify;"&gt;Návrh zákona o&amp;nbsp;technickej normalizácii a&amp;nbsp;o&amp;nbsp;zmene zákona č. 264/1999 Z. z. o&amp;nbsp;technických požiadavkách na výrobky a&amp;nbsp;o&amp;nbsp;posudzovaní zhody a o zmene a doplnení niektorých zákonov v&amp;nbsp;znení neskor</vt:lpwstr>
  </property>
  <property fmtid="{D5CDD505-2E9C-101B-9397-08002B2CF9AE}" pid="33" name="FSC#SKEDITIONSLOVLEX@103.510:AttrStrListDocPropTextVseobPrilohy">
    <vt:lpwstr/>
  </property>
  <property fmtid="{D5CDD505-2E9C-101B-9397-08002B2CF9AE}" pid="34" name="FSC#SKEDITIONSLOVLEX@103.510:AttrStrListDocPropUcelPredmetZmluvy">
    <vt:lpwstr/>
  </property>
  <property fmtid="{D5CDD505-2E9C-101B-9397-08002B2CF9AE}" pid="35" name="FSC#SKEDITIONSLOVLEX@103.510:AttrStrListDocPropUpravaPravFOPRO">
    <vt:lpwstr/>
  </property>
  <property fmtid="{D5CDD505-2E9C-101B-9397-08002B2CF9AE}" pid="36" name="FSC#SKEDITIONSLOVLEX@103.510:AttrStrListDocPropUpravaPredmetuZmluvy">
    <vt:lpwstr/>
  </property>
  <property fmtid="{D5CDD505-2E9C-101B-9397-08002B2CF9AE}" pid="37" name="FSC#SKEDITIONSLOVLEX@103.510:AttrStrListDocPropUznesenieBODA1">
    <vt:lpwstr/>
  </property>
  <property fmtid="{D5CDD505-2E9C-101B-9397-08002B2CF9AE}" pid="38" name="FSC#SKEDITIONSLOVLEX@103.510:AttrStrListDocPropUznesenieBODA3">
    <vt:lpwstr/>
  </property>
  <property fmtid="{D5CDD505-2E9C-101B-9397-08002B2CF9AE}" pid="39" name="FSC#SKEDITIONSLOVLEX@103.510:AttrStrListDocPropUznesenieBODA4">
    <vt:lpwstr/>
  </property>
  <property fmtid="{D5CDD505-2E9C-101B-9397-08002B2CF9AE}" pid="40" name="FSC#SKEDITIONSLOVLEX@103.510:AttrStrListDocPropUznesenieBODB1">
    <vt:lpwstr/>
  </property>
  <property fmtid="{D5CDD505-2E9C-101B-9397-08002B2CF9AE}" pid="41" name="FSC#SKEDITIONSLOVLEX@103.510:AttrStrListDocPropUznesenieBODB2">
    <vt:lpwstr/>
  </property>
  <property fmtid="{D5CDD505-2E9C-101B-9397-08002B2CF9AE}" pid="42" name="FSC#SKEDITIONSLOVLEX@103.510:AttrStrListDocPropUznesenieBODB3">
    <vt:lpwstr/>
  </property>
  <property fmtid="{D5CDD505-2E9C-101B-9397-08002B2CF9AE}" pid="43" name="FSC#SKEDITIONSLOVLEX@103.510:AttrStrListDocPropUznesenieBODB4">
    <vt:lpwstr/>
  </property>
  <property fmtid="{D5CDD505-2E9C-101B-9397-08002B2CF9AE}" pid="44" name="FSC#SKEDITIONSLOVLEX@103.510:AttrStrListDocPropUznesenieBODC1">
    <vt:lpwstr/>
  </property>
  <property fmtid="{D5CDD505-2E9C-101B-9397-08002B2CF9AE}" pid="45" name="FSC#SKEDITIONSLOVLEX@103.510:AttrStrListDocPropUznesenieBODC2">
    <vt:lpwstr/>
  </property>
  <property fmtid="{D5CDD505-2E9C-101B-9397-08002B2CF9AE}" pid="46" name="FSC#SKEDITIONSLOVLEX@103.510:AttrStrListDocPropUznesenieBODC3">
    <vt:lpwstr/>
  </property>
  <property fmtid="{D5CDD505-2E9C-101B-9397-08002B2CF9AE}" pid="47" name="FSC#SKEDITIONSLOVLEX@103.510:AttrStrListDocPropUznesenieBODC4">
    <vt:lpwstr/>
  </property>
  <property fmtid="{D5CDD505-2E9C-101B-9397-08002B2CF9AE}" pid="48" name="FSC#SKEDITIONSLOVLEX@103.510:AttrStrListDocPropUznesenieBODD1">
    <vt:lpwstr/>
  </property>
  <property fmtid="{D5CDD505-2E9C-101B-9397-08002B2CF9AE}" pid="49" name="FSC#SKEDITIONSLOVLEX@103.510:AttrStrListDocPropUznesenieBODD2">
    <vt:lpwstr/>
  </property>
  <property fmtid="{D5CDD505-2E9C-101B-9397-08002B2CF9AE}" pid="50" name="FSC#SKEDITIONSLOVLEX@103.510:AttrStrListDocPropUznesenieBODD3">
    <vt:lpwstr/>
  </property>
  <property fmtid="{D5CDD505-2E9C-101B-9397-08002B2CF9AE}" pid="51" name="FSC#SKEDITIONSLOVLEX@103.510:AttrStrListDocPropUznesenieBODD4">
    <vt:lpwstr/>
  </property>
  <property fmtid="{D5CDD505-2E9C-101B-9397-08002B2CF9AE}" pid="52" name="FSC#SKEDITIONSLOVLEX@103.510:AttrStrListDocPropUznesenieCastA">
    <vt:lpwstr/>
  </property>
  <property fmtid="{D5CDD505-2E9C-101B-9397-08002B2CF9AE}" pid="53" name="FSC#SKEDITIONSLOVLEX@103.510:AttrStrListDocPropUznesenieCastB">
    <vt:lpwstr/>
  </property>
  <property fmtid="{D5CDD505-2E9C-101B-9397-08002B2CF9AE}" pid="54" name="FSC#SKEDITIONSLOVLEX@103.510:AttrStrListDocPropUznesenieCastC">
    <vt:lpwstr/>
  </property>
  <property fmtid="{D5CDD505-2E9C-101B-9397-08002B2CF9AE}" pid="55" name="FSC#SKEDITIONSLOVLEX@103.510:AttrStrListDocPropUznesenieCastD">
    <vt:lpwstr/>
  </property>
  <property fmtid="{D5CDD505-2E9C-101B-9397-08002B2CF9AE}" pid="56" name="FSC#SKEDITIONSLOVLEX@103.510:AttrStrListDocPropUznesenieNaVedomie">
    <vt:lpwstr>predseda Národnej rady Slovenskej republiky</vt:lpwstr>
  </property>
  <property fmtid="{D5CDD505-2E9C-101B-9397-08002B2CF9AE}" pid="57" name="FSC#SKEDITIONSLOVLEX@103.510:AttrStrListDocPropUznesenieTerminA1">
    <vt:lpwstr/>
  </property>
  <property fmtid="{D5CDD505-2E9C-101B-9397-08002B2CF9AE}" pid="58" name="FSC#SKEDITIONSLOVLEX@103.510:AttrStrListDocPropUznesenieTerminA2">
    <vt:lpwstr/>
  </property>
  <property fmtid="{D5CDD505-2E9C-101B-9397-08002B2CF9AE}" pid="59" name="FSC#SKEDITIONSLOVLEX@103.510:AttrStrListDocPropUznesenieTerminA3">
    <vt:lpwstr/>
  </property>
  <property fmtid="{D5CDD505-2E9C-101B-9397-08002B2CF9AE}" pid="60" name="FSC#SKEDITIONSLOVLEX@103.510:AttrStrListDocPropUznesenieTerminA4">
    <vt:lpwstr/>
  </property>
  <property fmtid="{D5CDD505-2E9C-101B-9397-08002B2CF9AE}" pid="61" name="FSC#SKEDITIONSLOVLEX@103.510:AttrStrListDocPropUznesenieTerminB1">
    <vt:lpwstr/>
  </property>
  <property fmtid="{D5CDD505-2E9C-101B-9397-08002B2CF9AE}" pid="62" name="FSC#SKEDITIONSLOVLEX@103.510:AttrStrListDocPropUznesenieTerminB2">
    <vt:lpwstr/>
  </property>
  <property fmtid="{D5CDD505-2E9C-101B-9397-08002B2CF9AE}" pid="63" name="FSC#SKEDITIONSLOVLEX@103.510:AttrStrListDocPropUznesenieTerminB3">
    <vt:lpwstr/>
  </property>
  <property fmtid="{D5CDD505-2E9C-101B-9397-08002B2CF9AE}" pid="64" name="FSC#SKEDITIONSLOVLEX@103.510:AttrStrListDocPropUznesenieTerminB4">
    <vt:lpwstr/>
  </property>
  <property fmtid="{D5CDD505-2E9C-101B-9397-08002B2CF9AE}" pid="65" name="FSC#SKEDITIONSLOVLEX@103.510:AttrStrListDocPropUznesenieTerminC1">
    <vt:lpwstr/>
  </property>
  <property fmtid="{D5CDD505-2E9C-101B-9397-08002B2CF9AE}" pid="66" name="FSC#SKEDITIONSLOVLEX@103.510:AttrStrListDocPropUznesenieTerminC2">
    <vt:lpwstr/>
  </property>
  <property fmtid="{D5CDD505-2E9C-101B-9397-08002B2CF9AE}" pid="67" name="FSC#SKEDITIONSLOVLEX@103.510:AttrStrListDocPropUznesenieTerminC3">
    <vt:lpwstr/>
  </property>
  <property fmtid="{D5CDD505-2E9C-101B-9397-08002B2CF9AE}" pid="68" name="FSC#SKEDITIONSLOVLEX@103.510:AttrStrListDocPropUznesenieTerminC4">
    <vt:lpwstr/>
  </property>
  <property fmtid="{D5CDD505-2E9C-101B-9397-08002B2CF9AE}" pid="69" name="FSC#SKEDITIONSLOVLEX@103.510:AttrStrListDocPropUznesenieTerminD1">
    <vt:lpwstr/>
  </property>
  <property fmtid="{D5CDD505-2E9C-101B-9397-08002B2CF9AE}" pid="70" name="FSC#SKEDITIONSLOVLEX@103.510:AttrStrListDocPropUznesenieTerminD2">
    <vt:lpwstr/>
  </property>
  <property fmtid="{D5CDD505-2E9C-101B-9397-08002B2CF9AE}" pid="71" name="FSC#SKEDITIONSLOVLEX@103.510:AttrStrListDocPropUznesenieTerminD3">
    <vt:lpwstr/>
  </property>
  <property fmtid="{D5CDD505-2E9C-101B-9397-08002B2CF9AE}" pid="72" name="FSC#SKEDITIONSLOVLEX@103.510:AttrStrListDocPropUznesenieTerminD4">
    <vt:lpwstr/>
  </property>
  <property fmtid="{D5CDD505-2E9C-101B-9397-08002B2CF9AE}" pid="73" name="FSC#SKEDITIONSLOVLEX@103.510:AttrStrListDocPropUznesenieTextA1">
    <vt:lpwstr/>
  </property>
  <property fmtid="{D5CDD505-2E9C-101B-9397-08002B2CF9AE}" pid="74" name="FSC#SKEDITIONSLOVLEX@103.510:AttrStrListDocPropUznesenieTextA2">
    <vt:lpwstr/>
  </property>
  <property fmtid="{D5CDD505-2E9C-101B-9397-08002B2CF9AE}" pid="75" name="FSC#SKEDITIONSLOVLEX@103.510:AttrStrListDocPropUznesenieTextA3">
    <vt:lpwstr/>
  </property>
  <property fmtid="{D5CDD505-2E9C-101B-9397-08002B2CF9AE}" pid="76" name="FSC#SKEDITIONSLOVLEX@103.510:AttrStrListDocPropUznesenieTextA4">
    <vt:lpwstr/>
  </property>
  <property fmtid="{D5CDD505-2E9C-101B-9397-08002B2CF9AE}" pid="77" name="FSC#SKEDITIONSLOVLEX@103.510:AttrStrListDocPropUznesenieTextB1">
    <vt:lpwstr/>
  </property>
  <property fmtid="{D5CDD505-2E9C-101B-9397-08002B2CF9AE}" pid="78" name="FSC#SKEDITIONSLOVLEX@103.510:AttrStrListDocPropUznesenieTextB2">
    <vt:lpwstr/>
  </property>
  <property fmtid="{D5CDD505-2E9C-101B-9397-08002B2CF9AE}" pid="79" name="FSC#SKEDITIONSLOVLEX@103.510:AttrStrListDocPropUznesenieTextB3">
    <vt:lpwstr/>
  </property>
  <property fmtid="{D5CDD505-2E9C-101B-9397-08002B2CF9AE}" pid="80" name="FSC#SKEDITIONSLOVLEX@103.510:AttrStrListDocPropUznesenieTextB4">
    <vt:lpwstr/>
  </property>
  <property fmtid="{D5CDD505-2E9C-101B-9397-08002B2CF9AE}" pid="81" name="FSC#SKEDITIONSLOVLEX@103.510:AttrStrListDocPropUznesenieTextC1">
    <vt:lpwstr/>
  </property>
  <property fmtid="{D5CDD505-2E9C-101B-9397-08002B2CF9AE}" pid="82" name="FSC#SKEDITIONSLOVLEX@103.510:AttrStrListDocPropUznesenieTextC2">
    <vt:lpwstr/>
  </property>
  <property fmtid="{D5CDD505-2E9C-101B-9397-08002B2CF9AE}" pid="83" name="FSC#SKEDITIONSLOVLEX@103.510:AttrStrListDocPropUznesenieTextC3">
    <vt:lpwstr/>
  </property>
  <property fmtid="{D5CDD505-2E9C-101B-9397-08002B2CF9AE}" pid="84" name="FSC#SKEDITIONSLOVLEX@103.510:AttrStrListDocPropUznesenieTextC4">
    <vt:lpwstr/>
  </property>
  <property fmtid="{D5CDD505-2E9C-101B-9397-08002B2CF9AE}" pid="85" name="FSC#SKEDITIONSLOVLEX@103.510:AttrStrListDocPropUznesenieTextD1">
    <vt:lpwstr/>
  </property>
  <property fmtid="{D5CDD505-2E9C-101B-9397-08002B2CF9AE}" pid="86" name="FSC#SKEDITIONSLOVLEX@103.510:AttrStrListDocPropUznesenieTextD2">
    <vt:lpwstr/>
  </property>
  <property fmtid="{D5CDD505-2E9C-101B-9397-08002B2CF9AE}" pid="87" name="FSC#SKEDITIONSLOVLEX@103.510:AttrStrListDocPropUznesenieTextD3">
    <vt:lpwstr/>
  </property>
  <property fmtid="{D5CDD505-2E9C-101B-9397-08002B2CF9AE}" pid="88" name="FSC#SKEDITIONSLOVLEX@103.510:AttrStrListDocPropUznesenieTextD4">
    <vt:lpwstr/>
  </property>
  <property fmtid="{D5CDD505-2E9C-101B-9397-08002B2CF9AE}" pid="89" name="FSC#SKEDITIONSLOVLEX@103.510:AttrStrListDocPropUznesenieVykonaju">
    <vt:lpwstr>predseda vlády Slovenskej republiky
minister hospodárstva Slovenskej republiky
predseda Úradu pre normalizáciu, metrológiu a skúšobníctvo Slovenskej republiky</vt:lpwstr>
  </property>
  <property fmtid="{D5CDD505-2E9C-101B-9397-08002B2CF9AE}" pid="90" name="FSC#SKEDITIONSLOVLEX@103.510:AttrStrListDocPropUznesenieZodpovednyA1">
    <vt:lpwstr/>
  </property>
  <property fmtid="{D5CDD505-2E9C-101B-9397-08002B2CF9AE}" pid="91" name="FSC#SKEDITIONSLOVLEX@103.510:AttrStrListDocPropUznesenieZodpovednyA2">
    <vt:lpwstr/>
  </property>
  <property fmtid="{D5CDD505-2E9C-101B-9397-08002B2CF9AE}" pid="92" name="FSC#SKEDITIONSLOVLEX@103.510:AttrStrListDocPropUznesenieZodpovednyA3">
    <vt:lpwstr/>
  </property>
  <property fmtid="{D5CDD505-2E9C-101B-9397-08002B2CF9AE}" pid="93" name="FSC#SKEDITIONSLOVLEX@103.510:AttrStrListDocPropUznesenieZodpovednyA4">
    <vt:lpwstr/>
  </property>
  <property fmtid="{D5CDD505-2E9C-101B-9397-08002B2CF9AE}" pid="94" name="FSC#SKEDITIONSLOVLEX@103.510:AttrStrListDocPropUznesenieZodpovednyB1">
    <vt:lpwstr/>
  </property>
  <property fmtid="{D5CDD505-2E9C-101B-9397-08002B2CF9AE}" pid="95" name="FSC#SKEDITIONSLOVLEX@103.510:AttrStrListDocPropUznesenieZodpovednyB2">
    <vt:lpwstr/>
  </property>
  <property fmtid="{D5CDD505-2E9C-101B-9397-08002B2CF9AE}" pid="96" name="FSC#SKEDITIONSLOVLEX@103.510:AttrStrListDocPropUznesenieZodpovednyB3">
    <vt:lpwstr/>
  </property>
  <property fmtid="{D5CDD505-2E9C-101B-9397-08002B2CF9AE}" pid="97" name="FSC#SKEDITIONSLOVLEX@103.510:AttrStrListDocPropUznesenieZodpovednyB4">
    <vt:lpwstr/>
  </property>
  <property fmtid="{D5CDD505-2E9C-101B-9397-08002B2CF9AE}" pid="98" name="FSC#SKEDITIONSLOVLEX@103.510:AttrStrListDocPropUznesenieZodpovednyC1">
    <vt:lpwstr/>
  </property>
  <property fmtid="{D5CDD505-2E9C-101B-9397-08002B2CF9AE}" pid="99" name="FSC#SKEDITIONSLOVLEX@103.510:AttrStrListDocPropUznesenieZodpovednyC2">
    <vt:lpwstr/>
  </property>
  <property fmtid="{D5CDD505-2E9C-101B-9397-08002B2CF9AE}" pid="100" name="FSC#SKEDITIONSLOVLEX@103.510:AttrStrListDocPropUznesenieZodpovednyC3">
    <vt:lpwstr/>
  </property>
  <property fmtid="{D5CDD505-2E9C-101B-9397-08002B2CF9AE}" pid="101" name="FSC#SKEDITIONSLOVLEX@103.510:AttrStrListDocPropUznesenieZodpovednyC4">
    <vt:lpwstr/>
  </property>
  <property fmtid="{D5CDD505-2E9C-101B-9397-08002B2CF9AE}" pid="102" name="FSC#SKEDITIONSLOVLEX@103.510:AttrStrListDocPropUznesenieZodpovednyD1">
    <vt:lpwstr/>
  </property>
  <property fmtid="{D5CDD505-2E9C-101B-9397-08002B2CF9AE}" pid="103" name="FSC#SKEDITIONSLOVLEX@103.510:AttrStrListDocPropUznesenieZodpovednyD2">
    <vt:lpwstr/>
  </property>
  <property fmtid="{D5CDD505-2E9C-101B-9397-08002B2CF9AE}" pid="104" name="FSC#SKEDITIONSLOVLEX@103.510:AttrStrListDocPropUznesenieZodpovednyD3">
    <vt:lpwstr/>
  </property>
  <property fmtid="{D5CDD505-2E9C-101B-9397-08002B2CF9AE}" pid="105" name="FSC#SKEDITIONSLOVLEX@103.510:AttrStrListDocPropUznesenieZodpovednyD4">
    <vt:lpwstr/>
  </property>
  <property fmtid="{D5CDD505-2E9C-101B-9397-08002B2CF9AE}" pid="106" name="FSC#SKEDITIONSLOVLEX@103.510:autorpredpis">
    <vt:lpwstr/>
  </property>
  <property fmtid="{D5CDD505-2E9C-101B-9397-08002B2CF9AE}" pid="107" name="FSC#SKEDITIONSLOVLEX@103.510:cislolp">
    <vt:lpwstr>LP/2017/145</vt:lpwstr>
  </property>
  <property fmtid="{D5CDD505-2E9C-101B-9397-08002B2CF9AE}" pid="108" name="FSC#SKEDITIONSLOVLEX@103.510:cisloparlamenttlac">
    <vt:lpwstr/>
  </property>
  <property fmtid="{D5CDD505-2E9C-101B-9397-08002B2CF9AE}" pid="109" name="FSC#SKEDITIONSLOVLEX@103.510:cislopartlac">
    <vt:lpwstr/>
  </property>
  <property fmtid="{D5CDD505-2E9C-101B-9397-08002B2CF9AE}" pid="110" name="FSC#SKEDITIONSLOVLEX@103.510:cislopredpis">
    <vt:lpwstr/>
  </property>
  <property fmtid="{D5CDD505-2E9C-101B-9397-08002B2CF9AE}" pid="111" name="FSC#SKEDITIONSLOVLEX@103.510:citaciapredpis">
    <vt:lpwstr/>
  </property>
  <property fmtid="{D5CDD505-2E9C-101B-9397-08002B2CF9AE}" pid="112" name="FSC#SKEDITIONSLOVLEX@103.510:dalsipredkladatel">
    <vt:lpwstr/>
  </property>
  <property fmtid="{D5CDD505-2E9C-101B-9397-08002B2CF9AE}" pid="113" name="FSC#SKEDITIONSLOVLEX@103.510:datumplatnosti">
    <vt:lpwstr/>
  </property>
  <property fmtid="{D5CDD505-2E9C-101B-9397-08002B2CF9AE}" pid="114" name="FSC#SKEDITIONSLOVLEX@103.510:datumschvalpredpis">
    <vt:lpwstr/>
  </property>
  <property fmtid="{D5CDD505-2E9C-101B-9397-08002B2CF9AE}" pid="115" name="FSC#SKEDITIONSLOVLEX@103.510:funkciaDalsiPred">
    <vt:lpwstr/>
  </property>
  <property fmtid="{D5CDD505-2E9C-101B-9397-08002B2CF9AE}" pid="116" name="FSC#SKEDITIONSLOVLEX@103.510:funkciaDalsiPredAkuzativ">
    <vt:lpwstr/>
  </property>
  <property fmtid="{D5CDD505-2E9C-101B-9397-08002B2CF9AE}" pid="117" name="FSC#SKEDITIONSLOVLEX@103.510:funkciaDalsiPredDativ">
    <vt:lpwstr/>
  </property>
  <property fmtid="{D5CDD505-2E9C-101B-9397-08002B2CF9AE}" pid="118" name="FSC#SKEDITIONSLOVLEX@103.510:funkciaPred">
    <vt:lpwstr>hlavný radca</vt:lpwstr>
  </property>
  <property fmtid="{D5CDD505-2E9C-101B-9397-08002B2CF9AE}" pid="119" name="FSC#SKEDITIONSLOVLEX@103.510:funkciaPredAkuzativ">
    <vt:lpwstr>hlavnému radcovi</vt:lpwstr>
  </property>
  <property fmtid="{D5CDD505-2E9C-101B-9397-08002B2CF9AE}" pid="120" name="FSC#SKEDITIONSLOVLEX@103.510:funkciaPredDativ">
    <vt:lpwstr>hlavného radcu</vt:lpwstr>
  </property>
  <property fmtid="{D5CDD505-2E9C-101B-9397-08002B2CF9AE}" pid="121" name="FSC#SKEDITIONSLOVLEX@103.510:funkciaZodpPred">
    <vt:lpwstr>predseda Úradu pre normalizáciu, metrológiu a skúšobníctvo Slovenskej republiky</vt:lpwstr>
  </property>
  <property fmtid="{D5CDD505-2E9C-101B-9397-08002B2CF9AE}" pid="122" name="FSC#SKEDITIONSLOVLEX@103.510:funkciaZodpPredAkuzativ">
    <vt:lpwstr>predsedovi Úradu pre normalizáciu, metrológiu a skúšobníctvo Slovenskej republiky</vt:lpwstr>
  </property>
  <property fmtid="{D5CDD505-2E9C-101B-9397-08002B2CF9AE}" pid="123" name="FSC#SKEDITIONSLOVLEX@103.510:funkciaZodpPredDativ">
    <vt:lpwstr>predsedu Úradu pre normalizáciu, metrológiu a skúšobníctvo Slovenskej republiky</vt:lpwstr>
  </property>
  <property fmtid="{D5CDD505-2E9C-101B-9397-08002B2CF9AE}" pid="124" name="FSC#SKEDITIONSLOVLEX@103.510:legoblast">
    <vt:lpwstr>Technické normy</vt:lpwstr>
  </property>
  <property fmtid="{D5CDD505-2E9C-101B-9397-08002B2CF9AE}" pid="125" name="FSC#SKEDITIONSLOVLEX@103.510:nazovpredpis">
    <vt:lpwstr> o technickej normalizácii a o zmene zákona č. 264/1999 Z. z. o technických požiadavkách na výrobky a o posudzovaní zhody a o zmene a doplnení niektorých zákonov v znení neskorších predpisov</vt:lpwstr>
  </property>
  <property fmtid="{D5CDD505-2E9C-101B-9397-08002B2CF9AE}" pid="126" name="FSC#SKEDITIONSLOVLEX@103.510:nazovpredpis1">
    <vt:lpwstr/>
  </property>
  <property fmtid="{D5CDD505-2E9C-101B-9397-08002B2CF9AE}" pid="127" name="FSC#SKEDITIONSLOVLEX@103.510:nazovpredpis2">
    <vt:lpwstr/>
  </property>
  <property fmtid="{D5CDD505-2E9C-101B-9397-08002B2CF9AE}" pid="128" name="FSC#SKEDITIONSLOVLEX@103.510:nazovpredpis3">
    <vt:lpwstr/>
  </property>
  <property fmtid="{D5CDD505-2E9C-101B-9397-08002B2CF9AE}" pid="129" name="FSC#SKEDITIONSLOVLEX@103.510:platnedo">
    <vt:lpwstr/>
  </property>
  <property fmtid="{D5CDD505-2E9C-101B-9397-08002B2CF9AE}" pid="130" name="FSC#SKEDITIONSLOVLEX@103.510:platneod">
    <vt:lpwstr/>
  </property>
  <property fmtid="{D5CDD505-2E9C-101B-9397-08002B2CF9AE}" pid="131" name="FSC#SKEDITIONSLOVLEX@103.510:plnynazovpredpis">
    <vt:lpwstr> Zákon o technickej normalizácii a o zmene zákona č. 264/1999 Z. z. o technických požiadavkách na výrobky a o posudzovaní zhody a o zmene a doplnení niektorých zákonov v znení neskorších predpisov</vt:lpwstr>
  </property>
  <property fmtid="{D5CDD505-2E9C-101B-9397-08002B2CF9AE}" pid="132" name="FSC#SKEDITIONSLOVLEX@103.510:plnynazovpredpis1">
    <vt:lpwstr/>
  </property>
  <property fmtid="{D5CDD505-2E9C-101B-9397-08002B2CF9AE}" pid="133" name="FSC#SKEDITIONSLOVLEX@103.510:plnynazovpredpis2">
    <vt:lpwstr/>
  </property>
  <property fmtid="{D5CDD505-2E9C-101B-9397-08002B2CF9AE}" pid="134" name="FSC#SKEDITIONSLOVLEX@103.510:plnynazovpredpis3">
    <vt:lpwstr/>
  </property>
  <property fmtid="{D5CDD505-2E9C-101B-9397-08002B2CF9AE}" pid="135" name="FSC#SKEDITIONSLOVLEX@103.510:podnetpredpis">
    <vt:lpwstr>úloha C.1. uznesenia vlády Slovenskej republiky č. 496/2016</vt:lpwstr>
  </property>
  <property fmtid="{D5CDD505-2E9C-101B-9397-08002B2CF9AE}" pid="136" name="FSC#SKEDITIONSLOVLEX@103.510:povodpredpis">
    <vt:lpwstr>Slovlex (eLeg)</vt:lpwstr>
  </property>
  <property fmtid="{D5CDD505-2E9C-101B-9397-08002B2CF9AE}" pid="137" name="FSC#SKEDITIONSLOVLEX@103.510:predkladatel">
    <vt:lpwstr>Mgr. Anežka Pankievičová</vt:lpwstr>
  </property>
  <property fmtid="{D5CDD505-2E9C-101B-9397-08002B2CF9AE}" pid="138" name="FSC#SKEDITIONSLOVLEX@103.510:predkladateliaObalSD">
    <vt:lpwstr>Ing. Pavol Pavlis
predseda Úradu pre normalizáciu, metrológiu a skúšobníctvo Slovenskej republiky</vt:lpwstr>
  </property>
  <property fmtid="{D5CDD505-2E9C-101B-9397-08002B2CF9AE}" pid="139" name="FSC#SKEDITIONSLOVLEX@103.510:pripomienkovatelia">
    <vt:lpwstr>Úrad pre normalizáciu, metrológiu a skúšobníctvo Slovenskej republiky, Úrad pre normalizáciu, metrológiu a skúšobníctvo Slovenskej republiky, Úrad pre normalizáciu, metrológiu a skúšobníctvo Slovenskej republiky, Úrad pre normalizáciu, metrológiu a skúšob</vt:lpwstr>
  </property>
  <property fmtid="{D5CDD505-2E9C-101B-9397-08002B2CF9AE}" pid="140" name="FSC#SKEDITIONSLOVLEX@103.510:rezortcislopredpis">
    <vt:lpwstr>2017/300/005243/01517</vt:lpwstr>
  </property>
  <property fmtid="{D5CDD505-2E9C-101B-9397-08002B2CF9AE}" pid="141" name="FSC#SKEDITIONSLOVLEX@103.510:spiscislouv">
    <vt:lpwstr/>
  </property>
  <property fmtid="{D5CDD505-2E9C-101B-9397-08002B2CF9AE}" pid="142" name="FSC#SKEDITIONSLOVLEX@103.510:spravaucastverej">
    <vt:lpwstr>Uvedená v nepovinných prílohách.</vt:lpwstr>
  </property>
  <property fmtid="{D5CDD505-2E9C-101B-9397-08002B2CF9AE}" pid="143" name="FSC#SKEDITIONSLOVLEX@103.510:stavpredpis">
    <vt:lpwstr>Vyhodnotenie medzirezortného pripomienkového konania</vt:lpwstr>
  </property>
  <property fmtid="{D5CDD505-2E9C-101B-9397-08002B2CF9AE}" pid="144" name="FSC#SKEDITIONSLOVLEX@103.510:typpredpis">
    <vt:lpwstr>Zákon</vt:lpwstr>
  </property>
  <property fmtid="{D5CDD505-2E9C-101B-9397-08002B2CF9AE}" pid="145" name="FSC#SKEDITIONSLOVLEX@103.510:typsprievdok">
    <vt:lpwstr>Dôvodová správa</vt:lpwstr>
  </property>
  <property fmtid="{D5CDD505-2E9C-101B-9397-08002B2CF9AE}" pid="146" name="FSC#SKEDITIONSLOVLEX@103.510:ucinnostdo">
    <vt:lpwstr/>
  </property>
  <property fmtid="{D5CDD505-2E9C-101B-9397-08002B2CF9AE}" pid="147" name="FSC#SKEDITIONSLOVLEX@103.510:ucinnostod">
    <vt:lpwstr/>
  </property>
  <property fmtid="{D5CDD505-2E9C-101B-9397-08002B2CF9AE}" pid="148" name="FSC#SKEDITIONSLOVLEX@103.510:uzemplat">
    <vt:lpwstr/>
  </property>
  <property fmtid="{D5CDD505-2E9C-101B-9397-08002B2CF9AE}" pid="149" name="FSC#SKEDITIONSLOVLEX@103.510:vztahypredpis">
    <vt:lpwstr/>
  </property>
  <property fmtid="{D5CDD505-2E9C-101B-9397-08002B2CF9AE}" pid="150" name="FSC#SKEDITIONSLOVLEX@103.510:zodpinstitucia">
    <vt:lpwstr>Úrad pre normalizáciu, metrológiu a skúšobníctvo Slovenskej republiky</vt:lpwstr>
  </property>
  <property fmtid="{D5CDD505-2E9C-101B-9397-08002B2CF9AE}" pid="151" name="FSC#SKEDITIONSLOVLEX@103.510:zodppredkladatel">
    <vt:lpwstr>Ing. Pavol Pavlis</vt:lpwstr>
  </property>
</Properties>
</file>