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9212" w:type="dxa"/>
            <w:shd w:val="clear" w:color="auto" w:fill="D9D9D9"/>
          </w:tcPr>
          <w:p w:rsidR="009F2DFA" w:rsidRPr="004B1592" w:rsidP="004B1592">
            <w:pPr>
              <w:jc w:val="center"/>
              <w:rPr>
                <w:b/>
                <w:sz w:val="24"/>
              </w:rPr>
            </w:pPr>
            <w:r w:rsidRPr="004B1592" w:rsidR="008A1252">
              <w:rPr>
                <w:b/>
                <w:sz w:val="28"/>
              </w:rPr>
              <w:t>Analýza v</w:t>
            </w:r>
            <w:r w:rsidRPr="004B1592">
              <w:rPr>
                <w:b/>
                <w:sz w:val="28"/>
              </w:rPr>
              <w:t>plyv</w:t>
            </w:r>
            <w:r w:rsidRPr="004B1592" w:rsidR="008A1252">
              <w:rPr>
                <w:b/>
                <w:sz w:val="28"/>
              </w:rPr>
              <w:t>ov</w:t>
            </w:r>
            <w:r w:rsidRPr="004B1592">
              <w:rPr>
                <w:b/>
                <w:sz w:val="28"/>
              </w:rPr>
              <w:t xml:space="preserve"> na podnikateľské prostredie </w:t>
            </w:r>
          </w:p>
          <w:p w:rsidR="009F2DFA" w:rsidRPr="004B1592" w:rsidP="004B1592">
            <w:pPr>
              <w:jc w:val="center"/>
              <w:rPr>
                <w:b/>
              </w:rPr>
            </w:pPr>
            <w:r w:rsidRPr="004B1592">
              <w:rPr>
                <w:b/>
                <w:sz w:val="24"/>
              </w:rPr>
              <w:t xml:space="preserve">(vrátane </w:t>
            </w:r>
            <w:r w:rsidRPr="004B1592" w:rsidR="00780BA6">
              <w:rPr>
                <w:b/>
                <w:sz w:val="24"/>
              </w:rPr>
              <w:t xml:space="preserve">testu </w:t>
            </w:r>
            <w:r w:rsidRPr="004B1592">
              <w:rPr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shd w:val="clear" w:color="auto" w:fill="D9D9D9"/>
          </w:tcPr>
          <w:p w:rsidR="009F2DFA" w:rsidRPr="004B1592" w:rsidP="001C55FA">
            <w:pPr>
              <w:rPr>
                <w:b/>
                <w:sz w:val="24"/>
              </w:rPr>
            </w:pPr>
            <w:r w:rsidRPr="004B1592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TableNormal"/>
              <w:tblW w:w="0" w:type="auto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shd w:val="clear" w:color="auto" w:fill="auto"/>
                </w:tcPr>
                <w:p w:rsidR="009F2DFA" w:rsidRPr="00F04CCD" w:rsidP="004B1592">
                  <w:pPr>
                    <w:jc w:val="center"/>
                  </w:pPr>
                  <w:r w:rsidRPr="004B1592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9F2DFA" w:rsidRPr="004B1592" w:rsidP="001C55FA">
                  <w:pPr>
                    <w:rPr>
                      <w:b/>
                    </w:rPr>
                  </w:pPr>
                  <w:r w:rsidRPr="004B1592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shd w:val="clear" w:color="auto" w:fill="auto"/>
                </w:tcPr>
                <w:p w:rsidR="009F2DFA" w:rsidRPr="00F04CCD" w:rsidP="004B1592">
                  <w:pPr>
                    <w:jc w:val="center"/>
                  </w:pPr>
                  <w:r w:rsidRPr="004B1592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9F2DFA" w:rsidRPr="004B1592" w:rsidP="001C55FA">
                  <w:pPr>
                    <w:rPr>
                      <w:b/>
                    </w:rPr>
                  </w:pPr>
                  <w:r w:rsidRPr="004B1592">
                    <w:rPr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shd w:val="clear" w:color="auto" w:fill="auto"/>
                </w:tcPr>
                <w:p w:rsidR="009F2DFA" w:rsidRPr="00F04CCD" w:rsidP="004B1592">
                  <w:pPr>
                    <w:jc w:val="center"/>
                  </w:pPr>
                  <w:r w:rsidRPr="004B1592" w:rsidR="0033015E">
                    <w:rPr>
                      <w:rFonts w:ascii="MS Gothic" w:eastAsia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9F2DFA" w:rsidRPr="00F04CCD" w:rsidP="001C55FA">
                  <w:r w:rsidRPr="004B1592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9F2DFA" w:rsidRPr="004B1592" w:rsidP="001C55FA">
            <w:pPr>
              <w:rPr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shd w:val="clear" w:color="auto" w:fill="D9D9D9"/>
          </w:tcPr>
          <w:p w:rsidR="009F2DFA" w:rsidRPr="004B1592" w:rsidP="001C55FA">
            <w:pPr>
              <w:rPr>
                <w:b/>
                <w:sz w:val="24"/>
              </w:rPr>
            </w:pPr>
            <w:r w:rsidRPr="004B1592" w:rsidR="002B1108">
              <w:rPr>
                <w:b/>
                <w:sz w:val="24"/>
              </w:rPr>
              <w:t>3</w:t>
            </w:r>
            <w:r w:rsidRPr="004B1592">
              <w:rPr>
                <w:b/>
                <w:sz w:val="24"/>
              </w:rPr>
              <w:t>.1 Dotknuté podnikateľské subjekty</w:t>
            </w:r>
          </w:p>
          <w:p w:rsidR="009F2DFA" w:rsidRPr="004B1592" w:rsidP="004B1592">
            <w:pPr>
              <w:ind w:left="284"/>
              <w:rPr>
                <w:b/>
              </w:rPr>
            </w:pPr>
            <w:r w:rsidRPr="004B1592">
              <w:rPr>
                <w:sz w:val="24"/>
              </w:rPr>
              <w:t xml:space="preserve"> - </w:t>
            </w:r>
            <w:r w:rsidRPr="004B1592">
              <w:rPr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Uveďte, aké podnikateľské subjekty budú predkladaným návrhom ovplyvnené.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F4159E" w:rsidRPr="0054205B" w:rsidP="00171A85">
            <w:pPr>
              <w:jc w:val="both"/>
              <w:rPr>
                <w:sz w:val="22"/>
                <w:szCs w:val="22"/>
              </w:rPr>
            </w:pPr>
            <w:r w:rsidRPr="00580E17" w:rsidR="00794808">
              <w:rPr>
                <w:sz w:val="24"/>
                <w:szCs w:val="22"/>
              </w:rPr>
              <w:t xml:space="preserve">Návrhom </w:t>
            </w:r>
            <w:r w:rsidRPr="00580E17" w:rsidR="0054205B">
              <w:rPr>
                <w:sz w:val="24"/>
                <w:szCs w:val="22"/>
              </w:rPr>
              <w:t xml:space="preserve">zákona </w:t>
            </w:r>
            <w:r w:rsidRPr="00580E17" w:rsidR="00794808">
              <w:rPr>
                <w:sz w:val="24"/>
                <w:szCs w:val="22"/>
              </w:rPr>
              <w:t>budú</w:t>
            </w:r>
            <w:r w:rsidRPr="00580E17" w:rsidR="00AD083C">
              <w:rPr>
                <w:sz w:val="24"/>
                <w:szCs w:val="22"/>
              </w:rPr>
              <w:t xml:space="preserve"> pozitívne</w:t>
            </w:r>
            <w:r w:rsidRPr="00580E17" w:rsidR="00794808">
              <w:rPr>
                <w:sz w:val="24"/>
                <w:szCs w:val="22"/>
              </w:rPr>
              <w:t xml:space="preserve"> </w:t>
            </w:r>
            <w:r w:rsidRPr="00580E17" w:rsidR="00AD083C">
              <w:rPr>
                <w:sz w:val="24"/>
                <w:szCs w:val="22"/>
              </w:rPr>
              <w:t xml:space="preserve">dotknuté </w:t>
            </w:r>
            <w:r w:rsidR="00580E17">
              <w:rPr>
                <w:sz w:val="24"/>
                <w:szCs w:val="22"/>
              </w:rPr>
              <w:t xml:space="preserve">všetky </w:t>
            </w:r>
            <w:r w:rsidRPr="00580E17" w:rsidR="00794808">
              <w:rPr>
                <w:sz w:val="24"/>
                <w:szCs w:val="22"/>
              </w:rPr>
              <w:t>podnikateľské subjekty</w:t>
            </w:r>
            <w:r w:rsidRPr="00580E17" w:rsidR="00AD083C">
              <w:rPr>
                <w:sz w:val="24"/>
                <w:szCs w:val="22"/>
              </w:rPr>
              <w:t xml:space="preserve"> s dôrazom na malé a stredné podniky</w:t>
            </w:r>
            <w:r w:rsidRPr="00580E17" w:rsidR="004D0A21">
              <w:rPr>
                <w:sz w:val="24"/>
                <w:szCs w:val="22"/>
              </w:rPr>
              <w:t xml:space="preserve">, </w:t>
            </w:r>
            <w:r w:rsidRPr="00580E17" w:rsidR="00794808">
              <w:rPr>
                <w:sz w:val="24"/>
                <w:szCs w:val="22"/>
              </w:rPr>
              <w:t>zamestn</w:t>
            </w:r>
            <w:r w:rsidRPr="00580E17" w:rsidR="00794808">
              <w:rPr>
                <w:sz w:val="24"/>
                <w:szCs w:val="22"/>
              </w:rPr>
              <w:t>ávatel</w:t>
            </w:r>
            <w:r w:rsidRPr="00580E17" w:rsidR="004D0A21">
              <w:rPr>
                <w:sz w:val="24"/>
                <w:szCs w:val="22"/>
              </w:rPr>
              <w:t>ia, podnikateľské subjekty v rôznych sektorových oblastiach od priemyselnej výroby až po cestovný ruch.</w:t>
            </w:r>
            <w:r w:rsidR="00171A85">
              <w:rPr>
                <w:sz w:val="24"/>
                <w:szCs w:val="22"/>
              </w:rPr>
              <w:t xml:space="preserve"> Presný počet dotknutých podnikateľských subjektov nie je možné určiť. 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/>
          </w:tcPr>
          <w:p w:rsidR="009F2DFA" w:rsidRPr="004B1592" w:rsidP="001C55FA">
            <w:pPr>
              <w:rPr>
                <w:b/>
                <w:sz w:val="24"/>
              </w:rPr>
            </w:pPr>
            <w:r w:rsidRPr="004B1592" w:rsidR="002B1108">
              <w:rPr>
                <w:b/>
                <w:sz w:val="24"/>
              </w:rPr>
              <w:t>3</w:t>
            </w:r>
            <w:r w:rsidRPr="004B1592">
              <w:rPr>
                <w:b/>
                <w:sz w:val="24"/>
              </w:rPr>
              <w:t>.2 Vyhodnotenie konzultácií</w:t>
            </w:r>
          </w:p>
          <w:p w:rsidR="009F2DFA" w:rsidRPr="004B1592" w:rsidP="001C55FA">
            <w:pPr>
              <w:rPr>
                <w:b/>
              </w:rPr>
            </w:pPr>
            <w:r w:rsidRPr="004B1592">
              <w:rPr>
                <w:sz w:val="24"/>
              </w:rPr>
              <w:t xml:space="preserve">       - </w:t>
            </w:r>
            <w:r w:rsidRPr="004B1592">
              <w:rPr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Uveďte, akou formou (verejné alebo cielené konzultácie a prečo) a s kým bol návrh konzultovaný.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Ako dlho trvali konzultácie?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6637B3" w:rsidP="00667153">
            <w:pPr>
              <w:jc w:val="both"/>
              <w:rPr>
                <w:sz w:val="24"/>
                <w:szCs w:val="22"/>
              </w:rPr>
            </w:pPr>
            <w:r w:rsidRPr="00DE4F44" w:rsidR="00DE4F44">
              <w:rPr>
                <w:sz w:val="24"/>
                <w:szCs w:val="22"/>
              </w:rPr>
              <w:t>Konzultácie na úrovni okresov sa konali od novembra 2016</w:t>
            </w:r>
            <w:r w:rsidR="00AA4C61">
              <w:rPr>
                <w:sz w:val="24"/>
                <w:szCs w:val="22"/>
              </w:rPr>
              <w:t xml:space="preserve"> za účasti expertnej skupiny pre podporu </w:t>
            </w:r>
            <w:r w:rsidR="00AA4C61">
              <w:rPr>
                <w:sz w:val="24"/>
                <w:szCs w:val="22"/>
              </w:rPr>
              <w:t>najmenej rozvinutých okresov</w:t>
            </w:r>
            <w:r w:rsidRPr="00DE4F44" w:rsidR="00DE4F44">
              <w:rPr>
                <w:sz w:val="24"/>
                <w:szCs w:val="22"/>
              </w:rPr>
              <w:t xml:space="preserve">. </w:t>
            </w:r>
            <w:r w:rsidRPr="00DE4F44" w:rsidR="003715FE">
              <w:rPr>
                <w:sz w:val="24"/>
                <w:szCs w:val="22"/>
              </w:rPr>
              <w:t>P</w:t>
            </w:r>
            <w:r w:rsidR="003715FE">
              <w:rPr>
                <w:sz w:val="24"/>
                <w:szCs w:val="22"/>
              </w:rPr>
              <w:t xml:space="preserve">racovné </w:t>
            </w:r>
            <w:r w:rsidR="00DE4F44">
              <w:rPr>
                <w:sz w:val="24"/>
                <w:szCs w:val="22"/>
              </w:rPr>
              <w:t>stretnutie sa konalo</w:t>
            </w:r>
            <w:r w:rsidRPr="00DE4F44" w:rsidR="00DE4F44">
              <w:rPr>
                <w:sz w:val="24"/>
                <w:szCs w:val="22"/>
              </w:rPr>
              <w:t xml:space="preserve"> </w:t>
            </w:r>
            <w:r w:rsidR="000948DD">
              <w:rPr>
                <w:sz w:val="24"/>
                <w:szCs w:val="22"/>
              </w:rPr>
              <w:t>aj</w:t>
            </w:r>
            <w:r w:rsidRPr="00DE4F44" w:rsidR="00DE4F44">
              <w:rPr>
                <w:sz w:val="24"/>
                <w:szCs w:val="22"/>
              </w:rPr>
              <w:t xml:space="preserve"> </w:t>
            </w:r>
            <w:r w:rsidR="00DE4F44">
              <w:rPr>
                <w:sz w:val="24"/>
                <w:szCs w:val="22"/>
              </w:rPr>
              <w:t xml:space="preserve">na úrovni Prešovského samosprávneho kraja </w:t>
            </w:r>
            <w:r w:rsidRPr="00DE4F44" w:rsidR="00DE4F44">
              <w:rPr>
                <w:sz w:val="24"/>
                <w:szCs w:val="22"/>
              </w:rPr>
              <w:t>so zástupcami najmenej rozvinutých okresov a</w:t>
            </w:r>
            <w:r w:rsidR="00DE4F44">
              <w:rPr>
                <w:sz w:val="24"/>
                <w:szCs w:val="22"/>
              </w:rPr>
              <w:t> tých o</w:t>
            </w:r>
            <w:r w:rsidRPr="00DE4F44" w:rsidR="00DE4F44">
              <w:rPr>
                <w:sz w:val="24"/>
                <w:szCs w:val="22"/>
              </w:rPr>
              <w:t>kresov, ktoré budú spadať do pôsobnosti zákona o podpore najmenej rozvinutých okresov po navrhovanýc</w:t>
            </w:r>
            <w:r w:rsidRPr="00DE4F44" w:rsidR="00DE4F44">
              <w:rPr>
                <w:sz w:val="24"/>
                <w:szCs w:val="22"/>
              </w:rPr>
              <w:t>h úpravách.</w:t>
            </w:r>
            <w:r w:rsidR="00DE4F44">
              <w:rPr>
                <w:sz w:val="24"/>
                <w:szCs w:val="22"/>
              </w:rPr>
              <w:t xml:space="preserve"> Účastníkmi stretnutí boli aj zástupcovia podnikateľského prostredia z dotknutých okresov. </w:t>
            </w:r>
          </w:p>
          <w:p w:rsidR="00DE4F44" w:rsidP="00667153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Podnikateľské subjekty</w:t>
            </w:r>
            <w:r w:rsidR="00E26D19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vyjadrili jednoznačnú podporu rozšírenia počtu okresov, v ktorých sa cielenými opatreniami zvýši ich konkurencieschopnosť a atraktívnosť týchto regiónov</w:t>
            </w:r>
            <w:r w:rsidR="00E26D19">
              <w:rPr>
                <w:sz w:val="24"/>
                <w:szCs w:val="22"/>
              </w:rPr>
              <w:t xml:space="preserve"> pre prílev nových investícii. Niektoré navrhované zmeny vyplynuli aj z požiadaviek a podnetov dotknutých subjektov. </w:t>
            </w:r>
          </w:p>
          <w:p w:rsidR="00757CD5" w:rsidP="00667153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Verejnosť bola informovaná o konkrétnych cieľoch navrhovanej právnej úpravy</w:t>
            </w:r>
            <w:r w:rsidR="00440C65">
              <w:rPr>
                <w:sz w:val="24"/>
                <w:szCs w:val="22"/>
              </w:rPr>
              <w:t xml:space="preserve"> aj</w:t>
            </w:r>
            <w:r>
              <w:rPr>
                <w:sz w:val="24"/>
                <w:szCs w:val="22"/>
              </w:rPr>
              <w:t xml:space="preserve"> prostredníctvom zverejnenia predbežnej informácie o príprave materiálu.</w:t>
            </w:r>
          </w:p>
          <w:p w:rsidR="00DE4F44" w:rsidRPr="00DE4F44" w:rsidP="00667153"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shd w:val="clear" w:color="auto" w:fill="D9D9D9"/>
          </w:tcPr>
          <w:p w:rsidR="009F2DFA" w:rsidRPr="004B1592" w:rsidP="001C55FA">
            <w:pPr>
              <w:rPr>
                <w:b/>
                <w:sz w:val="24"/>
              </w:rPr>
            </w:pPr>
            <w:r w:rsidRPr="004B1592" w:rsidR="002B1108">
              <w:rPr>
                <w:b/>
                <w:sz w:val="24"/>
              </w:rPr>
              <w:t>3</w:t>
            </w:r>
            <w:r w:rsidRPr="004B1592">
              <w:rPr>
                <w:b/>
                <w:sz w:val="24"/>
              </w:rPr>
              <w:t>.3 Náklady regulácie</w:t>
            </w:r>
          </w:p>
          <w:p w:rsidR="009F2DFA" w:rsidRPr="004B1592" w:rsidP="001C55FA">
            <w:pPr>
              <w:rPr>
                <w:b/>
              </w:rPr>
            </w:pPr>
            <w:r w:rsidRPr="004B1592">
              <w:rPr>
                <w:sz w:val="24"/>
              </w:rPr>
              <w:t xml:space="preserve">      - </w:t>
            </w:r>
            <w:r w:rsidRPr="004B1592">
              <w:rPr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b/>
                <w:i/>
              </w:rPr>
            </w:pPr>
            <w:r w:rsidRPr="004B1592" w:rsidR="002B1108">
              <w:rPr>
                <w:b/>
                <w:i/>
              </w:rPr>
              <w:t>3</w:t>
            </w:r>
            <w:r w:rsidRPr="004B1592">
              <w:rPr>
                <w:b/>
                <w:i/>
              </w:rPr>
              <w:t>.3.1 Priame finančné náklady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580E17" w:rsidP="001C55FA">
            <w:pPr>
              <w:rPr>
                <w:sz w:val="22"/>
                <w:szCs w:val="22"/>
              </w:rPr>
            </w:pPr>
            <w:r w:rsidRPr="00580E17" w:rsidR="00580E17">
              <w:rPr>
                <w:sz w:val="24"/>
                <w:szCs w:val="22"/>
              </w:rPr>
              <w:t xml:space="preserve">Návrh nebude mať vplyv na zvýšenie ani na zníženie priamych finančných nákladov.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b/>
                <w:i/>
              </w:rPr>
            </w:pPr>
            <w:r w:rsidRPr="004B1592" w:rsidR="002B1108">
              <w:rPr>
                <w:b/>
                <w:i/>
              </w:rPr>
              <w:t>3</w:t>
            </w:r>
            <w:r w:rsidRPr="004B1592">
              <w:rPr>
                <w:b/>
                <w:i/>
              </w:rPr>
              <w:t>.3.2 Nepriame finančné náklady</w:t>
            </w:r>
          </w:p>
          <w:p w:rsidR="009F2DFA" w:rsidRPr="004B1592" w:rsidP="00B31A8E">
            <w:pPr>
              <w:rPr>
                <w:i/>
              </w:rPr>
            </w:pPr>
            <w:r w:rsidRPr="004B1592">
              <w:rPr>
                <w:i/>
              </w:rPr>
              <w:t xml:space="preserve">Vyžaduje si predkladaný návrh dodatočné náklady na nákup tovarov alebo služieb? </w:t>
            </w:r>
            <w:r w:rsidRPr="004B1592" w:rsidR="00B31A8E">
              <w:rPr>
                <w:i/>
              </w:rPr>
              <w:t>Zvyšuje predkladaný návrh náklady súvisiace so zam</w:t>
            </w:r>
            <w:r w:rsidRPr="004B1592" w:rsidR="00B31A8E">
              <w:rPr>
                <w:i/>
              </w:rPr>
              <w:t xml:space="preserve">estnávaním? </w:t>
            </w:r>
            <w:r w:rsidRPr="004B1592">
              <w:rPr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CF6C02" w:rsidP="00580E17">
            <w:pPr>
              <w:rPr>
                <w:b/>
                <w:i/>
                <w:sz w:val="22"/>
              </w:rPr>
            </w:pPr>
            <w:r w:rsidRPr="00CF6C02" w:rsidR="00CF6C02">
              <w:rPr>
                <w:sz w:val="24"/>
                <w:szCs w:val="22"/>
              </w:rPr>
              <w:t>Predkladaný návrh nevyžaduje dodatočné náklady na nákup tovarov a služieb. Návrh nebude mať vplyv na zvýšenie ani zníženie nepriamych finančných nákladov.</w:t>
            </w:r>
          </w:p>
          <w:p w:rsidR="009F2DFA" w:rsidRPr="004B1592" w:rsidP="001C55FA">
            <w:pPr>
              <w:rPr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b/>
                <w:i/>
              </w:rPr>
            </w:pPr>
            <w:r w:rsidRPr="004B1592" w:rsidR="002B1108">
              <w:rPr>
                <w:b/>
                <w:i/>
              </w:rPr>
              <w:t>3</w:t>
            </w:r>
            <w:r w:rsidRPr="004B1592">
              <w:rPr>
                <w:b/>
                <w:i/>
              </w:rPr>
              <w:t>.3.3 Administratívne</w:t>
            </w:r>
            <w:r w:rsidRPr="004B1592">
              <w:rPr>
                <w:b/>
                <w:i/>
              </w:rPr>
              <w:t xml:space="preserve"> náklady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</w:t>
            </w:r>
            <w:r w:rsidRPr="004B1592">
              <w:rPr>
                <w:i/>
              </w:rPr>
              <w:t>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P="00F14298">
            <w:pPr>
              <w:jc w:val="both"/>
              <w:rPr>
                <w:color w:val="000000"/>
                <w:sz w:val="24"/>
                <w:szCs w:val="22"/>
              </w:rPr>
            </w:pPr>
            <w:r w:rsidR="00580E17">
              <w:rPr>
                <w:sz w:val="24"/>
                <w:szCs w:val="22"/>
              </w:rPr>
              <w:t>Nedochádza k zavedeniu nových informačných povinností, žiadatelia o regionálny príspevok budú mať náklady, ktoré však budú kompenzované, alebo prevýšené vyššie uvedenými prínosmi</w:t>
            </w:r>
            <w:r w:rsidR="00F14298">
              <w:rPr>
                <w:sz w:val="24"/>
                <w:szCs w:val="22"/>
              </w:rPr>
              <w:t xml:space="preserve"> a technickou podporou v zmysle </w:t>
            </w:r>
            <w:r w:rsidR="009D76B0">
              <w:rPr>
                <w:sz w:val="24"/>
                <w:szCs w:val="22"/>
              </w:rPr>
              <w:t>§ 7 zákona č. 336/2015 Z. z. o podpore najmenej rozvinutých okresov v znení zákona č. 378/2016 Z. z</w:t>
            </w:r>
            <w:r w:rsidR="00580E17">
              <w:rPr>
                <w:sz w:val="24"/>
                <w:szCs w:val="22"/>
              </w:rPr>
              <w:t xml:space="preserve">. </w:t>
            </w:r>
          </w:p>
          <w:p w:rsidR="006F2C9C" w:rsidRPr="00844484" w:rsidP="003715FE">
            <w:pPr>
              <w:jc w:val="both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i/>
              </w:rPr>
            </w:pPr>
            <w:r w:rsidRPr="004B1592" w:rsidR="002B1108">
              <w:rPr>
                <w:b/>
                <w:i/>
              </w:rPr>
              <w:t>3</w:t>
            </w:r>
            <w:r w:rsidRPr="004B1592">
              <w:rPr>
                <w:b/>
                <w:i/>
              </w:rPr>
              <w:t>.3.4 Súhrnná tabuľka nákladov regulácie</w:t>
            </w:r>
          </w:p>
          <w:p w:rsidR="009F2DFA" w:rsidRPr="004B1592" w:rsidP="001C55FA">
            <w:pPr>
              <w:rPr>
                <w:i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2993" w:type="dxa"/>
                  <w:shd w:val="clear" w:color="auto" w:fill="auto"/>
                </w:tcPr>
                <w:p w:rsidR="009F2DFA" w:rsidRPr="004B1592" w:rsidP="001C55FA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4B1592" w:rsidP="004B1592">
                  <w:pPr>
                    <w:jc w:val="center"/>
                    <w:rPr>
                      <w:i/>
                    </w:rPr>
                  </w:pPr>
                  <w:r w:rsidRPr="004B1592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4B1592" w:rsidP="004B1592">
                  <w:pPr>
                    <w:jc w:val="center"/>
                    <w:rPr>
                      <w:i/>
                    </w:rPr>
                  </w:pPr>
                  <w:r w:rsidRPr="004B1592">
                    <w:rPr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shd w:val="clear" w:color="auto" w:fill="auto"/>
                </w:tcPr>
                <w:p w:rsidR="009F2DFA" w:rsidRPr="004B1592" w:rsidP="001C55FA">
                  <w:pPr>
                    <w:rPr>
                      <w:i/>
                    </w:rPr>
                  </w:pPr>
                  <w:r w:rsidRPr="004B1592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i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shd w:val="clear" w:color="auto" w:fill="auto"/>
                </w:tcPr>
                <w:p w:rsidR="009F2DFA" w:rsidRPr="004B1592" w:rsidP="001C55FA">
                  <w:pPr>
                    <w:rPr>
                      <w:i/>
                    </w:rPr>
                  </w:pPr>
                  <w:r w:rsidRPr="004B1592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i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shd w:val="clear" w:color="auto" w:fill="auto"/>
                </w:tcPr>
                <w:p w:rsidR="009F2DFA" w:rsidRPr="004B1592" w:rsidP="001C55FA">
                  <w:pPr>
                    <w:rPr>
                      <w:i/>
                    </w:rPr>
                  </w:pPr>
                  <w:r w:rsidRPr="004B1592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i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shd w:val="clear" w:color="auto" w:fill="auto"/>
                </w:tcPr>
                <w:p w:rsidR="009F2DFA" w:rsidRPr="004B1592" w:rsidP="001C55FA">
                  <w:pPr>
                    <w:rPr>
                      <w:b/>
                      <w:i/>
                    </w:rPr>
                  </w:pPr>
                  <w:r w:rsidRPr="004B1592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994" w:type="dxa"/>
                  <w:shd w:val="clear" w:color="auto" w:fill="auto"/>
                </w:tcPr>
                <w:p w:rsidR="009F2DFA" w:rsidRPr="00B57927" w:rsidP="004B1592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</w:tbl>
          <w:p w:rsidR="009F2DFA" w:rsidRPr="004B1592" w:rsidP="001C55FA">
            <w:pPr>
              <w:rPr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shd w:val="clear" w:color="auto" w:fill="D9D9D9"/>
          </w:tcPr>
          <w:p w:rsidR="009F2DFA" w:rsidRPr="004B1592" w:rsidP="001C55FA">
            <w:pPr>
              <w:rPr>
                <w:b/>
                <w:sz w:val="24"/>
              </w:rPr>
            </w:pPr>
            <w:r w:rsidRPr="004B1592" w:rsidR="002B1108">
              <w:rPr>
                <w:b/>
                <w:sz w:val="24"/>
              </w:rPr>
              <w:t>3</w:t>
            </w:r>
            <w:r w:rsidRPr="004B1592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P="001C55FA">
            <w:r w:rsidRPr="004B1592">
              <w:rPr>
                <w:b/>
                <w:sz w:val="24"/>
              </w:rPr>
              <w:t xml:space="preserve">       </w:t>
            </w:r>
            <w:r w:rsidRPr="004B1592">
              <w:rPr>
                <w:sz w:val="24"/>
              </w:rPr>
              <w:t xml:space="preserve">- </w:t>
            </w:r>
            <w:r w:rsidRPr="004B1592">
              <w:rPr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B3280D" w:rsidP="00B3280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ovplyvní prístup k financiám pre podnikateľov tým, že umožní podnikateľom z najmenej rozvinutých okresov žiadať o regionálny príspevok</w:t>
            </w:r>
            <w:r w:rsidR="009D76B0">
              <w:rPr>
                <w:rFonts w:ascii="Times New Roman" w:hAnsi="Times New Roman"/>
                <w:sz w:val="24"/>
              </w:rPr>
              <w:t xml:space="preserve"> a uľahčí im prístup k technickej </w:t>
            </w:r>
            <w:r w:rsidRPr="009D76B0" w:rsidR="009D76B0">
              <w:rPr>
                <w:rFonts w:ascii="Times" w:hAnsi="Times" w:cs="Times"/>
                <w:sz w:val="24"/>
              </w:rPr>
              <w:t>podpore v zmysle § 7 zákona č. 336/2015 Z. z. o podpore najmenej rozvinutých okresov v znení zákona č. 378/2016 Z. z</w:t>
            </w:r>
            <w:r w:rsidRPr="009D76B0">
              <w:rPr>
                <w:rFonts w:ascii="Times" w:hAnsi="Times" w:cs="Times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Vďaka prístupu k financiám sa podnikateľom zvýši konkurencieschopnosť podnikateľov z najmenej rozvinutých okresov v dôsledku napr. rozšírenia výroby, zavedenia novej výroby a služieb.</w:t>
            </w:r>
          </w:p>
          <w:p w:rsidR="00E26D19" w:rsidRPr="00B57927" w:rsidP="00757CD5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Návrh </w:t>
            </w:r>
            <w:r w:rsidR="00757CD5">
              <w:rPr>
                <w:rFonts w:ascii="Times New Roman" w:hAnsi="Times New Roman"/>
                <w:sz w:val="24"/>
              </w:rPr>
              <w:t>zatraktívni ďalšie najmenej rozvinuté okresy pre všetkých investorov tým, že rozšíri možnosti čerpania rôznych foriem podpory.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shd w:val="clear" w:color="auto" w:fill="D9D9D9"/>
          </w:tcPr>
          <w:p w:rsidR="009F2DFA" w:rsidRPr="004B1592" w:rsidP="001C55FA">
            <w:pPr>
              <w:rPr>
                <w:b/>
                <w:sz w:val="24"/>
              </w:rPr>
            </w:pPr>
            <w:r w:rsidRPr="004B1592" w:rsidR="002B1108">
              <w:rPr>
                <w:b/>
                <w:sz w:val="24"/>
              </w:rPr>
              <w:t>3</w:t>
            </w:r>
            <w:r w:rsidRPr="004B1592">
              <w:rPr>
                <w:b/>
                <w:sz w:val="24"/>
              </w:rPr>
              <w:t xml:space="preserve">.5 Inovácie </w:t>
            </w:r>
          </w:p>
          <w:p w:rsidR="009F2DFA" w:rsidRPr="004B1592" w:rsidP="001C55FA">
            <w:pPr>
              <w:rPr>
                <w:b/>
              </w:rPr>
            </w:pPr>
            <w:r w:rsidRPr="004B1592">
              <w:rPr>
                <w:sz w:val="24"/>
              </w:rPr>
              <w:t xml:space="preserve">       - </w:t>
            </w:r>
            <w:r w:rsidRPr="004B1592">
              <w:rPr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Uveďte, ako podporuje navrhovaná zmena inovácie.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 xml:space="preserve">Uveďte, ako vplýva navrhovaná zmena na </w:t>
            </w:r>
            <w:r w:rsidRPr="004B1592" w:rsidR="00904C9B">
              <w:rPr>
                <w:i/>
              </w:rPr>
              <w:t xml:space="preserve">jednotlivé </w:t>
            </w:r>
            <w:r w:rsidRPr="004B1592">
              <w:rPr>
                <w:i/>
              </w:rPr>
              <w:t>práva duševného vlastníctva (</w:t>
            </w:r>
            <w:r w:rsidRPr="004B1592" w:rsidR="00904C9B">
              <w:rPr>
                <w:i/>
              </w:rPr>
              <w:t xml:space="preserve">napr. </w:t>
            </w:r>
            <w:r w:rsidRPr="004B1592">
              <w:rPr>
                <w:i/>
              </w:rPr>
              <w:t xml:space="preserve">patenty, ochranné známky, </w:t>
            </w:r>
            <w:r w:rsidRPr="004B1592" w:rsidR="00904C9B">
              <w:rPr>
                <w:i/>
              </w:rPr>
              <w:t>autorské práva</w:t>
            </w:r>
            <w:r w:rsidRPr="004B1592">
              <w:rPr>
                <w:i/>
              </w:rPr>
              <w:t>, vlastníctvo know-how).</w:t>
            </w:r>
          </w:p>
          <w:p w:rsidR="009F2DFA" w:rsidRPr="004B1592" w:rsidP="001C55FA">
            <w:pPr>
              <w:rPr>
                <w:i/>
              </w:rPr>
            </w:pPr>
            <w:r w:rsidRPr="004B1592">
              <w:rPr>
                <w:i/>
              </w:rPr>
              <w:t>Podporuje vyššiu efektivitu výroby/využívania zdrojov? Ak áno, ako?</w:t>
            </w:r>
          </w:p>
          <w:p w:rsidR="00837639" w:rsidRPr="00F04CCD" w:rsidP="001C55FA">
            <w:r w:rsidRPr="004B1592">
              <w:rPr>
                <w:i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shd w:val="clear" w:color="auto" w:fill="auto"/>
          </w:tcPr>
          <w:p w:rsidR="006B6B02" w:rsidRPr="00B57927" w:rsidP="00757CD5">
            <w:pPr>
              <w:jc w:val="both"/>
              <w:rPr>
                <w:bCs/>
                <w:sz w:val="22"/>
                <w:szCs w:val="22"/>
              </w:rPr>
            </w:pPr>
            <w:r w:rsidRPr="00B3280D" w:rsidR="00B3280D">
              <w:rPr>
                <w:bCs/>
                <w:sz w:val="24"/>
                <w:szCs w:val="22"/>
              </w:rPr>
              <w:t xml:space="preserve">V Akčnom pláne rozvoja okresu </w:t>
            </w:r>
            <w:r w:rsidR="006C7483">
              <w:rPr>
                <w:bCs/>
                <w:sz w:val="24"/>
                <w:szCs w:val="22"/>
              </w:rPr>
              <w:t>(</w:t>
            </w:r>
            <w:r w:rsidR="00E26D19">
              <w:rPr>
                <w:bCs/>
                <w:sz w:val="24"/>
                <w:szCs w:val="22"/>
              </w:rPr>
              <w:t>ako implementačn</w:t>
            </w:r>
            <w:r w:rsidR="006C7483">
              <w:rPr>
                <w:bCs/>
                <w:sz w:val="24"/>
                <w:szCs w:val="22"/>
              </w:rPr>
              <w:t>ý</w:t>
            </w:r>
            <w:r w:rsidR="00E26D19">
              <w:rPr>
                <w:bCs/>
                <w:sz w:val="24"/>
                <w:szCs w:val="22"/>
              </w:rPr>
              <w:t xml:space="preserve"> nástr</w:t>
            </w:r>
            <w:r w:rsidR="006C7483">
              <w:rPr>
                <w:bCs/>
                <w:sz w:val="24"/>
                <w:szCs w:val="22"/>
              </w:rPr>
              <w:t>oj</w:t>
            </w:r>
            <w:r w:rsidR="00E26D19">
              <w:rPr>
                <w:bCs/>
                <w:sz w:val="24"/>
                <w:szCs w:val="22"/>
              </w:rPr>
              <w:t xml:space="preserve"> zákona</w:t>
            </w:r>
            <w:r w:rsidR="006C7483">
              <w:rPr>
                <w:bCs/>
                <w:sz w:val="24"/>
                <w:szCs w:val="22"/>
              </w:rPr>
              <w:t>)</w:t>
            </w:r>
            <w:r w:rsidR="00E26D19">
              <w:rPr>
                <w:bCs/>
                <w:sz w:val="24"/>
                <w:szCs w:val="22"/>
              </w:rPr>
              <w:t xml:space="preserve"> </w:t>
            </w:r>
            <w:r w:rsidRPr="00B3280D" w:rsidR="00B3280D">
              <w:rPr>
                <w:bCs/>
                <w:sz w:val="24"/>
                <w:szCs w:val="22"/>
              </w:rPr>
              <w:t xml:space="preserve">je </w:t>
            </w:r>
            <w:r w:rsidR="00B3280D">
              <w:rPr>
                <w:bCs/>
                <w:sz w:val="24"/>
                <w:szCs w:val="22"/>
              </w:rPr>
              <w:t xml:space="preserve">zakotvená </w:t>
            </w:r>
            <w:r w:rsidRPr="00B3280D" w:rsidR="00B3280D">
              <w:rPr>
                <w:bCs/>
                <w:sz w:val="24"/>
                <w:szCs w:val="22"/>
              </w:rPr>
              <w:t xml:space="preserve">analýza dostupných zdrojov na území okresu a návrh ich efektívneho využitia formou opatrení a indikatívneho zoznamu projektových zámerov. </w:t>
            </w:r>
          </w:p>
        </w:tc>
      </w:tr>
    </w:tbl>
    <w:p w:rsidR="009F2DFA" w:rsidRPr="00F04CCD" w:rsidP="009F2DFA"/>
    <w:p w:rsidR="009F2DFA" w:rsidP="009F2DFA"/>
    <w:p w:rsidR="009F2DFA" w:rsidP="009F2DFA"/>
    <w:p w:rsidR="009F2DFA" w:rsidP="009F2DFA"/>
    <w:p w:rsidR="009F2DFA" w:rsidP="009F2DFA"/>
    <w:p w:rsidR="009F2DFA" w:rsidP="00AA38D7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948DD">
      <w:rPr>
        <w:noProof/>
      </w:rPr>
      <w:t>1</w:t>
    </w:r>
    <w:r>
      <w:fldChar w:fldCharType="end"/>
    </w:r>
  </w:p>
  <w:p w:rsidR="009F2DF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D2CB5"/>
    <w:multiLevelType w:val="hybridMultilevel"/>
    <w:tmpl w:val="A3F20A6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C13"/>
    <w:rsid w:val="000948DD"/>
    <w:rsid w:val="000A15AE"/>
    <w:rsid w:val="000C2B8C"/>
    <w:rsid w:val="00122A73"/>
    <w:rsid w:val="00135C1F"/>
    <w:rsid w:val="0014049D"/>
    <w:rsid w:val="00154881"/>
    <w:rsid w:val="00155F98"/>
    <w:rsid w:val="00171A85"/>
    <w:rsid w:val="00192969"/>
    <w:rsid w:val="001C28D4"/>
    <w:rsid w:val="001C55FA"/>
    <w:rsid w:val="002241C4"/>
    <w:rsid w:val="002B1108"/>
    <w:rsid w:val="002B17D8"/>
    <w:rsid w:val="00320477"/>
    <w:rsid w:val="0033015E"/>
    <w:rsid w:val="003715FE"/>
    <w:rsid w:val="00404255"/>
    <w:rsid w:val="00440C65"/>
    <w:rsid w:val="004B1592"/>
    <w:rsid w:val="004B720C"/>
    <w:rsid w:val="004D0A21"/>
    <w:rsid w:val="00500C73"/>
    <w:rsid w:val="0052297F"/>
    <w:rsid w:val="0054205B"/>
    <w:rsid w:val="00580E17"/>
    <w:rsid w:val="005B6130"/>
    <w:rsid w:val="00615ACA"/>
    <w:rsid w:val="006637B3"/>
    <w:rsid w:val="00667153"/>
    <w:rsid w:val="006B6B02"/>
    <w:rsid w:val="006C7483"/>
    <w:rsid w:val="006F2C9C"/>
    <w:rsid w:val="00716299"/>
    <w:rsid w:val="007325B6"/>
    <w:rsid w:val="00757CD5"/>
    <w:rsid w:val="00767699"/>
    <w:rsid w:val="00780BA6"/>
    <w:rsid w:val="00794808"/>
    <w:rsid w:val="007978FF"/>
    <w:rsid w:val="00837639"/>
    <w:rsid w:val="00844484"/>
    <w:rsid w:val="008A1252"/>
    <w:rsid w:val="00904C9B"/>
    <w:rsid w:val="00921E64"/>
    <w:rsid w:val="0097585F"/>
    <w:rsid w:val="009A22AF"/>
    <w:rsid w:val="009C6B2E"/>
    <w:rsid w:val="009D76B0"/>
    <w:rsid w:val="009F2DFA"/>
    <w:rsid w:val="00A0328C"/>
    <w:rsid w:val="00A2108E"/>
    <w:rsid w:val="00AA38D7"/>
    <w:rsid w:val="00AA4C61"/>
    <w:rsid w:val="00AB1FF7"/>
    <w:rsid w:val="00AD083C"/>
    <w:rsid w:val="00AE6F2E"/>
    <w:rsid w:val="00B01467"/>
    <w:rsid w:val="00B12D44"/>
    <w:rsid w:val="00B20A74"/>
    <w:rsid w:val="00B31A8E"/>
    <w:rsid w:val="00B3280D"/>
    <w:rsid w:val="00B57927"/>
    <w:rsid w:val="00B956FA"/>
    <w:rsid w:val="00BA073A"/>
    <w:rsid w:val="00C206AD"/>
    <w:rsid w:val="00C406DC"/>
    <w:rsid w:val="00C42F9A"/>
    <w:rsid w:val="00C60507"/>
    <w:rsid w:val="00C6642A"/>
    <w:rsid w:val="00CB3623"/>
    <w:rsid w:val="00CF6C02"/>
    <w:rsid w:val="00D42A7A"/>
    <w:rsid w:val="00D53BCF"/>
    <w:rsid w:val="00D808C6"/>
    <w:rsid w:val="00D85281"/>
    <w:rsid w:val="00DB5A44"/>
    <w:rsid w:val="00DE4F44"/>
    <w:rsid w:val="00DF0E1E"/>
    <w:rsid w:val="00E1220B"/>
    <w:rsid w:val="00E2230F"/>
    <w:rsid w:val="00E2358D"/>
    <w:rsid w:val="00E26D19"/>
    <w:rsid w:val="00E86AD1"/>
    <w:rsid w:val="00EF5649"/>
    <w:rsid w:val="00F03A7A"/>
    <w:rsid w:val="00F04CCD"/>
    <w:rsid w:val="00F14298"/>
    <w:rsid w:val="00F4159E"/>
    <w:rsid w:val="00F41620"/>
    <w:rsid w:val="00F728CA"/>
    <w:rsid w:val="00F72F13"/>
    <w:rsid w:val="00FB5C13"/>
    <w:rsid w:val="00FF708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F2DFA"/>
    <w:rPr>
      <w:rFonts w:ascii="Times New Roman" w:eastAsia="Times New Roman" w:hAnsi="Times New Roman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/>
    </w:pPr>
    <w:rPr>
      <w:rFonts w:ascii="Arial" w:eastAsia="Times New Roman" w:hAnsi="Arial"/>
      <w:color w:val="000000"/>
      <w:sz w:val="19"/>
      <w:szCs w:val="48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/>
      <w:color w:val="000000"/>
      <w:sz w:val="22"/>
      <w:szCs w:val="48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ommentReference">
    <w:name w:val="annotation reference"/>
    <w:uiPriority w:val="99"/>
    <w:semiHidden/>
    <w:unhideWhenUsed/>
    <w:rsid w:val="00B12D44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12D44"/>
  </w:style>
  <w:style w:type="character" w:customStyle="1" w:styleId="TextkomentraChar">
    <w:name w:val="Text komentára Char"/>
    <w:link w:val="CommentText"/>
    <w:uiPriority w:val="99"/>
    <w:semiHidden/>
    <w:rsid w:val="00B12D4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12D44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B12D4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Analýza vplyvov na podnikateľské prostredie</vt:lpstr>
      <vt:lpstr>Analýza vplyvov na podnikateľské prostredie 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vplyvov na podnikateľské prostredie</dc:title>
  <dc:creator>Simoncicova Iveta</dc:creator>
  <cp:lastModifiedBy>Hanová Katarína</cp:lastModifiedBy>
  <cp:revision>30</cp:revision>
  <cp:lastPrinted>2017-11-06T08:33:00Z</cp:lastPrinted>
  <dcterms:created xsi:type="dcterms:W3CDTF">2016-01-24T15:34:00Z</dcterms:created>
  <dcterms:modified xsi:type="dcterms:W3CDTF">2017-11-06T08:33:00Z</dcterms:modified>
</cp:coreProperties>
</file>