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E1659F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E1659F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686"/>
        <w:gridCol w:w="4686"/>
      </w:tblGrid>
      <w:tr w:rsidTr="00E1659F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B064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Domácnosti budú nepriamo pozitívne ovplyvnené tým, že sa v okresoch rozšíria možnosti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 koordinácie podpory tvorby pracovných miest, čím sa prispeje k zvýšeniu príjmov domácností obyvateľstva a kvality života.</w:t>
            </w: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E933AF" w:rsidRPr="00B064B8" w:rsidP="00E93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B064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Novoprijatí zamestnanci, znevýhodnení uchádzači o zamestnanie, obyvatelia okresov   </w:t>
            </w:r>
          </w:p>
          <w:p w:rsidR="00224847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E538C0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E1659F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686"/>
        <w:gridCol w:w="4686"/>
      </w:tblGrid>
      <w:tr w:rsidTr="00E1659F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B064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Opatrenia v jednotlivých Akčných plánoch rozvoja okresu môžu zvýšiť príjem v skupine uchádzačov o zamestnanie a marginalizovaných rómskych komunitách</w:t>
            </w:r>
            <w:r>
              <w:rPr>
                <w:rFonts w:ascii="Times New Roman" w:eastAsia="Calibri" w:hAnsi="Times New Roman" w:cs="Times New Roman"/>
                <w:szCs w:val="20"/>
                <w:lang w:eastAsia="sk-SK"/>
              </w:rPr>
              <w:t>.</w:t>
            </w:r>
            <w:r w:rsidRPr="00B064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 Schválením predkladaného materiálu nebudú ohrozené žiadne skupiny zamestnancov a nehrozí hromadné prepúšťanie.   </w:t>
            </w: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FD6B93" w:rsidRPr="008831F6" w:rsidP="00FD6B93">
            <w:pPr>
              <w:pStyle w:val="NormalWeb"/>
              <w:spacing w:before="0" w:beforeAutospacing="0" w:after="0" w:afterAutospacing="0"/>
              <w:jc w:val="both"/>
            </w:pPr>
            <w:r w:rsidRPr="008831F6">
              <w:rPr>
                <w:szCs w:val="20"/>
              </w:rPr>
              <w:t>Nie je možné určiť počet</w:t>
            </w:r>
            <w:r>
              <w:rPr>
                <w:szCs w:val="20"/>
              </w:rPr>
              <w:t xml:space="preserve"> obyvateľov, u ktorých dôjde k zvýšeniu príjmov</w:t>
            </w:r>
            <w:r w:rsidRPr="008831F6">
              <w:rPr>
                <w:szCs w:val="20"/>
              </w:rPr>
              <w:t>.</w:t>
            </w:r>
            <w:r>
              <w:rPr>
                <w:szCs w:val="20"/>
              </w:rPr>
              <w:t xml:space="preserve"> Uvedený faktor súvisí s počtom vytvorených pracovných miest. </w:t>
            </w:r>
          </w:p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224847" w:rsidRPr="00CA6BAF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E1659F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Tr="00E1659F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 w:rsidTr="00E1659F"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FD6B93" w:rsidRPr="00932E0C" w:rsidP="00FD6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Na základe skúseností z Akčn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ých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plánov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rozvoja okresu 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sa dajú očakávať pozitívne vplyvy v nasledujúcich oblastiach: </w:t>
            </w:r>
          </w:p>
          <w:p w:rsidR="00FD6B93" w:rsidRPr="00932E0C" w:rsidP="00FD6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FD6B93" w:rsidRPr="00932E0C" w:rsidP="00FD6B9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prístup k 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FD6B93" w:rsidRPr="00932E0C" w:rsidP="00FD6B9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prístup 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k formálnemu i neformálnemu vzdelávaniu a celo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softHyphen/>
              <w:t>životnému vzdelávaniu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(napr. zriadenie tréningových centier, regionálnych centier vzdelávania, rekonštrukcie a rozširovanie kapacít školských 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a predškolských zariaden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í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), </w:t>
            </w:r>
          </w:p>
          <w:p w:rsidR="00FD6B93" w:rsidRPr="00932E0C" w:rsidP="00FD6B9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prístup k 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bývaniu a súvisiacim základným komunálnym službám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(napr. vybavenie bytov nižšieho štandardu),</w:t>
            </w:r>
          </w:p>
          <w:p w:rsidR="00FD6B93" w:rsidRPr="00932E0C" w:rsidP="00FD6B9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prístup k 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doprave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(napr. budovanie cestnej a cyklistickej infraštruktúry)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,</w:t>
            </w:r>
          </w:p>
          <w:p w:rsidR="00FD6B93" w:rsidP="00FD6B9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prístup k 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ďalším službám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,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najmä službám všeobecného záujmu 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 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tovarom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(napr. odvádzanie a čistenie odpadových vôd)</w:t>
            </w:r>
            <w:r w:rsidRPr="00932E0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. </w:t>
            </w:r>
          </w:p>
          <w:p w:rsidR="00FD6B93" w:rsidP="00FD6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FD6B93" w:rsidP="00FD6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Konkrétne opatrenia budú predmetom odsúhlasenia okresnej rozvojovej platformy a následne konkrétneho schváleného Akčného plánu rozvoja okresu. </w:t>
            </w:r>
          </w:p>
          <w:p w:rsidR="00FD6B93" w:rsidRPr="00932E0C" w:rsidP="00FD6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Ovplyvnenými skupinami budú obyvatelia okresov, najmä však novoprijatí zamestnanci, znevýhodnení uchádzači o zamestnanie a marginalizované rómske komunity. V súvislosti s prístupom k vzdelávaniu budú ovplyvnenými skupinami aj žiaci stredných škôl.</w:t>
            </w:r>
          </w:p>
          <w:p w:rsidR="00A30F1C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E1659F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 w:rsidTr="00E1659F"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A30F1C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FD6B93" w:rsidRPr="00B064B8" w:rsidP="00FD6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18"/>
                <w:lang w:eastAsia="sk-SK"/>
              </w:rPr>
            </w:pPr>
            <w:r w:rsidRPr="00B064B8">
              <w:rPr>
                <w:rFonts w:ascii="Times New Roman" w:eastAsia="Calibri" w:hAnsi="Times New Roman" w:cs="Times New Roman"/>
                <w:sz w:val="24"/>
                <w:szCs w:val="18"/>
                <w:lang w:eastAsia="sk-SK"/>
              </w:rPr>
              <w:t>Návrh bude mať významný vplyv najmä na marginalizované rómske komunity a na nezamestnaných, najmä dlhodobo nezamestnaných, mladých</w:t>
            </w:r>
            <w:r>
              <w:rPr>
                <w:rFonts w:ascii="Times New Roman" w:eastAsia="Calibri" w:hAnsi="Times New Roman" w:cs="Times New Roman"/>
                <w:sz w:val="24"/>
                <w:szCs w:val="18"/>
                <w:lang w:eastAsia="sk-SK"/>
              </w:rPr>
              <w:t xml:space="preserve"> </w:t>
            </w:r>
            <w:r w:rsidRPr="00B064B8">
              <w:rPr>
                <w:rFonts w:ascii="Times New Roman" w:eastAsia="Calibri" w:hAnsi="Times New Roman" w:cs="Times New Roman"/>
                <w:sz w:val="24"/>
                <w:szCs w:val="18"/>
                <w:lang w:eastAsia="sk-SK"/>
              </w:rPr>
              <w:t>nezamestnaných a nezamestnaných nad 50 rokov.</w:t>
            </w:r>
          </w:p>
          <w:p w:rsidR="00A30F1C" w:rsidRPr="0040544D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/>
    <w:p w:rsidR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DA4453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Tr="00DA4453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7B003C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D4982" w:rsidRPr="0040544D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B064B8">
              <w:rPr>
                <w:rFonts w:ascii="Times New Roman" w:eastAsia="Calibri" w:hAnsi="Times New Roman" w:cs="Times New Roman"/>
                <w:sz w:val="24"/>
                <w:lang w:eastAsia="sk-SK"/>
              </w:rPr>
              <w:t>Návrh dodržuje povinnosť rovnakého zaobchádzania so všetkými skupinami a jednotlivcami, nevedie k žiadnej diskriminácii obyvateľstva a podporuje rovnosť príležitostí.</w:t>
            </w:r>
          </w:p>
          <w:p w:rsidR="00CD4982" w:rsidRPr="0040544D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DA4453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 w:rsidTr="007B003C"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FD6B93" w:rsidRPr="00B064B8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B064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Návrh nemá odlišný vplyv na ženy a mužov.</w:t>
            </w:r>
          </w:p>
          <w:p w:rsidR="00CA6BAF" w:rsidRPr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 w:rsidTr="00DA4453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 w:rsidTr="000D226A"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D6B93" w:rsidRPr="00B064B8" w:rsidP="00FD6B93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064B8">
              <w:rPr>
                <w:rFonts w:ascii="Times New Roman" w:eastAsia="Calibri" w:hAnsi="Times New Roman" w:cs="Times New Roman"/>
                <w:szCs w:val="20"/>
                <w:lang w:eastAsia="sk-SK"/>
              </w:rPr>
              <w:t>Áno</w:t>
            </w:r>
            <w:r>
              <w:rPr>
                <w:rFonts w:ascii="Times New Roman" w:eastAsia="Calibri" w:hAnsi="Times New Roman" w:cs="Times New Roman"/>
                <w:szCs w:val="20"/>
                <w:lang w:eastAsia="sk-SK"/>
              </w:rPr>
              <w:t>. Návrh bude uľahčovať vznik pracovných miest pre rôzne skupiny obyvateľov (nezamestnaní, nízkokvalifikované osoby, marginalizované rómske komunity, osoby nad 50 rokov) v najmenej rozvinutých okresoch, ako aj pre rôzne sektorové oblasti (poľnohospodárstvo, priemysel, cestovný ruch, školstvo, atď.).</w:t>
            </w:r>
          </w:p>
          <w:p w:rsidR="00FD6B93" w:rsidRPr="00A4573B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420DE5" w:rsidP="00FD6B93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420DE5">
              <w:rPr>
                <w:rFonts w:ascii="Times New Roman" w:eastAsia="Calibri" w:hAnsi="Times New Roman" w:cs="Times New Roman"/>
                <w:szCs w:val="20"/>
                <w:lang w:eastAsia="sk-SK"/>
              </w:rPr>
              <w:t xml:space="preserve">Návrh nevedie k zániku pracovných miest. </w:t>
            </w:r>
          </w:p>
          <w:p w:rsidR="00FD6B93" w:rsidRPr="00A30F1C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A30F1C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sk-SK"/>
              </w:rPr>
              <w:t>Návrh ovplyvňuje dopyt po práci, najmä vo forme ponuky pracovných miest v rôznych sektorových oblastiach.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A30F1C" w:rsidP="00146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466F4">
              <w:rPr>
                <w:rFonts w:ascii="Times New Roman" w:eastAsia="Calibri" w:hAnsi="Times New Roman" w:cs="Times New Roman"/>
                <w:szCs w:val="18"/>
              </w:rPr>
              <w:t>Návrh má dosah na fungovanie trhu práce, návrhom sa predpokladá znižovanie rozdielov</w:t>
            </w:r>
            <w:r w:rsidR="00942023">
              <w:rPr>
                <w:rFonts w:ascii="Times New Roman" w:eastAsia="Calibri" w:hAnsi="Times New Roman" w:cs="Times New Roman"/>
                <w:szCs w:val="18"/>
              </w:rPr>
              <w:t>, najmä</w:t>
            </w:r>
            <w:r w:rsidRPr="001466F4">
              <w:rPr>
                <w:rFonts w:ascii="Times New Roman" w:eastAsia="Calibri" w:hAnsi="Times New Roman" w:cs="Times New Roman"/>
                <w:szCs w:val="18"/>
              </w:rPr>
              <w:t xml:space="preserve"> v</w:t>
            </w:r>
            <w:r w:rsidR="00942023">
              <w:rPr>
                <w:rFonts w:ascii="Times New Roman" w:eastAsia="Calibri" w:hAnsi="Times New Roman" w:cs="Times New Roman"/>
                <w:szCs w:val="18"/>
              </w:rPr>
              <w:t xml:space="preserve"> oblasti</w:t>
            </w:r>
            <w:r w:rsidRPr="001466F4">
              <w:rPr>
                <w:rFonts w:ascii="Times New Roman" w:eastAsia="Calibri" w:hAnsi="Times New Roman" w:cs="Times New Roman"/>
                <w:szCs w:val="18"/>
              </w:rPr>
              <w:t xml:space="preserve"> zamestnanosti medzi najmenej rozvinutými okresmi a ostatnými okresmi. 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A30F1C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064B8">
              <w:rPr>
                <w:rFonts w:ascii="Times New Roman" w:eastAsia="Calibri" w:hAnsi="Times New Roman" w:cs="Times New Roman"/>
                <w:szCs w:val="20"/>
                <w:lang w:eastAsia="sk-SK"/>
              </w:rPr>
              <w:t>Nie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Tr="000D226A"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994C53" w:rsidP="00FD6B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FD6B93" w:rsidRPr="00A30F1C" w:rsidP="00FD6B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064B8">
              <w:rPr>
                <w:rFonts w:ascii="Times New Roman" w:eastAsia="Calibri" w:hAnsi="Times New Roman" w:cs="Times New Roman"/>
                <w:szCs w:val="20"/>
                <w:lang w:eastAsia="sk-SK"/>
              </w:rPr>
              <w:t>Nie</w:t>
            </w:r>
          </w:p>
        </w:tc>
      </w:tr>
    </w:tbl>
    <w:p w:rsidR="00CB3623" w:rsidP="0029307C">
      <w:pPr>
        <w:spacing w:after="0" w:line="240" w:lineRule="auto"/>
        <w:jc w:val="center"/>
        <w:outlineLvl w:val="0"/>
      </w:pPr>
      <w:bookmarkStart w:id="0" w:name="_GoBack"/>
      <w:bookmarkEnd w:id="0"/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847" w:rsidRPr="001D6749">
        <w:pPr>
          <w:pStyle w:val="Footer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29307C">
          <w:rPr>
            <w:rFonts w:ascii="Times New Roman" w:hAnsi="Times New Roman" w:cs="Times New Roman"/>
            <w:noProof/>
          </w:rPr>
          <w:t>3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>
        <w:pPr>
          <w:pStyle w:val="Footer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29307C">
          <w:rPr>
            <w:rFonts w:ascii="Times New Roman" w:hAnsi="Times New Roman" w:cs="Times New Roman"/>
            <w:noProof/>
          </w:rPr>
          <w:t>5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847" w:rsidRPr="00CD4982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6749" w:rsidRPr="00CD4982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5D"/>
    <w:rsid w:val="000009B5"/>
    <w:rsid w:val="0002249C"/>
    <w:rsid w:val="000274D0"/>
    <w:rsid w:val="001466F4"/>
    <w:rsid w:val="00165321"/>
    <w:rsid w:val="001D201C"/>
    <w:rsid w:val="001D6749"/>
    <w:rsid w:val="001F7932"/>
    <w:rsid w:val="00204D10"/>
    <w:rsid w:val="00224847"/>
    <w:rsid w:val="00227A26"/>
    <w:rsid w:val="00275F99"/>
    <w:rsid w:val="0029307C"/>
    <w:rsid w:val="002A702D"/>
    <w:rsid w:val="00337B5D"/>
    <w:rsid w:val="003541E9"/>
    <w:rsid w:val="00357E2A"/>
    <w:rsid w:val="00362CBF"/>
    <w:rsid w:val="003849C7"/>
    <w:rsid w:val="0040544D"/>
    <w:rsid w:val="00420DE5"/>
    <w:rsid w:val="00466488"/>
    <w:rsid w:val="004F2664"/>
    <w:rsid w:val="0051643C"/>
    <w:rsid w:val="00520808"/>
    <w:rsid w:val="00585AD3"/>
    <w:rsid w:val="005A57C8"/>
    <w:rsid w:val="006B34DA"/>
    <w:rsid w:val="007B003C"/>
    <w:rsid w:val="00881728"/>
    <w:rsid w:val="008831F6"/>
    <w:rsid w:val="008A4F7C"/>
    <w:rsid w:val="00921D53"/>
    <w:rsid w:val="00932E0C"/>
    <w:rsid w:val="00942023"/>
    <w:rsid w:val="00943698"/>
    <w:rsid w:val="00972E46"/>
    <w:rsid w:val="00994C53"/>
    <w:rsid w:val="00997B26"/>
    <w:rsid w:val="009B755F"/>
    <w:rsid w:val="009F385D"/>
    <w:rsid w:val="00A30F1C"/>
    <w:rsid w:val="00A4573B"/>
    <w:rsid w:val="00A53AFA"/>
    <w:rsid w:val="00A605B0"/>
    <w:rsid w:val="00A87D5B"/>
    <w:rsid w:val="00AF39B8"/>
    <w:rsid w:val="00B064B8"/>
    <w:rsid w:val="00B4080A"/>
    <w:rsid w:val="00B437B3"/>
    <w:rsid w:val="00B90A2F"/>
    <w:rsid w:val="00BC22E3"/>
    <w:rsid w:val="00C63956"/>
    <w:rsid w:val="00C77AA2"/>
    <w:rsid w:val="00CA023C"/>
    <w:rsid w:val="00CA3E12"/>
    <w:rsid w:val="00CA6BAF"/>
    <w:rsid w:val="00CB3623"/>
    <w:rsid w:val="00CD4982"/>
    <w:rsid w:val="00D829FE"/>
    <w:rsid w:val="00D921AE"/>
    <w:rsid w:val="00DA4453"/>
    <w:rsid w:val="00E1659F"/>
    <w:rsid w:val="00E22685"/>
    <w:rsid w:val="00E40428"/>
    <w:rsid w:val="00E538C0"/>
    <w:rsid w:val="00E933AF"/>
    <w:rsid w:val="00EF0C21"/>
    <w:rsid w:val="00F2597D"/>
    <w:rsid w:val="00F30B4E"/>
    <w:rsid w:val="00F74B56"/>
    <w:rsid w:val="00F7696B"/>
    <w:rsid w:val="00F77D10"/>
    <w:rsid w:val="00F938A1"/>
    <w:rsid w:val="00FA11DD"/>
    <w:rsid w:val="00FB7660"/>
    <w:rsid w:val="00FD6B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8B226C-83CA-4A70-9D00-86F44F8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rsid w:val="001D6749"/>
    <w:rPr>
      <w:sz w:val="20"/>
      <w:szCs w:val="2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1D6749"/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1D6749"/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06F5-0679-4034-8FE3-5FA78BB0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Hanová Katarína</cp:lastModifiedBy>
  <cp:revision>5</cp:revision>
  <cp:lastPrinted>2017-07-10T10:11:00Z</cp:lastPrinted>
  <dcterms:created xsi:type="dcterms:W3CDTF">2017-07-07T06:38:00Z</dcterms:created>
  <dcterms:modified xsi:type="dcterms:W3CDTF">2017-07-11T09:22:00Z</dcterms:modified>
</cp:coreProperties>
</file>