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44D6" w:rsidP="00E744D6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>NÁRODNÁ RADA SLOVENSKEJ REPUBLIKY</w:t>
      </w: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VII. volebné obdobie</w:t>
      </w: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________________________________________________________________</w:t>
      </w: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E744D6" w:rsidP="00E744D6">
      <w:pPr>
        <w:pStyle w:val="Title"/>
        <w:bidi w:val="0"/>
        <w:rPr>
          <w:rFonts w:ascii="Times New Roman" w:hAnsi="Times New Roman"/>
          <w:b w:val="0"/>
          <w:spacing w:val="10"/>
          <w:sz w:val="24"/>
        </w:rPr>
      </w:pPr>
    </w:p>
    <w:p w:rsidR="00E744D6" w:rsidP="00E744D6">
      <w:pPr>
        <w:pStyle w:val="Title"/>
        <w:bidi w:val="0"/>
        <w:rPr>
          <w:rFonts w:ascii="Times New Roman" w:hAnsi="Times New Roman"/>
          <w:b w:val="0"/>
          <w:spacing w:val="10"/>
          <w:sz w:val="24"/>
        </w:rPr>
      </w:pPr>
    </w:p>
    <w:p w:rsidR="00E744D6" w:rsidP="00E744D6">
      <w:pPr>
        <w:pStyle w:val="Title"/>
        <w:bidi w:val="0"/>
        <w:rPr>
          <w:rFonts w:ascii="Times New Roman" w:hAnsi="Times New Roman"/>
          <w:b w:val="0"/>
          <w:spacing w:val="10"/>
          <w:sz w:val="24"/>
        </w:rPr>
      </w:pPr>
    </w:p>
    <w:p w:rsidR="00E744D6" w:rsidP="00E744D6">
      <w:pPr>
        <w:pStyle w:val="Title"/>
        <w:bidi w:val="0"/>
        <w:rPr>
          <w:rFonts w:ascii="Times New Roman" w:hAnsi="Times New Roman"/>
          <w:b w:val="0"/>
          <w:spacing w:val="10"/>
          <w:sz w:val="24"/>
        </w:rPr>
      </w:pP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48"/>
          <w:szCs w:val="48"/>
        </w:rPr>
      </w:pPr>
      <w:r w:rsidR="00222409">
        <w:rPr>
          <w:rFonts w:ascii="Times New Roman" w:hAnsi="Times New Roman"/>
          <w:spacing w:val="10"/>
          <w:sz w:val="48"/>
          <w:szCs w:val="48"/>
        </w:rPr>
        <w:t>762</w:t>
      </w: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48"/>
          <w:szCs w:val="48"/>
        </w:rPr>
      </w:pPr>
    </w:p>
    <w:p w:rsidR="00E744D6" w:rsidP="00E744D6">
      <w:pPr>
        <w:pStyle w:val="Title"/>
        <w:bidi w:val="0"/>
        <w:rPr>
          <w:rFonts w:ascii="Times New Roman" w:hAnsi="Times New Roman"/>
          <w:b w:val="0"/>
          <w:spacing w:val="10"/>
          <w:sz w:val="24"/>
        </w:rPr>
      </w:pP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>VLÁDNY NÁVRH</w:t>
      </w: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ZÁKON</w:t>
      </w: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E744D6" w:rsidP="00E744D6">
      <w:pPr>
        <w:pStyle w:val="Title"/>
        <w:bidi w:val="0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z ........................ 2018,</w:t>
      </w:r>
    </w:p>
    <w:p w:rsidR="002C50D5" w:rsidP="00A10ABE">
      <w:pPr>
        <w:pStyle w:val="Heading1"/>
        <w:keepNext w:val="0"/>
        <w:tabs>
          <w:tab w:val="left" w:pos="142"/>
        </w:tabs>
        <w:bidi w:val="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C50D5" w:rsidP="00A10ABE">
      <w:pPr>
        <w:pStyle w:val="Heading1"/>
        <w:keepNext w:val="0"/>
        <w:tabs>
          <w:tab w:val="left" w:pos="142"/>
        </w:tabs>
        <w:bidi w:val="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10ABE" w:rsidRPr="00A93EB2" w:rsidP="00AE23C7">
      <w:pPr>
        <w:bidi w:val="0"/>
        <w:jc w:val="both"/>
        <w:rPr>
          <w:rFonts w:ascii="Times New Roman" w:hAnsi="Times New Roman"/>
          <w:b/>
        </w:rPr>
      </w:pPr>
      <w:r w:rsidRPr="00A93EB2">
        <w:rPr>
          <w:rFonts w:ascii="Times New Roman" w:hAnsi="Times New Roman"/>
          <w:b/>
        </w:rPr>
        <w:t>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</w:t>
      </w:r>
    </w:p>
    <w:p w:rsidR="00A10ABE" w:rsidP="00A10ABE">
      <w:pPr>
        <w:bidi w:val="0"/>
        <w:jc w:val="center"/>
        <w:rPr>
          <w:rFonts w:ascii="Times New Roman" w:hAnsi="Times New Roman"/>
        </w:rPr>
      </w:pPr>
    </w:p>
    <w:p w:rsidR="00A10ABE" w:rsidP="00A10ABE">
      <w:pPr>
        <w:bidi w:val="0"/>
        <w:jc w:val="center"/>
        <w:rPr>
          <w:rFonts w:ascii="Times New Roman" w:hAnsi="Times New Roman"/>
        </w:rPr>
      </w:pPr>
    </w:p>
    <w:p w:rsidR="00A10ABE" w:rsidRPr="00A93EB2" w:rsidP="00A10ABE">
      <w:pPr>
        <w:bidi w:val="0"/>
        <w:ind w:firstLine="426"/>
        <w:rPr>
          <w:rFonts w:ascii="Times New Roman" w:hAnsi="Times New Roman"/>
        </w:rPr>
      </w:pPr>
      <w:r w:rsidRPr="00A93EB2">
        <w:rPr>
          <w:rFonts w:ascii="Times New Roman" w:hAnsi="Times New Roman"/>
        </w:rPr>
        <w:t>Národná rada Slovenskej republiky sa uzniesla na tomto zákone:</w:t>
      </w:r>
    </w:p>
    <w:p w:rsidR="00A10ABE" w:rsidRPr="00A93EB2" w:rsidP="00A10ABE">
      <w:pPr>
        <w:bidi w:val="0"/>
        <w:jc w:val="center"/>
        <w:rPr>
          <w:rFonts w:ascii="Times New Roman" w:hAnsi="Times New Roman"/>
        </w:rPr>
      </w:pPr>
    </w:p>
    <w:p w:rsidR="00A10ABE" w:rsidRPr="00A93EB2" w:rsidP="00A10ABE">
      <w:pPr>
        <w:bidi w:val="0"/>
        <w:jc w:val="center"/>
        <w:rPr>
          <w:rFonts w:ascii="Times New Roman" w:hAnsi="Times New Roman"/>
          <w:b/>
        </w:rPr>
      </w:pPr>
      <w:r w:rsidRPr="00A93EB2">
        <w:rPr>
          <w:rFonts w:ascii="Times New Roman" w:hAnsi="Times New Roman"/>
          <w:b/>
        </w:rPr>
        <w:t>Čl. I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bidi w:val="0"/>
        <w:ind w:firstLine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Zákon č. 201/2008 Z. z. o náhradnom výživnom a o zmene a doplnení zákona č. 36/2005 Z. z. o rodine a o zmene a doplnení niektorých zákonov v znení nálezu Ústavného súdu Slovenskej republiky č. 615/2006 Z. z. v znení zákona č. 554/2008 Z. z. a zákona č. 468/2011 Z. z. sa mení a dopĺňa takto: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2 ods. 1 písm. a) sa za slovo „konanie“ vkladajú slová „</w:t>
      </w:r>
      <w:r w:rsidR="00D76E05">
        <w:rPr>
          <w:rFonts w:ascii="Times New Roman" w:hAnsi="Times New Roman"/>
        </w:rPr>
        <w:t>na vymoženie pohľadávky na výživnom</w:t>
      </w:r>
      <w:r w:rsidRPr="00A93EB2">
        <w:rPr>
          <w:rFonts w:ascii="Times New Roman" w:hAnsi="Times New Roman"/>
        </w:rPr>
        <w:t>“</w:t>
      </w:r>
      <w:r w:rsidR="00D76E05">
        <w:rPr>
          <w:rFonts w:ascii="Times New Roman" w:hAnsi="Times New Roman"/>
        </w:rPr>
        <w:t xml:space="preserve"> a slovo „exekútorovi“ sa nahrádza slovom „súdu“</w:t>
      </w:r>
      <w:r w:rsidRPr="00A93EB2">
        <w:rPr>
          <w:rFonts w:ascii="Times New Roman" w:hAnsi="Times New Roman"/>
        </w:rPr>
        <w:t>.</w:t>
      </w:r>
    </w:p>
    <w:p w:rsidR="00DC6A3D" w:rsidP="00DC6A3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F2080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</w:t>
      </w:r>
      <w:r w:rsidR="007707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 ods. 2 písm. a) sa za slová „pobyt</w:t>
      </w:r>
      <w:r w:rsidR="009C57CF">
        <w:rPr>
          <w:rFonts w:ascii="Times New Roman" w:hAnsi="Times New Roman"/>
        </w:rPr>
        <w:t xml:space="preserve"> na území Slovenskej republiky</w:t>
      </w:r>
      <w:r>
        <w:rPr>
          <w:rFonts w:ascii="Times New Roman" w:hAnsi="Times New Roman"/>
        </w:rPr>
        <w:t>“ vkladajú slová „</w:t>
      </w:r>
      <w:r w:rsidR="007707E0">
        <w:rPr>
          <w:rFonts w:ascii="Times New Roman" w:hAnsi="Times New Roman"/>
        </w:rPr>
        <w:t>alebo prechodný pobyt na území Slovenskej republiky, ak ide o oprávnenú osobu, ktorej sa poskytla doplnková ochrana</w:t>
      </w:r>
      <w:r w:rsidR="009C57CF"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2a</w:t>
      </w:r>
      <w:r w:rsidRPr="00A93EB2">
        <w:rPr>
          <w:rFonts w:ascii="Times New Roman" w:hAnsi="Times New Roman"/>
        </w:rPr>
        <w:t>)“.</w:t>
      </w:r>
      <w:r>
        <w:rPr>
          <w:rFonts w:ascii="Times New Roman" w:hAnsi="Times New Roman"/>
        </w:rPr>
        <w:t xml:space="preserve"> </w:t>
      </w:r>
    </w:p>
    <w:p w:rsidR="002040E2" w:rsidP="00DC6A3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F2080" w:rsidP="00DC6A3D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 odkazu 2a znie: </w:t>
      </w:r>
    </w:p>
    <w:p w:rsidR="007F2080" w:rsidRPr="00A93EB2" w:rsidP="00DC6A3D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DC6A3D">
        <w:rPr>
          <w:rFonts w:ascii="Times New Roman" w:hAnsi="Times New Roman"/>
          <w:vertAlign w:val="superscript"/>
        </w:rPr>
        <w:t>2a</w:t>
      </w:r>
      <w:r>
        <w:rPr>
          <w:rFonts w:ascii="Times New Roman" w:hAnsi="Times New Roman"/>
        </w:rPr>
        <w:t>) §</w:t>
      </w:r>
      <w:r w:rsidR="002040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27a zákona č. 480/2002 Z. z. o azyle a o zmene a doplnení niektorých zákonov v znení neskorších predpisov.“.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2 ods. 3 sa na konci bodka nahrádza bodkočiarkou a pripájajú sa tieto slová: „táto podmienka sa považuje za splnenú</w:t>
      </w:r>
      <w:r w:rsidR="002A0170">
        <w:rPr>
          <w:rFonts w:ascii="Times New Roman" w:hAnsi="Times New Roman"/>
        </w:rPr>
        <w:t>,</w:t>
      </w:r>
      <w:r w:rsidRPr="00A93EB2">
        <w:rPr>
          <w:rFonts w:ascii="Times New Roman" w:hAnsi="Times New Roman"/>
        </w:rPr>
        <w:t xml:space="preserve"> </w:t>
      </w:r>
      <w:r w:rsidR="00003DCD">
        <w:rPr>
          <w:rFonts w:ascii="Times New Roman" w:hAnsi="Times New Roman"/>
        </w:rPr>
        <w:t>kým</w:t>
      </w:r>
      <w:r w:rsidRPr="00A93EB2" w:rsidR="00003DCD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>z písomného oznámenia riaditeľa školy nevyplynie, že zákonný zástupca nedbá o riadne plnenie povinnej školskej dochádzky tejto oprávnenej osoby.</w:t>
      </w:r>
      <w:r w:rsidRPr="00A93EB2">
        <w:rPr>
          <w:rFonts w:ascii="Times New Roman" w:hAnsi="Times New Roman"/>
          <w:vertAlign w:val="superscript"/>
        </w:rPr>
        <w:t>4a</w:t>
      </w:r>
      <w:r w:rsidRPr="00A93EB2">
        <w:rPr>
          <w:rFonts w:ascii="Times New Roman" w:hAnsi="Times New Roman"/>
        </w:rPr>
        <w:t>)“.</w:t>
      </w:r>
    </w:p>
    <w:p w:rsidR="00A10ABE" w:rsidRPr="00A93EB2" w:rsidP="00A10ABE">
      <w:pPr>
        <w:bidi w:val="0"/>
        <w:rPr>
          <w:rFonts w:ascii="Times New Roman" w:hAnsi="Times New Roman"/>
        </w:rPr>
      </w:pPr>
    </w:p>
    <w:p w:rsidR="00A10ABE" w:rsidRPr="00A93EB2" w:rsidP="00A10ABE">
      <w:pPr>
        <w:bidi w:val="0"/>
        <w:ind w:left="360"/>
        <w:rPr>
          <w:rFonts w:ascii="Times New Roman" w:hAnsi="Times New Roman"/>
        </w:rPr>
      </w:pPr>
      <w:r w:rsidRPr="00A93EB2">
        <w:rPr>
          <w:rFonts w:ascii="Times New Roman" w:hAnsi="Times New Roman"/>
        </w:rPr>
        <w:t>Poznámka pod čiarou k odkazu 4a znie:</w:t>
      </w:r>
    </w:p>
    <w:p w:rsidR="00A10ABE" w:rsidRPr="00A93EB2" w:rsidP="00A10ABE">
      <w:pPr>
        <w:bidi w:val="0"/>
        <w:ind w:left="851" w:hanging="491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„</w:t>
      </w:r>
      <w:r w:rsidRPr="00A93EB2">
        <w:rPr>
          <w:rFonts w:ascii="Times New Roman" w:hAnsi="Times New Roman"/>
          <w:vertAlign w:val="superscript"/>
        </w:rPr>
        <w:t>4a</w:t>
      </w:r>
      <w:r w:rsidRPr="00A93EB2">
        <w:rPr>
          <w:rFonts w:ascii="Times New Roman" w:hAnsi="Times New Roman"/>
        </w:rPr>
        <w:t>) § 5 ods. 11 a 12 zákona č. 596/2003 Z. z. o štátnej správe v školstve a školskej samospráve a o zmene a doplnení niektorých zákonov v</w:t>
      </w:r>
      <w:r w:rsidR="00DC0597">
        <w:rPr>
          <w:rFonts w:ascii="Times New Roman" w:hAnsi="Times New Roman"/>
        </w:rPr>
        <w:t> </w:t>
      </w:r>
      <w:r w:rsidRPr="00A93EB2">
        <w:rPr>
          <w:rFonts w:ascii="Times New Roman" w:hAnsi="Times New Roman"/>
        </w:rPr>
        <w:t>znení</w:t>
      </w:r>
      <w:r w:rsidR="00DC0597">
        <w:rPr>
          <w:rFonts w:ascii="Times New Roman" w:hAnsi="Times New Roman"/>
        </w:rPr>
        <w:t xml:space="preserve"> </w:t>
      </w:r>
      <w:r w:rsidR="00145F78">
        <w:rPr>
          <w:rFonts w:ascii="Times New Roman" w:hAnsi="Times New Roman"/>
        </w:rPr>
        <w:t>neskorších predpisov</w:t>
      </w:r>
      <w:r w:rsidR="00DC0597">
        <w:rPr>
          <w:rFonts w:ascii="Times New Roman" w:hAnsi="Times New Roman"/>
        </w:rPr>
        <w:t>.</w:t>
      </w:r>
      <w:r w:rsidRPr="00A93EB2">
        <w:rPr>
          <w:rFonts w:ascii="Times New Roman" w:hAnsi="Times New Roman"/>
        </w:rPr>
        <w:t>“.</w:t>
      </w:r>
    </w:p>
    <w:p w:rsidR="00A10ABE" w:rsidRPr="00A93EB2" w:rsidP="00A10ABE">
      <w:pPr>
        <w:bidi w:val="0"/>
        <w:ind w:left="851" w:hanging="491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2 ods. 4 písm. b) sa na konci bodka nahrádza bodkočiarkou a pripájajú sa tieto slová: „to neplatí, ak vymáhanie výživného z cudziny nie je možné z dôvodu neposkytnutia súčinnosti žiadateľa o náhradné výživné centru.“.</w:t>
      </w:r>
    </w:p>
    <w:p w:rsidR="00A10ABE" w:rsidRPr="00A93EB2" w:rsidP="00A10ABE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§ 2 sa dopĺňa odsekmi 6 a 7, ktoré znejú:</w:t>
      </w: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„(6) Lehota na plnenie vyživovacej povinnosti sa na účely tohto zákona považuje za zachovanú, ak povinná osoba splní vyživovaciu povinnosť v plnej výške po lehote určenej právoplatným rozhodnutím súdu alebo súdom schválenou dohodou najneskôr do konca príslušného kalendárneho mesiaca.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(7) Nárok na náhradné výživné nevzniká oprávnenej osobe, ktorej sa poskytuje starostlivosť v zariadení sociálnoprávnej ochrany detí a sociálnej kurately </w:t>
      </w:r>
      <w:r w:rsidR="00AC0B65">
        <w:rPr>
          <w:rFonts w:ascii="Times New Roman" w:hAnsi="Times New Roman"/>
        </w:rPr>
        <w:t xml:space="preserve">pobytovou formou </w:t>
      </w:r>
      <w:r w:rsidRPr="00A93EB2">
        <w:rPr>
          <w:rFonts w:ascii="Times New Roman" w:hAnsi="Times New Roman"/>
        </w:rPr>
        <w:t>alebo v</w:t>
      </w:r>
      <w:r w:rsidR="0041468F">
        <w:rPr>
          <w:rFonts w:ascii="Times New Roman" w:hAnsi="Times New Roman"/>
        </w:rPr>
        <w:t> </w:t>
      </w:r>
      <w:r w:rsidRPr="00A93EB2">
        <w:rPr>
          <w:rFonts w:ascii="Times New Roman" w:hAnsi="Times New Roman"/>
        </w:rPr>
        <w:t xml:space="preserve">špeciálnom výchovnom zariadení z dôvodu výkonu rozhodnutia súdu o nariadení ústavnej starostlivosti, neodkladného opatrenia alebo </w:t>
      </w:r>
      <w:r w:rsidRPr="00312D9A">
        <w:rPr>
          <w:rFonts w:ascii="Times New Roman" w:hAnsi="Times New Roman"/>
        </w:rPr>
        <w:t xml:space="preserve">rozhodnutia </w:t>
      </w:r>
      <w:r w:rsidRPr="00312D9A" w:rsidR="00DC0597">
        <w:rPr>
          <w:rFonts w:ascii="Times New Roman" w:hAnsi="Times New Roman"/>
        </w:rPr>
        <w:t xml:space="preserve">súdu </w:t>
      </w:r>
      <w:r w:rsidRPr="00312D9A">
        <w:rPr>
          <w:rFonts w:ascii="Times New Roman" w:hAnsi="Times New Roman"/>
        </w:rPr>
        <w:t>o uložení</w:t>
      </w:r>
      <w:r w:rsidRPr="00A93EB2">
        <w:rPr>
          <w:rFonts w:ascii="Times New Roman" w:hAnsi="Times New Roman"/>
        </w:rPr>
        <w:t xml:space="preserve"> ochrannej výchovy alebo výchovného opatrenia, alebo je vo výkone väzby alebo vo výkone trestu odňatia slobody.“.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3 ods. 3 sa na konci bodka nahrádza čiarkou a pripájajú sa tieto slová: „príjem dieťaťa zvereného do starostlivosti nahrádzajúcej starostlivosť rodičov na základe právoplatného rozhodnutia súdu a príjem, ktorý na toto dieťa poberá iná fyzická osoba.“.</w:t>
      </w:r>
    </w:p>
    <w:p w:rsidR="00B46D09" w:rsidP="00B46D09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D76E05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§ 4 ods. </w:t>
      </w:r>
      <w:r w:rsidR="006F185B">
        <w:rPr>
          <w:rFonts w:ascii="Times New Roman" w:hAnsi="Times New Roman"/>
        </w:rPr>
        <w:t xml:space="preserve">1 a </w:t>
      </w:r>
      <w:r>
        <w:rPr>
          <w:rFonts w:ascii="Times New Roman" w:hAnsi="Times New Roman"/>
        </w:rPr>
        <w:t>2</w:t>
      </w:r>
      <w:r w:rsidR="00B46D09">
        <w:rPr>
          <w:rFonts w:ascii="Times New Roman" w:hAnsi="Times New Roman"/>
        </w:rPr>
        <w:t xml:space="preserve"> sa slová „schválenej dohody“ nahrádzajú slovami „schválenou dohodou“.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V § 5 písmeno a) znie: 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„a) rozhoduje o</w:t>
      </w:r>
    </w:p>
    <w:p w:rsidR="00A10ABE" w:rsidRPr="00A93EB2" w:rsidP="00AE23C7">
      <w:pPr>
        <w:pStyle w:val="ListParagraph"/>
        <w:numPr>
          <w:numId w:val="3"/>
        </w:numPr>
        <w:bidi w:val="0"/>
        <w:ind w:left="993" w:hanging="284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náhradnom výživnom,</w:t>
      </w:r>
    </w:p>
    <w:p w:rsidR="00A10ABE" w:rsidRPr="00A93EB2" w:rsidP="00AE23C7">
      <w:pPr>
        <w:pStyle w:val="ListParagraph"/>
        <w:numPr>
          <w:numId w:val="3"/>
        </w:numPr>
        <w:bidi w:val="0"/>
        <w:ind w:left="993" w:hanging="284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uložení pokuty za správny delikt,“.                                       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8 sa vkladá nový odsek 1, ktorý znie:</w:t>
      </w: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„(1) Ak sú splnené podmienky nároku na náhradné výživné podľa § 2 ods. 1 písm. a) a ods. 2 a 3, náhradné výživné sa prizná a vypláca preddavkovo.“.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Doterajšie odseky 1 až 4 sa označujú ako odseky 2 až 5.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8 ods. 3 sa slovo „odseku“ nahrádza slovom „ods.“.</w:t>
      </w:r>
    </w:p>
    <w:p w:rsidR="0089343A" w:rsidP="0089343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89343A" w:rsidRPr="00A93EB2" w:rsidP="0089343A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4 sa vypúšťajú slová: „alebo požiada podaním žiadosti elektronickými prostriedkami podpísanej zaručeným elektronickým podpisom“.</w:t>
      </w:r>
    </w:p>
    <w:p w:rsidR="0089343A" w:rsidRPr="00A93EB2" w:rsidP="0089343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A10ABE" w:rsidRPr="00312D9A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312D9A">
        <w:rPr>
          <w:rFonts w:ascii="Times New Roman" w:hAnsi="Times New Roman"/>
        </w:rPr>
        <w:t xml:space="preserve">V § 9 ods. 2 druhej vete sa slová „odo dňa doručenia tejto žiadosti úradu“ nahrádzajú slovami „od prvého dňa </w:t>
      </w:r>
      <w:r w:rsidRPr="00312D9A" w:rsidR="00EE4053">
        <w:rPr>
          <w:rFonts w:ascii="Times New Roman" w:hAnsi="Times New Roman"/>
        </w:rPr>
        <w:t>kalendárneho</w:t>
      </w:r>
      <w:r w:rsidRPr="00312D9A">
        <w:rPr>
          <w:rFonts w:ascii="Times New Roman" w:hAnsi="Times New Roman"/>
        </w:rPr>
        <w:t> mesiac</w:t>
      </w:r>
      <w:r w:rsidRPr="00312D9A" w:rsidR="00EE4053">
        <w:rPr>
          <w:rFonts w:ascii="Times New Roman" w:hAnsi="Times New Roman"/>
        </w:rPr>
        <w:t>a</w:t>
      </w:r>
      <w:r w:rsidRPr="00312D9A">
        <w:rPr>
          <w:rFonts w:ascii="Times New Roman" w:hAnsi="Times New Roman"/>
        </w:rPr>
        <w:t>, v ktorom bola žiadosť doručená úradu“.</w:t>
      </w:r>
    </w:p>
    <w:p w:rsidR="00A10ABE" w:rsidRPr="00312D9A" w:rsidP="00A10ABE">
      <w:pPr>
        <w:bidi w:val="0"/>
        <w:jc w:val="both"/>
        <w:rPr>
          <w:rFonts w:ascii="Times New Roman" w:hAnsi="Times New Roman"/>
        </w:rPr>
      </w:pPr>
    </w:p>
    <w:p w:rsidR="00A10ABE" w:rsidRPr="00312D9A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312D9A">
        <w:rPr>
          <w:rFonts w:ascii="Times New Roman" w:hAnsi="Times New Roman"/>
        </w:rPr>
        <w:t>V § 9 odsek 5 znie:</w:t>
      </w:r>
    </w:p>
    <w:p w:rsidR="00A10ABE" w:rsidRPr="00312D9A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312D9A">
        <w:rPr>
          <w:rFonts w:ascii="Times New Roman" w:hAnsi="Times New Roman"/>
        </w:rPr>
        <w:t>„(5) Ak pominuli dôvody, pre ktoré bola zastavená výplata náhradného výživného a</w:t>
      </w:r>
      <w:r w:rsidRPr="00312D9A" w:rsidR="0041468F">
        <w:rPr>
          <w:rFonts w:ascii="Times New Roman" w:hAnsi="Times New Roman"/>
        </w:rPr>
        <w:t> </w:t>
      </w:r>
      <w:r w:rsidRPr="00312D9A">
        <w:rPr>
          <w:rFonts w:ascii="Times New Roman" w:hAnsi="Times New Roman"/>
        </w:rPr>
        <w:t xml:space="preserve">podmienky nároku na náhradné výživné trvajú, úrad obnoví výplatu náhradného výživného </w:t>
      </w:r>
    </w:p>
    <w:p w:rsidR="00A10ABE" w:rsidRPr="00312D9A" w:rsidP="00A10AB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312D9A">
        <w:rPr>
          <w:rFonts w:ascii="Times New Roman" w:hAnsi="Times New Roman"/>
        </w:rPr>
        <w:t xml:space="preserve">od prvého dňa </w:t>
      </w:r>
      <w:r w:rsidRPr="00312D9A" w:rsidR="00EE4053">
        <w:rPr>
          <w:rFonts w:ascii="Times New Roman" w:hAnsi="Times New Roman"/>
        </w:rPr>
        <w:t>kalendárneho mesiaca n</w:t>
      </w:r>
      <w:r w:rsidRPr="00312D9A" w:rsidR="002A0170">
        <w:rPr>
          <w:rFonts w:ascii="Times New Roman" w:hAnsi="Times New Roman"/>
        </w:rPr>
        <w:t>asledujúc</w:t>
      </w:r>
      <w:r w:rsidRPr="00312D9A" w:rsidR="00EE4053">
        <w:rPr>
          <w:rFonts w:ascii="Times New Roman" w:hAnsi="Times New Roman"/>
        </w:rPr>
        <w:t xml:space="preserve">eho </w:t>
      </w:r>
      <w:r w:rsidRPr="00312D9A">
        <w:rPr>
          <w:rFonts w:ascii="Times New Roman" w:hAnsi="Times New Roman"/>
        </w:rPr>
        <w:t xml:space="preserve">po mesiaci, v ktorom zanikli dôvody, pre ktoré bola výplata podľa odseku 1 písm. a) alebo písm. b) zastavená, alebo </w:t>
      </w:r>
    </w:p>
    <w:p w:rsidR="00A10ABE" w:rsidRPr="00312D9A" w:rsidP="00A10AB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312D9A">
        <w:rPr>
          <w:rFonts w:ascii="Times New Roman" w:hAnsi="Times New Roman"/>
        </w:rPr>
        <w:t xml:space="preserve">odo dňa uvedeného v žiadosti o obnovenie výplaty náhradného výživného, ktorého výplata bola zastavená podľa odseku 1 písm. c), najskôr od prvého dňa </w:t>
      </w:r>
      <w:r w:rsidRPr="00312D9A" w:rsidR="00EE4053">
        <w:rPr>
          <w:rFonts w:ascii="Times New Roman" w:hAnsi="Times New Roman"/>
        </w:rPr>
        <w:t>kalendárneho mesiaca</w:t>
      </w:r>
      <w:r w:rsidRPr="00312D9A">
        <w:rPr>
          <w:rFonts w:ascii="Times New Roman" w:hAnsi="Times New Roman"/>
        </w:rPr>
        <w:t>, v ktorom bola žiadosť o obnovenie výplaty náhradného výživného doručená úradu.“.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§ 9 sa dopĺňa odsekom 6, ktorý znie:</w:t>
      </w: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„(6) Úrad doplatí náhradné výživné za obdobie zastavenia jeho výplaty podľa</w:t>
      </w:r>
      <w:r w:rsidR="00C237A5">
        <w:rPr>
          <w:rFonts w:ascii="Times New Roman" w:hAnsi="Times New Roman"/>
        </w:rPr>
        <w:t xml:space="preserve">     </w:t>
      </w:r>
      <w:r w:rsidRPr="00A93EB2">
        <w:rPr>
          <w:rFonts w:ascii="Times New Roman" w:hAnsi="Times New Roman"/>
        </w:rPr>
        <w:t xml:space="preserve"> odseku 1 písm. a) a b), ak podmienky nároku na náhradné výživné počas tohto obdobia boli splnené.“.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V § 10 ods. 2 prvá veta znie: „Sumy podľa odseku 1 sa zúčtujú so sumami z bežne vyplácaného náhradného výživného</w:t>
      </w:r>
      <w:r w:rsidR="00AC0B65">
        <w:rPr>
          <w:rFonts w:ascii="Times New Roman" w:hAnsi="Times New Roman"/>
        </w:rPr>
        <w:t>,</w:t>
      </w:r>
      <w:r w:rsidRPr="00A93EB2">
        <w:rPr>
          <w:rFonts w:ascii="Times New Roman" w:hAnsi="Times New Roman"/>
        </w:rPr>
        <w:t xml:space="preserve"> </w:t>
      </w:r>
      <w:r w:rsidRPr="00A93EB2" w:rsidR="00AC0B65">
        <w:rPr>
          <w:rFonts w:ascii="Times New Roman" w:hAnsi="Times New Roman"/>
        </w:rPr>
        <w:t>ak nárok na náhradné výživné trvá</w:t>
      </w:r>
      <w:r w:rsidR="00AC0B65">
        <w:rPr>
          <w:rFonts w:ascii="Times New Roman" w:hAnsi="Times New Roman"/>
        </w:rPr>
        <w:t>,</w:t>
      </w:r>
      <w:r w:rsidRPr="00A93EB2" w:rsidR="00AC0B65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>alebo z neskôr priznaného náhradného výživného pre tú istú oprávnenú osobu.“.</w:t>
      </w:r>
    </w:p>
    <w:p w:rsidR="00A10ABE" w:rsidP="00A10ABE">
      <w:pPr>
        <w:bidi w:val="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Za § 10 sa vkladá § 10a, ktorý vrátane nadpisu znie:</w:t>
      </w:r>
    </w:p>
    <w:p w:rsidR="00AE23C7" w:rsidP="00A10ABE">
      <w:pPr>
        <w:bidi w:val="0"/>
        <w:ind w:left="360"/>
        <w:jc w:val="center"/>
        <w:rPr>
          <w:rFonts w:ascii="Times New Roman" w:hAnsi="Times New Roman"/>
        </w:rPr>
      </w:pPr>
    </w:p>
    <w:p w:rsidR="00A10ABE" w:rsidRPr="00A93EB2" w:rsidP="00A10ABE">
      <w:pPr>
        <w:bidi w:val="0"/>
        <w:ind w:left="360"/>
        <w:jc w:val="center"/>
        <w:rPr>
          <w:rFonts w:ascii="Times New Roman" w:hAnsi="Times New Roman"/>
        </w:rPr>
      </w:pPr>
      <w:r w:rsidRPr="00A93EB2">
        <w:rPr>
          <w:rFonts w:ascii="Times New Roman" w:hAnsi="Times New Roman"/>
        </w:rPr>
        <w:t>„</w:t>
      </w:r>
      <w:r w:rsidRPr="00A93EB2">
        <w:rPr>
          <w:rFonts w:ascii="Times New Roman" w:hAnsi="Times New Roman"/>
          <w:b/>
        </w:rPr>
        <w:t>§ 10a</w:t>
      </w:r>
    </w:p>
    <w:p w:rsidR="00A10ABE" w:rsidRPr="00A93EB2" w:rsidP="00A10ABE">
      <w:pPr>
        <w:bidi w:val="0"/>
        <w:ind w:left="360"/>
        <w:jc w:val="center"/>
        <w:rPr>
          <w:rFonts w:ascii="Times New Roman" w:hAnsi="Times New Roman"/>
          <w:b/>
        </w:rPr>
      </w:pPr>
      <w:r w:rsidRPr="00A93EB2">
        <w:rPr>
          <w:rFonts w:ascii="Times New Roman" w:hAnsi="Times New Roman"/>
          <w:b/>
        </w:rPr>
        <w:t xml:space="preserve">Vrátenie náhradného výživného pre dodatočne zaplatené výživné </w:t>
      </w:r>
    </w:p>
    <w:p w:rsidR="00A10ABE" w:rsidRPr="00A93EB2" w:rsidP="00A10ABE">
      <w:pPr>
        <w:bidi w:val="0"/>
        <w:ind w:left="360"/>
        <w:jc w:val="center"/>
        <w:rPr>
          <w:rFonts w:ascii="Times New Roman" w:hAnsi="Times New Roman"/>
        </w:rPr>
      </w:pPr>
      <w:r w:rsidRPr="00A93EB2">
        <w:rPr>
          <w:rFonts w:ascii="Times New Roman" w:hAnsi="Times New Roman"/>
          <w:b/>
        </w:rPr>
        <w:t>alebo vymožené výživné</w:t>
      </w:r>
    </w:p>
    <w:p w:rsidR="00A10ABE" w:rsidRPr="00A93EB2" w:rsidP="00A10ABE">
      <w:pPr>
        <w:bidi w:val="0"/>
        <w:ind w:left="360"/>
        <w:jc w:val="center"/>
        <w:rPr>
          <w:rFonts w:ascii="Times New Roman" w:hAnsi="Times New Roman"/>
        </w:rPr>
      </w:pP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(1) Ak povinná osoba dodatočne zaplatí výživné alebo ak sa </w:t>
      </w:r>
      <w:r w:rsidR="00145F78">
        <w:rPr>
          <w:rFonts w:ascii="Times New Roman" w:hAnsi="Times New Roman"/>
        </w:rPr>
        <w:t xml:space="preserve">v </w:t>
      </w:r>
      <w:r w:rsidRPr="00A93EB2" w:rsidR="00145F78">
        <w:rPr>
          <w:rFonts w:ascii="Times New Roman" w:hAnsi="Times New Roman"/>
        </w:rPr>
        <w:t>exekučn</w:t>
      </w:r>
      <w:r w:rsidR="00145F78">
        <w:rPr>
          <w:rFonts w:ascii="Times New Roman" w:hAnsi="Times New Roman"/>
        </w:rPr>
        <w:t>om</w:t>
      </w:r>
      <w:r w:rsidRPr="00A93EB2" w:rsidR="00145F78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>konaní</w:t>
      </w:r>
      <w:r w:rsidR="00145F78">
        <w:rPr>
          <w:rFonts w:ascii="Times New Roman" w:hAnsi="Times New Roman"/>
        </w:rPr>
        <w:t xml:space="preserve"> na vymoženie pohľadávky na výživnom</w:t>
      </w:r>
      <w:r w:rsidRPr="00A93EB2">
        <w:rPr>
          <w:rFonts w:ascii="Times New Roman" w:hAnsi="Times New Roman"/>
        </w:rPr>
        <w:t xml:space="preserve"> vymôže výživné, poberateľ náhradného výživného je povinný vrátiť preddavkovo poskytnuté náhradné výživné, a to najviac do výšky, v ktorej bolo výživné zaplatené alebo vymožené.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(2) Výživné dodatočne zaplatené povinnou osobou alebo vymožené </w:t>
      </w:r>
      <w:r w:rsidR="001D0036">
        <w:rPr>
          <w:rFonts w:ascii="Times New Roman" w:hAnsi="Times New Roman"/>
        </w:rPr>
        <w:t xml:space="preserve">v </w:t>
      </w:r>
      <w:r w:rsidRPr="00A93EB2">
        <w:rPr>
          <w:rFonts w:ascii="Times New Roman" w:hAnsi="Times New Roman"/>
        </w:rPr>
        <w:t>exekučn</w:t>
      </w:r>
      <w:r w:rsidR="001D0036">
        <w:rPr>
          <w:rFonts w:ascii="Times New Roman" w:hAnsi="Times New Roman"/>
        </w:rPr>
        <w:t>om</w:t>
      </w:r>
      <w:r w:rsidRPr="00A93EB2">
        <w:rPr>
          <w:rFonts w:ascii="Times New Roman" w:hAnsi="Times New Roman"/>
        </w:rPr>
        <w:t xml:space="preserve"> konaní </w:t>
      </w:r>
      <w:r w:rsidR="001D0036">
        <w:rPr>
          <w:rFonts w:ascii="Times New Roman" w:hAnsi="Times New Roman"/>
        </w:rPr>
        <w:t>na vymoženie pohľadávky na výživnom</w:t>
      </w:r>
      <w:r w:rsidRPr="00A93EB2" w:rsidR="001D0036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>sa zohľadňuje ako uhradené výživné od vzniku nároku na náhradné výživné.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(3) Pri opakovanom vzniku nároku na náhradné výživné tej istej oprávnenej osobe, výživné  dodatočne zaplatené povinnou osobou alebo vymožené </w:t>
      </w:r>
      <w:r w:rsidR="001D0036">
        <w:rPr>
          <w:rFonts w:ascii="Times New Roman" w:hAnsi="Times New Roman"/>
        </w:rPr>
        <w:t xml:space="preserve">v </w:t>
      </w:r>
      <w:r w:rsidRPr="00A93EB2">
        <w:rPr>
          <w:rFonts w:ascii="Times New Roman" w:hAnsi="Times New Roman"/>
        </w:rPr>
        <w:t>exekučn</w:t>
      </w:r>
      <w:r w:rsidR="001D0036">
        <w:rPr>
          <w:rFonts w:ascii="Times New Roman" w:hAnsi="Times New Roman"/>
        </w:rPr>
        <w:t>o</w:t>
      </w:r>
      <w:r w:rsidRPr="00A93EB2">
        <w:rPr>
          <w:rFonts w:ascii="Times New Roman" w:hAnsi="Times New Roman"/>
        </w:rPr>
        <w:t xml:space="preserve">m konaní </w:t>
      </w:r>
      <w:r w:rsidR="001D0036">
        <w:rPr>
          <w:rFonts w:ascii="Times New Roman" w:hAnsi="Times New Roman"/>
        </w:rPr>
        <w:t>na vymoženie pohľadávky na výživnom</w:t>
      </w:r>
      <w:r w:rsidRPr="00A93EB2" w:rsidR="001D0036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>sa zohľadňuje ako uhradené výživné od prvého  nároku na náhradné výži</w:t>
      </w:r>
      <w:r w:rsidR="00E027FC">
        <w:rPr>
          <w:rFonts w:ascii="Times New Roman" w:hAnsi="Times New Roman"/>
        </w:rPr>
        <w:t>vné tej istej oprávnenej osoby</w:t>
      </w:r>
      <w:r w:rsidRPr="00A93EB2">
        <w:rPr>
          <w:rFonts w:ascii="Times New Roman" w:hAnsi="Times New Roman"/>
        </w:rPr>
        <w:t xml:space="preserve">. </w:t>
      </w:r>
    </w:p>
    <w:p w:rsidR="00A10ABE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Nárok na vrátenie náhradného výživného pre dodatočne zaplatené výživné alebo vymožené výživné </w:t>
      </w:r>
      <w:r w:rsidR="00AC710B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exekučn</w:t>
      </w:r>
      <w:r w:rsidR="00AC710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m konaní </w:t>
      </w:r>
      <w:r w:rsidRPr="00AC710B" w:rsidR="00AC710B">
        <w:rPr>
          <w:rFonts w:ascii="Times New Roman" w:hAnsi="Times New Roman"/>
        </w:rPr>
        <w:t xml:space="preserve"> </w:t>
      </w:r>
      <w:r w:rsidR="00AC710B">
        <w:rPr>
          <w:rFonts w:ascii="Times New Roman" w:hAnsi="Times New Roman"/>
        </w:rPr>
        <w:t xml:space="preserve">na vymoženie pohľadávky na výživnom </w:t>
      </w:r>
      <w:r>
        <w:rPr>
          <w:rFonts w:ascii="Times New Roman" w:hAnsi="Times New Roman"/>
        </w:rPr>
        <w:t>zaniká uplynutím troch rokov odo dňa, keď úrad túto skutočnosť zistil, najneskôr uplynutím desiatich rokov odo dňa, za ktorý sa náhradné výživné</w:t>
      </w:r>
      <w:r w:rsidR="00FF4331">
        <w:rPr>
          <w:rFonts w:ascii="Times New Roman" w:hAnsi="Times New Roman"/>
        </w:rPr>
        <w:t xml:space="preserve"> poslednýkrát</w:t>
      </w:r>
      <w:r>
        <w:rPr>
          <w:rFonts w:ascii="Times New Roman" w:hAnsi="Times New Roman"/>
        </w:rPr>
        <w:t xml:space="preserve"> vyplatilo.</w:t>
      </w:r>
      <w:r w:rsidR="00E027FC">
        <w:rPr>
          <w:rFonts w:ascii="Times New Roman" w:hAnsi="Times New Roman"/>
        </w:rPr>
        <w:t>“.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10ABE" w:rsidRPr="008A7717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8A7717">
        <w:rPr>
          <w:rFonts w:ascii="Times New Roman" w:hAnsi="Times New Roman"/>
        </w:rPr>
        <w:t xml:space="preserve">V § 11 ods. 1 druhej vete sa za slovo „ustanovenia“ vkladajú slová „§ 18 ods. 3, § 33 </w:t>
      </w:r>
      <w:r w:rsidRPr="008A7717" w:rsidR="00AE23C7">
        <w:rPr>
          <w:rFonts w:ascii="Times New Roman" w:hAnsi="Times New Roman"/>
        </w:rPr>
        <w:t xml:space="preserve">   </w:t>
      </w:r>
      <w:r w:rsidRPr="008A7717">
        <w:rPr>
          <w:rFonts w:ascii="Times New Roman" w:hAnsi="Times New Roman"/>
        </w:rPr>
        <w:t xml:space="preserve">ods. 2,“. </w:t>
      </w:r>
    </w:p>
    <w:p w:rsidR="00A10ABE" w:rsidRPr="008A7717" w:rsidP="00A10ABE">
      <w:pPr>
        <w:bidi w:val="0"/>
        <w:jc w:val="both"/>
        <w:rPr>
          <w:rFonts w:ascii="Times New Roman" w:hAnsi="Times New Roman"/>
          <w:i/>
        </w:rPr>
      </w:pPr>
    </w:p>
    <w:p w:rsidR="009426CA" w:rsidRPr="008A7717" w:rsidP="009426CA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8A7717">
        <w:rPr>
          <w:rFonts w:ascii="Times New Roman" w:hAnsi="Times New Roman"/>
        </w:rPr>
        <w:t>V § 11 ods. 2 sa vypúšťajú slová „alebo žiadosti podanej elektronickými prostriedkami podpísanej zaručeným elektronickým podpisom“.</w:t>
      </w:r>
    </w:p>
    <w:p w:rsidR="009426CA" w:rsidRPr="008A7717" w:rsidP="00A10ABE">
      <w:pPr>
        <w:bidi w:val="0"/>
        <w:jc w:val="both"/>
        <w:rPr>
          <w:rFonts w:ascii="Times New Roman" w:hAnsi="Times New Roman"/>
          <w:i/>
        </w:rPr>
      </w:pPr>
    </w:p>
    <w:p w:rsidR="00A10ABE" w:rsidRPr="008A7717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8A7717">
        <w:rPr>
          <w:rFonts w:ascii="Times New Roman" w:hAnsi="Times New Roman"/>
        </w:rPr>
        <w:t>V § 11 odsek 3 znie:</w:t>
      </w:r>
    </w:p>
    <w:p w:rsidR="00A10ABE" w:rsidRPr="008A7717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8A7717">
        <w:rPr>
          <w:rFonts w:ascii="Times New Roman" w:hAnsi="Times New Roman"/>
        </w:rPr>
        <w:t>„(3) Žiadosť podáva žiadateľ o náhradné výživné, ktorým je</w:t>
      </w:r>
    </w:p>
    <w:p w:rsidR="00A10ABE" w:rsidRPr="008A7717" w:rsidP="00AE23C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8A7717">
        <w:rPr>
          <w:rFonts w:ascii="Times New Roman" w:hAnsi="Times New Roman"/>
        </w:rPr>
        <w:t>oprávnená osoba,</w:t>
      </w:r>
    </w:p>
    <w:p w:rsidR="00A10ABE" w:rsidRPr="00A93EB2" w:rsidP="00AE23C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rodič oprávnenej osoby alebo</w:t>
      </w:r>
    </w:p>
    <w:p w:rsidR="00CF47D5" w:rsidRPr="00A93EB2" w:rsidP="00CF47D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A93EB2" w:rsidR="00A10ABE">
        <w:rPr>
          <w:rFonts w:ascii="Times New Roman" w:hAnsi="Times New Roman"/>
        </w:rPr>
        <w:t xml:space="preserve">iná fyzická osoba, ktorej má povinná osoba podľa právoplatného rozhodnutia súdu alebo súdom schválenej dohody platiť výživné pre oprávnenú osobu.“. </w:t>
      </w:r>
    </w:p>
    <w:p w:rsidR="00A10ABE" w:rsidRPr="00A93EB2" w:rsidP="00AE23C7">
      <w:pPr>
        <w:bidi w:val="0"/>
        <w:ind w:hanging="360"/>
        <w:jc w:val="both"/>
        <w:rPr>
          <w:rFonts w:ascii="Times New Roman" w:hAnsi="Times New Roman"/>
        </w:rPr>
      </w:pPr>
    </w:p>
    <w:p w:rsidR="00CF47D5" w:rsidRPr="008A7717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11 ods. 5 písm. b) sa za slovo </w:t>
      </w:r>
      <w:r w:rsidR="0089343A">
        <w:rPr>
          <w:rFonts w:ascii="Times New Roman" w:hAnsi="Times New Roman"/>
        </w:rPr>
        <w:t>„potvrdenie“ vkladá slovo „súdneho“ a za slovo „konanie“</w:t>
      </w:r>
      <w:r>
        <w:rPr>
          <w:rFonts w:ascii="Times New Roman" w:hAnsi="Times New Roman"/>
        </w:rPr>
        <w:t xml:space="preserve"> vkladajú slová „na vymoženie pohľadávky na </w:t>
      </w:r>
      <w:r w:rsidRPr="008A7717">
        <w:rPr>
          <w:rFonts w:ascii="Times New Roman" w:hAnsi="Times New Roman"/>
        </w:rPr>
        <w:t>výživn</w:t>
      </w:r>
      <w:r w:rsidRPr="008A7717" w:rsidR="009C65F5">
        <w:rPr>
          <w:rFonts w:ascii="Times New Roman" w:hAnsi="Times New Roman"/>
        </w:rPr>
        <w:t>om</w:t>
      </w:r>
      <w:r w:rsidRPr="008A7717">
        <w:rPr>
          <w:rFonts w:ascii="Times New Roman" w:hAnsi="Times New Roman"/>
        </w:rPr>
        <w:t>“.</w:t>
      </w:r>
    </w:p>
    <w:p w:rsidR="00CF47D5" w:rsidP="00CF47D5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§ 11 sa dopĺňa odsek</w:t>
      </w:r>
      <w:r w:rsidR="001113EF">
        <w:rPr>
          <w:rFonts w:ascii="Times New Roman" w:hAnsi="Times New Roman"/>
        </w:rPr>
        <w:t>mi</w:t>
      </w:r>
      <w:r w:rsidRPr="00A93EB2">
        <w:rPr>
          <w:rFonts w:ascii="Times New Roman" w:hAnsi="Times New Roman"/>
        </w:rPr>
        <w:t xml:space="preserve"> 9</w:t>
      </w:r>
      <w:r w:rsidR="001113EF">
        <w:rPr>
          <w:rFonts w:ascii="Times New Roman" w:hAnsi="Times New Roman"/>
        </w:rPr>
        <w:t xml:space="preserve"> a 10</w:t>
      </w:r>
      <w:r w:rsidRPr="00A93EB2">
        <w:rPr>
          <w:rFonts w:ascii="Times New Roman" w:hAnsi="Times New Roman"/>
        </w:rPr>
        <w:t>, ktor</w:t>
      </w:r>
      <w:r w:rsidR="001113EF">
        <w:rPr>
          <w:rFonts w:ascii="Times New Roman" w:hAnsi="Times New Roman"/>
        </w:rPr>
        <w:t>é</w:t>
      </w:r>
      <w:r w:rsidRPr="00A93EB2">
        <w:rPr>
          <w:rFonts w:ascii="Times New Roman" w:hAnsi="Times New Roman"/>
        </w:rPr>
        <w:t xml:space="preserve"> zn</w:t>
      </w:r>
      <w:r w:rsidR="001113EF">
        <w:rPr>
          <w:rFonts w:ascii="Times New Roman" w:hAnsi="Times New Roman"/>
        </w:rPr>
        <w:t>ejú</w:t>
      </w:r>
      <w:r w:rsidRPr="00A93EB2">
        <w:rPr>
          <w:rFonts w:ascii="Times New Roman" w:hAnsi="Times New Roman"/>
        </w:rPr>
        <w:t>:</w:t>
      </w:r>
    </w:p>
    <w:p w:rsidR="001113EF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 w:rsidR="00A10ABE">
        <w:rPr>
          <w:rFonts w:ascii="Times New Roman" w:hAnsi="Times New Roman"/>
        </w:rPr>
        <w:t>„(9) Úrad rozhodne o zmene poberateľa náhradného výživného, ktorý nie je oprávnenou osobou, ak oprávnená osoba, ktorá počas trvania nároku na náhradné výživné nadobudne plnoletosť, požiada úrad o vyplácanie náhradného výživného.</w:t>
      </w:r>
    </w:p>
    <w:p w:rsidR="00F51E6A" w:rsidP="00AE23C7">
      <w:pPr>
        <w:bidi w:val="0"/>
        <w:ind w:left="360" w:firstLine="348"/>
        <w:jc w:val="both"/>
        <w:rPr>
          <w:rFonts w:ascii="Times New Roman" w:hAnsi="Times New Roman"/>
        </w:rPr>
      </w:pPr>
    </w:p>
    <w:p w:rsidR="001113EF" w:rsidP="001113EF">
      <w:pPr>
        <w:tabs>
          <w:tab w:val="left" w:pos="567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EA6300">
        <w:rPr>
          <w:rFonts w:ascii="Times New Roman" w:hAnsi="Times New Roman"/>
        </w:rPr>
        <w:t>(</w:t>
      </w:r>
      <w:r>
        <w:rPr>
          <w:rFonts w:ascii="Times New Roman" w:hAnsi="Times New Roman"/>
        </w:rPr>
        <w:t>10</w:t>
      </w:r>
      <w:r w:rsidRPr="00EA6300">
        <w:rPr>
          <w:rFonts w:ascii="Times New Roman" w:hAnsi="Times New Roman"/>
        </w:rPr>
        <w:t xml:space="preserve">) Rozhodnutia a iné písomnosti vydané podľa tohto zákona môžu obsahovať namiesto odtlačku úradnej pečiatky predtlačený odtlačok úradnej pečiatky Ústredia práce, sociálnych vecí a rodiny alebo úradu s uvedením mena, priezviska a funkcie fyzickej osoby oprávnenej konať v mene </w:t>
      </w:r>
      <w:r w:rsidR="00141CC5">
        <w:rPr>
          <w:rFonts w:ascii="Times New Roman" w:hAnsi="Times New Roman"/>
        </w:rPr>
        <w:t>príslušného orgánu</w:t>
      </w:r>
      <w:r w:rsidRPr="00EA6300">
        <w:rPr>
          <w:rFonts w:ascii="Times New Roman" w:hAnsi="Times New Roman"/>
        </w:rPr>
        <w:t xml:space="preserve"> a namiesto podpisu tejto fyzickej osoby faksimile jej podpisu.“.</w:t>
      </w:r>
    </w:p>
    <w:p w:rsidR="00251689" w:rsidRPr="00EA6300" w:rsidP="001113EF">
      <w:pPr>
        <w:tabs>
          <w:tab w:val="left" w:pos="567"/>
        </w:tabs>
        <w:bidi w:val="0"/>
        <w:ind w:left="426"/>
        <w:jc w:val="both"/>
        <w:rPr>
          <w:rFonts w:ascii="Times New Roman" w:hAnsi="Times New Roman"/>
        </w:rPr>
      </w:pP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251689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12 ods. 2 písm. a) sa slovo „exekútor“ nahrádza slovami „súdny exekútor“. </w:t>
      </w:r>
    </w:p>
    <w:p w:rsidR="00251689" w:rsidP="00A40E2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10ABE">
      <w:pPr>
        <w:pStyle w:val="ListParagraph"/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Za § 16 sa vkladá § 16a, ktorý vrátane nadpisu znie:</w:t>
      </w:r>
    </w:p>
    <w:p w:rsidR="005E7F47" w:rsidP="00A10ABE">
      <w:pPr>
        <w:bidi w:val="0"/>
        <w:ind w:left="360"/>
        <w:jc w:val="center"/>
        <w:rPr>
          <w:rFonts w:ascii="Times New Roman" w:hAnsi="Times New Roman"/>
        </w:rPr>
      </w:pPr>
    </w:p>
    <w:p w:rsidR="00A10ABE" w:rsidRPr="00A93EB2" w:rsidP="00A10ABE">
      <w:pPr>
        <w:bidi w:val="0"/>
        <w:ind w:left="360"/>
        <w:jc w:val="center"/>
        <w:rPr>
          <w:rFonts w:ascii="Times New Roman" w:hAnsi="Times New Roman"/>
          <w:b/>
        </w:rPr>
      </w:pPr>
      <w:r w:rsidRPr="00A93EB2">
        <w:rPr>
          <w:rFonts w:ascii="Times New Roman" w:hAnsi="Times New Roman"/>
        </w:rPr>
        <w:t>„</w:t>
      </w:r>
      <w:r w:rsidRPr="00A93EB2">
        <w:rPr>
          <w:rFonts w:ascii="Times New Roman" w:hAnsi="Times New Roman"/>
          <w:b/>
        </w:rPr>
        <w:t>§ 16a</w:t>
      </w:r>
    </w:p>
    <w:p w:rsidR="00A10ABE" w:rsidRPr="00A93EB2" w:rsidP="00A10ABE">
      <w:pPr>
        <w:bidi w:val="0"/>
        <w:ind w:left="360"/>
        <w:jc w:val="center"/>
        <w:rPr>
          <w:rFonts w:ascii="Times New Roman" w:hAnsi="Times New Roman"/>
          <w:b/>
        </w:rPr>
      </w:pPr>
      <w:r w:rsidRPr="00A93EB2">
        <w:rPr>
          <w:rFonts w:ascii="Times New Roman" w:hAnsi="Times New Roman"/>
          <w:b/>
        </w:rPr>
        <w:t>Prechodné ustanoveni</w:t>
      </w:r>
      <w:r w:rsidR="00241A85">
        <w:rPr>
          <w:rFonts w:ascii="Times New Roman" w:hAnsi="Times New Roman"/>
          <w:b/>
        </w:rPr>
        <w:t>a</w:t>
      </w:r>
      <w:r w:rsidRPr="00A93EB2">
        <w:rPr>
          <w:rFonts w:ascii="Times New Roman" w:hAnsi="Times New Roman"/>
          <w:b/>
        </w:rPr>
        <w:t xml:space="preserve"> k úprav</w:t>
      </w:r>
      <w:r w:rsidR="00241A85">
        <w:rPr>
          <w:rFonts w:ascii="Times New Roman" w:hAnsi="Times New Roman"/>
          <w:b/>
        </w:rPr>
        <w:t>ám</w:t>
      </w:r>
      <w:r w:rsidRPr="00A93EB2">
        <w:rPr>
          <w:rFonts w:ascii="Times New Roman" w:hAnsi="Times New Roman"/>
          <w:b/>
        </w:rPr>
        <w:t xml:space="preserve"> účinn</w:t>
      </w:r>
      <w:r w:rsidR="00241A85">
        <w:rPr>
          <w:rFonts w:ascii="Times New Roman" w:hAnsi="Times New Roman"/>
          <w:b/>
        </w:rPr>
        <w:t>ým</w:t>
      </w:r>
      <w:r w:rsidRPr="00A93EB2">
        <w:rPr>
          <w:rFonts w:ascii="Times New Roman" w:hAnsi="Times New Roman"/>
          <w:b/>
        </w:rPr>
        <w:t xml:space="preserve"> od 1. </w:t>
      </w:r>
      <w:r w:rsidR="0041468F">
        <w:rPr>
          <w:rFonts w:ascii="Times New Roman" w:hAnsi="Times New Roman"/>
          <w:b/>
        </w:rPr>
        <w:t>júla</w:t>
      </w:r>
      <w:r w:rsidRPr="00A93EB2" w:rsidR="002B52A1">
        <w:rPr>
          <w:rFonts w:ascii="Times New Roman" w:hAnsi="Times New Roman"/>
          <w:b/>
        </w:rPr>
        <w:t xml:space="preserve"> </w:t>
      </w:r>
      <w:r w:rsidRPr="00A93EB2">
        <w:rPr>
          <w:rFonts w:ascii="Times New Roman" w:hAnsi="Times New Roman"/>
          <w:b/>
        </w:rPr>
        <w:t>2018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(1) Pohľadávka, ktorá vznikla z poskytnutého náhradného výživného do 3</w:t>
      </w:r>
      <w:r w:rsidR="0041468F">
        <w:rPr>
          <w:rFonts w:ascii="Times New Roman" w:hAnsi="Times New Roman"/>
        </w:rPr>
        <w:t>0</w:t>
      </w:r>
      <w:r w:rsidRPr="00A93EB2">
        <w:rPr>
          <w:rFonts w:ascii="Times New Roman" w:hAnsi="Times New Roman"/>
        </w:rPr>
        <w:t xml:space="preserve">. </w:t>
      </w:r>
      <w:r w:rsidR="0041468F">
        <w:rPr>
          <w:rFonts w:ascii="Times New Roman" w:hAnsi="Times New Roman"/>
        </w:rPr>
        <w:t>júna</w:t>
      </w:r>
      <w:r w:rsidRPr="00A93EB2" w:rsidR="002B52A1">
        <w:rPr>
          <w:rFonts w:ascii="Times New Roman" w:hAnsi="Times New Roman"/>
        </w:rPr>
        <w:t xml:space="preserve"> 201</w:t>
      </w:r>
      <w:r w:rsidR="002B52A1">
        <w:rPr>
          <w:rFonts w:ascii="Times New Roman" w:hAnsi="Times New Roman"/>
        </w:rPr>
        <w:t>8</w:t>
      </w:r>
      <w:r w:rsidRPr="00A93EB2">
        <w:rPr>
          <w:rFonts w:ascii="Times New Roman" w:hAnsi="Times New Roman"/>
        </w:rPr>
        <w:t>, sa vymáha podľa zákona účinného do 3</w:t>
      </w:r>
      <w:r w:rsidR="0041468F">
        <w:rPr>
          <w:rFonts w:ascii="Times New Roman" w:hAnsi="Times New Roman"/>
        </w:rPr>
        <w:t>0.</w:t>
      </w:r>
      <w:r w:rsidRPr="00A93EB2">
        <w:rPr>
          <w:rFonts w:ascii="Times New Roman" w:hAnsi="Times New Roman"/>
        </w:rPr>
        <w:t xml:space="preserve"> </w:t>
      </w:r>
      <w:r w:rsidR="0041468F">
        <w:rPr>
          <w:rFonts w:ascii="Times New Roman" w:hAnsi="Times New Roman"/>
        </w:rPr>
        <w:t>júna</w:t>
      </w:r>
      <w:r w:rsidRPr="00A93EB2" w:rsidR="002B52A1">
        <w:rPr>
          <w:rFonts w:ascii="Times New Roman" w:hAnsi="Times New Roman"/>
        </w:rPr>
        <w:t xml:space="preserve"> 201</w:t>
      </w:r>
      <w:r w:rsidR="002B52A1">
        <w:rPr>
          <w:rFonts w:ascii="Times New Roman" w:hAnsi="Times New Roman"/>
        </w:rPr>
        <w:t>8</w:t>
      </w:r>
      <w:r w:rsidRPr="00A93EB2">
        <w:rPr>
          <w:rFonts w:ascii="Times New Roman" w:hAnsi="Times New Roman"/>
        </w:rPr>
        <w:t>.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E23C7">
      <w:pPr>
        <w:bidi w:val="0"/>
        <w:ind w:left="360" w:firstLine="348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>(2) Náhradné výživné podľa § 2 ods. 1 písm. a) a ods. 2 a 3 poskytované do 3</w:t>
      </w:r>
      <w:r w:rsidR="0041468F">
        <w:rPr>
          <w:rFonts w:ascii="Times New Roman" w:hAnsi="Times New Roman"/>
        </w:rPr>
        <w:t>0</w:t>
      </w:r>
      <w:r w:rsidRPr="00A93EB2">
        <w:rPr>
          <w:rFonts w:ascii="Times New Roman" w:hAnsi="Times New Roman"/>
        </w:rPr>
        <w:t xml:space="preserve">. </w:t>
      </w:r>
      <w:r w:rsidR="0041468F">
        <w:rPr>
          <w:rFonts w:ascii="Times New Roman" w:hAnsi="Times New Roman"/>
        </w:rPr>
        <w:t>júna</w:t>
      </w:r>
      <w:r w:rsidRPr="00A93EB2" w:rsidR="002B52A1">
        <w:rPr>
          <w:rFonts w:ascii="Times New Roman" w:hAnsi="Times New Roman"/>
        </w:rPr>
        <w:t xml:space="preserve"> 201</w:t>
      </w:r>
      <w:r w:rsidR="002B52A1">
        <w:rPr>
          <w:rFonts w:ascii="Times New Roman" w:hAnsi="Times New Roman"/>
        </w:rPr>
        <w:t>8</w:t>
      </w:r>
      <w:r w:rsidRPr="00A93EB2" w:rsidR="002B52A1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 xml:space="preserve">sa od 1. </w:t>
      </w:r>
      <w:r w:rsidR="0041468F">
        <w:rPr>
          <w:rFonts w:ascii="Times New Roman" w:hAnsi="Times New Roman"/>
        </w:rPr>
        <w:t>júla</w:t>
      </w:r>
      <w:r w:rsidRPr="00A93EB2" w:rsidR="002B52A1">
        <w:rPr>
          <w:rFonts w:ascii="Times New Roman" w:hAnsi="Times New Roman"/>
        </w:rPr>
        <w:t xml:space="preserve"> </w:t>
      </w:r>
      <w:r w:rsidRPr="00A93EB2">
        <w:rPr>
          <w:rFonts w:ascii="Times New Roman" w:hAnsi="Times New Roman"/>
        </w:rPr>
        <w:t>201</w:t>
      </w:r>
      <w:r w:rsidR="00BB3EBE">
        <w:rPr>
          <w:rFonts w:ascii="Times New Roman" w:hAnsi="Times New Roman"/>
        </w:rPr>
        <w:t>8</w:t>
      </w:r>
      <w:r w:rsidRPr="00A93EB2">
        <w:rPr>
          <w:rFonts w:ascii="Times New Roman" w:hAnsi="Times New Roman"/>
        </w:rPr>
        <w:t xml:space="preserve"> považuje za preddavkovo poskytované náhradné výživné.“.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 </w:t>
      </w:r>
    </w:p>
    <w:p w:rsidR="00A10ABE" w:rsidRPr="00A93EB2" w:rsidP="00A10ABE">
      <w:pPr>
        <w:bidi w:val="0"/>
        <w:ind w:left="360"/>
        <w:jc w:val="both"/>
        <w:rPr>
          <w:rFonts w:ascii="Times New Roman" w:hAnsi="Times New Roman"/>
        </w:rPr>
      </w:pPr>
    </w:p>
    <w:p w:rsidR="00A10ABE" w:rsidRPr="00A93EB2" w:rsidP="00A10AB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  <w:r w:rsidRPr="00A93EB2">
        <w:rPr>
          <w:rFonts w:ascii="Times New Roman" w:hAnsi="Times New Roman"/>
          <w:b/>
        </w:rPr>
        <w:t xml:space="preserve">I </w:t>
      </w:r>
    </w:p>
    <w:p w:rsidR="00A10ABE" w:rsidRPr="00A93EB2" w:rsidP="00A10ABE">
      <w:pPr>
        <w:bidi w:val="0"/>
        <w:jc w:val="center"/>
        <w:rPr>
          <w:rFonts w:ascii="Times New Roman" w:hAnsi="Times New Roman"/>
        </w:rPr>
      </w:pPr>
    </w:p>
    <w:p w:rsidR="00A10ABE" w:rsidRPr="00A93EB2" w:rsidP="00AE23C7">
      <w:pPr>
        <w:bidi w:val="0"/>
        <w:ind w:firstLine="708"/>
        <w:rPr>
          <w:rFonts w:ascii="Times New Roman" w:hAnsi="Times New Roman"/>
        </w:rPr>
      </w:pPr>
      <w:r w:rsidRPr="00A93EB2">
        <w:rPr>
          <w:rFonts w:ascii="Times New Roman" w:hAnsi="Times New Roman"/>
        </w:rPr>
        <w:t xml:space="preserve">Tento zákon nadobúda účinnosť 1. </w:t>
      </w:r>
      <w:r w:rsidR="0041468F">
        <w:rPr>
          <w:rFonts w:ascii="Times New Roman" w:hAnsi="Times New Roman"/>
        </w:rPr>
        <w:t>júla</w:t>
      </w:r>
      <w:r w:rsidRPr="00A93EB2">
        <w:rPr>
          <w:rFonts w:ascii="Times New Roman" w:hAnsi="Times New Roman"/>
        </w:rPr>
        <w:t xml:space="preserve"> 2018.</w:t>
      </w:r>
    </w:p>
    <w:p w:rsidR="00A10ABE" w:rsidRPr="00A93EB2" w:rsidP="00A10ABE">
      <w:pPr>
        <w:bidi w:val="0"/>
        <w:jc w:val="both"/>
        <w:rPr>
          <w:rFonts w:ascii="Times New Roman" w:hAnsi="Times New Roman"/>
        </w:rPr>
      </w:pPr>
    </w:p>
    <w:p w:rsidR="00AE4840">
      <w:pPr>
        <w:bidi w:val="0"/>
        <w:rPr>
          <w:rFonts w:ascii="Times New Roman" w:hAnsi="Times New Roman"/>
        </w:rPr>
      </w:pPr>
    </w:p>
    <w:sectPr w:rsidSect="00AF4522">
      <w:footerReference w:type="default" r:id="rId5"/>
      <w:pgSz w:w="11906" w:h="16838"/>
      <w:pgMar w:top="1135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7A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2240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1B755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8E9"/>
    <w:multiLevelType w:val="hybridMultilevel"/>
    <w:tmpl w:val="0EFAEF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6CC4DDB"/>
    <w:multiLevelType w:val="hybridMultilevel"/>
    <w:tmpl w:val="6B366D1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CBB35CD"/>
    <w:multiLevelType w:val="hybridMultilevel"/>
    <w:tmpl w:val="193205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1337E40"/>
    <w:multiLevelType w:val="hybridMultilevel"/>
    <w:tmpl w:val="5F14DE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10ABE"/>
    <w:rsid w:val="00003DCD"/>
    <w:rsid w:val="00006198"/>
    <w:rsid w:val="00034A75"/>
    <w:rsid w:val="000538AA"/>
    <w:rsid w:val="000832D7"/>
    <w:rsid w:val="000C33A4"/>
    <w:rsid w:val="000F2582"/>
    <w:rsid w:val="00100923"/>
    <w:rsid w:val="001113EF"/>
    <w:rsid w:val="00113733"/>
    <w:rsid w:val="00122D34"/>
    <w:rsid w:val="00126039"/>
    <w:rsid w:val="00141CC5"/>
    <w:rsid w:val="00145F78"/>
    <w:rsid w:val="00153B15"/>
    <w:rsid w:val="001B755B"/>
    <w:rsid w:val="001D0036"/>
    <w:rsid w:val="001D6C0A"/>
    <w:rsid w:val="002040E2"/>
    <w:rsid w:val="002061C1"/>
    <w:rsid w:val="00222409"/>
    <w:rsid w:val="00241A85"/>
    <w:rsid w:val="00251689"/>
    <w:rsid w:val="00262D5F"/>
    <w:rsid w:val="00297D89"/>
    <w:rsid w:val="002A0170"/>
    <w:rsid w:val="002B52A1"/>
    <w:rsid w:val="002C50D5"/>
    <w:rsid w:val="00300224"/>
    <w:rsid w:val="00301666"/>
    <w:rsid w:val="00312D9A"/>
    <w:rsid w:val="00317479"/>
    <w:rsid w:val="0033624D"/>
    <w:rsid w:val="003562BE"/>
    <w:rsid w:val="00361EAE"/>
    <w:rsid w:val="00362AB0"/>
    <w:rsid w:val="00371AD7"/>
    <w:rsid w:val="003B478F"/>
    <w:rsid w:val="003B7584"/>
    <w:rsid w:val="003D0983"/>
    <w:rsid w:val="0041468F"/>
    <w:rsid w:val="00436B86"/>
    <w:rsid w:val="0044094C"/>
    <w:rsid w:val="004459E4"/>
    <w:rsid w:val="00470941"/>
    <w:rsid w:val="004B6821"/>
    <w:rsid w:val="004D0ADC"/>
    <w:rsid w:val="004D7168"/>
    <w:rsid w:val="004E2E02"/>
    <w:rsid w:val="004F002D"/>
    <w:rsid w:val="00511966"/>
    <w:rsid w:val="005534D6"/>
    <w:rsid w:val="00561696"/>
    <w:rsid w:val="00581999"/>
    <w:rsid w:val="00585A0C"/>
    <w:rsid w:val="005A1AA2"/>
    <w:rsid w:val="005A3AA1"/>
    <w:rsid w:val="005A5499"/>
    <w:rsid w:val="005B5640"/>
    <w:rsid w:val="005C38C6"/>
    <w:rsid w:val="005E1C0A"/>
    <w:rsid w:val="005E7F47"/>
    <w:rsid w:val="0060403A"/>
    <w:rsid w:val="00614197"/>
    <w:rsid w:val="00635363"/>
    <w:rsid w:val="006958A0"/>
    <w:rsid w:val="006E6692"/>
    <w:rsid w:val="006F185B"/>
    <w:rsid w:val="00710B56"/>
    <w:rsid w:val="007110A7"/>
    <w:rsid w:val="0073207F"/>
    <w:rsid w:val="007334D9"/>
    <w:rsid w:val="007707E0"/>
    <w:rsid w:val="00792D54"/>
    <w:rsid w:val="007B0249"/>
    <w:rsid w:val="007F2080"/>
    <w:rsid w:val="008531BE"/>
    <w:rsid w:val="0089343A"/>
    <w:rsid w:val="00894CB0"/>
    <w:rsid w:val="008A7717"/>
    <w:rsid w:val="008B0656"/>
    <w:rsid w:val="008B31AF"/>
    <w:rsid w:val="008B7CAF"/>
    <w:rsid w:val="008C6571"/>
    <w:rsid w:val="008E566C"/>
    <w:rsid w:val="00912603"/>
    <w:rsid w:val="009426CA"/>
    <w:rsid w:val="00980402"/>
    <w:rsid w:val="009928C9"/>
    <w:rsid w:val="009A17DC"/>
    <w:rsid w:val="009B50E6"/>
    <w:rsid w:val="009B67D5"/>
    <w:rsid w:val="009C57CF"/>
    <w:rsid w:val="009C65F5"/>
    <w:rsid w:val="009D4367"/>
    <w:rsid w:val="00A10ABE"/>
    <w:rsid w:val="00A40E2C"/>
    <w:rsid w:val="00A82DB5"/>
    <w:rsid w:val="00A923B5"/>
    <w:rsid w:val="00A93EB2"/>
    <w:rsid w:val="00A9436B"/>
    <w:rsid w:val="00AA54CD"/>
    <w:rsid w:val="00AC0B65"/>
    <w:rsid w:val="00AC710B"/>
    <w:rsid w:val="00AD69EC"/>
    <w:rsid w:val="00AE23C7"/>
    <w:rsid w:val="00AE4840"/>
    <w:rsid w:val="00AE7384"/>
    <w:rsid w:val="00AF0E8D"/>
    <w:rsid w:val="00AF4522"/>
    <w:rsid w:val="00B46D09"/>
    <w:rsid w:val="00B479DB"/>
    <w:rsid w:val="00B540CC"/>
    <w:rsid w:val="00B8037D"/>
    <w:rsid w:val="00BB3EBE"/>
    <w:rsid w:val="00C00260"/>
    <w:rsid w:val="00C13EC2"/>
    <w:rsid w:val="00C158EA"/>
    <w:rsid w:val="00C237A5"/>
    <w:rsid w:val="00CA6ED6"/>
    <w:rsid w:val="00CD2841"/>
    <w:rsid w:val="00CF47D5"/>
    <w:rsid w:val="00CF7E88"/>
    <w:rsid w:val="00D371FA"/>
    <w:rsid w:val="00D60CFE"/>
    <w:rsid w:val="00D72F3F"/>
    <w:rsid w:val="00D747E0"/>
    <w:rsid w:val="00D76E05"/>
    <w:rsid w:val="00DC0597"/>
    <w:rsid w:val="00DC1DDC"/>
    <w:rsid w:val="00DC6A3D"/>
    <w:rsid w:val="00DF2A74"/>
    <w:rsid w:val="00E027FC"/>
    <w:rsid w:val="00E43988"/>
    <w:rsid w:val="00E4533E"/>
    <w:rsid w:val="00E66F61"/>
    <w:rsid w:val="00E744D6"/>
    <w:rsid w:val="00E74C4A"/>
    <w:rsid w:val="00EA6300"/>
    <w:rsid w:val="00EB0103"/>
    <w:rsid w:val="00EB0AF3"/>
    <w:rsid w:val="00ED7817"/>
    <w:rsid w:val="00EE4053"/>
    <w:rsid w:val="00F00C3E"/>
    <w:rsid w:val="00F253B5"/>
    <w:rsid w:val="00F42E24"/>
    <w:rsid w:val="00F51E6A"/>
    <w:rsid w:val="00F64456"/>
    <w:rsid w:val="00F64F92"/>
    <w:rsid w:val="00F9776B"/>
    <w:rsid w:val="00FD337F"/>
    <w:rsid w:val="00FF433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A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10ABE"/>
    <w:pPr>
      <w:keepNext/>
      <w:keepLines/>
      <w:spacing w:before="480"/>
      <w:jc w:val="left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10ABE"/>
    <w:rPr>
      <w:rFonts w:ascii="Cambria" w:hAnsi="Cambria" w:cs="Cambria"/>
      <w:b/>
      <w:bCs/>
      <w:color w:val="365F91"/>
      <w:sz w:val="28"/>
      <w:szCs w:val="2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10ABE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unhideWhenUsed/>
    <w:rsid w:val="00A10AB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10ABE"/>
    <w:rPr>
      <w:rFonts w:ascii="Times New Roman" w:hAnsi="Times New Roman"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13E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13EF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45F7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45F7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45F78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45F7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45F78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C237A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237A5"/>
    <w:rPr>
      <w:rFonts w:ascii="Times New Roman" w:hAnsi="Times New Roman"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744D6"/>
    <w:pPr>
      <w:jc w:val="center"/>
    </w:pPr>
    <w:rPr>
      <w:b/>
      <w:bCs/>
      <w:sz w:val="32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E744D6"/>
    <w:rPr>
      <w:rFonts w:ascii="Times New Roman" w:hAnsi="Times New Roman" w:cs="Times New Roman"/>
      <w:b/>
      <w:bCs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67D6-FFC9-44C5-B947-9E16CE62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1205</Words>
  <Characters>6871</Characters>
  <Application>Microsoft Office Word</Application>
  <DocSecurity>0</DocSecurity>
  <Lines>0</Lines>
  <Paragraphs>0</Paragraphs>
  <ScaleCrop>false</ScaleCrop>
  <Company/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Uhliarová Alžbeta</dc:creator>
  <cp:lastModifiedBy>Cebulakova Monika</cp:lastModifiedBy>
  <cp:revision>6</cp:revision>
  <cp:lastPrinted>2017-10-25T15:03:00Z</cp:lastPrinted>
  <dcterms:created xsi:type="dcterms:W3CDTF">2017-11-02T11:04:00Z</dcterms:created>
  <dcterms:modified xsi:type="dcterms:W3CDTF">2017-11-08T13:33:00Z</dcterms:modified>
</cp:coreProperties>
</file>